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240"/>
      </w:pPr>
      <w:r>
        <w:t>Draft Picks, Prospects, and the Remaining Trade Model</w:t>
      </w:r>
    </w:p>
    <w:p>
      <w:pPr>
        <w:spacing w:after="200"/>
        <w:jc w:val="left"/>
      </w:pPr>
      <w:r>
        <w:t>The project is intended to put players, draft picks, and non-roster prospects on one scale: expected surplus dollars. The player model produces contract values. The draft linkage and historical yield curve are built, but pricing picks at historical trade dates is not complete. The prospect model and the combined trade back-test also remain unfinished.</w:t>
      </w:r>
    </w:p>
    <w:p>
      <w:pPr>
        <w:pStyle w:val="Heading2"/>
        <w:keepNext/>
        <w:spacing w:after="140" w:before="280"/>
      </w:pPr>
      <w:r>
        <w:t>1. What the Draft Curve Measures</w:t>
      </w:r>
    </w:p>
    <w:p>
      <w:pPr>
        <w:spacing w:after="200"/>
        <w:jc w:val="left"/>
      </w:pPr>
      <w:r>
        <w:t>The draft curve links selected players to their subsequent NHL production and groups the outcomes by draft position. The fitted sample uses the 2007-2017 draft classes, giving each class nine seasons of follow-up. For a player drafted in 2017, that window runs from 2017-18 through 2025-26. It does not follow every player to the end of his career.</w:t>
      </w:r>
    </w:p>
    <w:p>
      <w:pPr>
        <w:spacing w:after="200"/>
        <w:jc w:val="left"/>
      </w:pPr>
      <w:r>
        <w:t>Picks that produce no NHL value must remain in the average. Omitting them would price only successful selections. The linkage therefore distinguishes matched careers, unmatched records, and known contaminated names. Some connections rely on standardized names rather than a common identifier. A missing match must be checked carefully because the yield calculation gives a record with no linked performance history no NHL production.</w:t>
      </w:r>
    </w:p>
    <w:p>
      <w:pPr>
        <w:spacing w:after="200"/>
        <w:jc w:val="left"/>
      </w:pPr>
      <w:r>
        <w:t>For matched players, the code adds their production across team records and uses the appropriate skater or goalie price. Defencemen receive the current defence slope. It expresses each season's value and cost in cap shares, adds them across the window, and then averages within draft-position bands. The dollar presentation converts those shares at the 2025-26 cap. It is a historical yield curve, not yet a discounted price for a particular pick on its trade date.</w:t>
      </w:r>
    </w:p>
    <w:p>
      <w:pPr>
        <w:pStyle w:val="Heading2"/>
        <w:keepNext/>
        <w:spacing w:after="140" w:before="280"/>
      </w:pPr>
      <w:r>
        <w:t>2. Entry-Level Costs and Later Surplus</w:t>
      </w:r>
    </w:p>
    <w:p>
      <w:pPr>
        <w:spacing w:after="200"/>
        <w:jc w:val="left"/>
      </w:pPr>
      <w:r>
        <w:t>The primary curve, Rule A, counts surplus during modeled entry-level years and assigns zero surplus afterward. Once those years are exhausted, cost is set equal to the market price of realized production. Successful picks can create real value on later contracts, but that value is excluded by construction.</w:t>
      </w:r>
    </w:p>
    <w:p>
      <w:pPr>
        <w:spacing w:after="200"/>
        <w:jc w:val="left"/>
      </w:pPr>
      <w:r>
        <w:t>If later contracts generate positive surplus, this convention understates the pick's value. It need not lower all draft positions equally: early selections and late selections can differ in the timing and amount of the surplus omitted. The shape of the curve is therefore partly a product of the cost rule.</w:t>
      </w:r>
    </w:p>
    <w:p>
      <w:pPr>
        <w:spacing w:after="200"/>
        <w:jc w:val="left"/>
      </w:pPr>
      <w:r>
        <w:t>Entry-level cost uses the maximum for the player's draft cohort, rather than his actual signed contract. The number of entry-level years is approximated using age at the first season with at least ten NHL games. That proxy cannot reproduce every signing date or contract slide.</w:t>
      </w:r>
    </w:p>
    <w:p>
      <w:pPr>
        <w:spacing w:after="200"/>
        <w:jc w:val="left"/>
      </w:pPr>
      <w:r>
        <w:t>Seasons with fewer than ten games do not consume a modeled entry-level year. Their cost and minimum-value floor are scaled by games played divided by 82. The underlying price equation, including its intercept, is not scaled in the same way. This can give a short NHL appearance relatively generous value compared with its assigned cost and needs a sensitivity check. A season with no NHL appearance has neither value nor cost.</w:t>
      </w:r>
    </w:p>
    <w:p>
      <w:pPr>
        <w:spacing w:after="200"/>
        <w:jc w:val="left"/>
      </w:pPr>
      <w:r>
        <w:t>Maximum entry-level costs can understate surplus for players who signed below that maximum. Omitted bonus costs can work in the other direction. These are separate cost assumptions; calling the curve conservative overall would hide their different effects.</w:t>
      </w:r>
    </w:p>
    <w:p>
      <w:pPr>
        <w:spacing w:after="200"/>
        <w:jc w:val="left"/>
      </w:pPr>
      <w:r>
        <w:t>Rule B is intended to test a different post-entry-level cost: price the contract from trailing production and compare that cost with realized production value. As written, it uses the defence-specific slope for a defenceman's value but the forward slope for his trailing cost. Part of the resulting surplus can therefore come from inconsistent prices. Rule A does not use that calculation, but the Rule B comparison needs correction and a rerun before its size can be interpreted.</w:t>
      </w:r>
    </w:p>
    <w:p>
      <w:pPr>
        <w:pStyle w:val="Heading2"/>
        <w:keepNext/>
        <w:spacing w:after="140" w:before="280"/>
      </w:pPr>
      <w:r>
        <w:t>3. Uncertainty and Future Picks</w:t>
      </w:r>
    </w:p>
    <w:p>
      <w:pPr>
        <w:spacing w:after="200"/>
        <w:jc w:val="left"/>
      </w:pPr>
      <w:r>
        <w:t>Late picks are lotteries. Their average can be positive even when most selections return nothing, because a few successful players account for much of the value. The mean is useful for repeated decisions, but it is not the most likely outcome of a single selection. The code reports means, medians, and the share with any NHL appearance, and resamples picks within each band to estimate uncertainty around the mean.</w:t>
      </w:r>
    </w:p>
    <w:p>
      <w:pPr>
        <w:spacing w:after="200"/>
        <w:jc w:val="left"/>
      </w:pPr>
      <w:r>
        <w:t>This uncertainty is especially important at the top, where each draft class supplies only one first overall pick. Pooling nearby positions gives more observations but assumes those positions can reasonably share a value. Neither a smooth-looking curve nor a precise dollar conversion removes the limited sample.</w:t>
      </w:r>
    </w:p>
    <w:p>
      <w:pPr>
        <w:spacing w:after="200"/>
        <w:jc w:val="left"/>
      </w:pPr>
      <w:r>
        <w:t>A pick traded before its draft needs two further estimates: where it might land and how to value the wait. The eventual overall selection is known in the historical data, but it was not necessarily known to either club when the trade occurred. Using it directly would give the valuation future information.</w:t>
      </w:r>
    </w:p>
    <w:p>
      <w:pPr>
        <w:spacing w:after="200"/>
        <w:jc w:val="left"/>
      </w:pPr>
      <w:r>
        <w:t>Pure-pick trades and picks traded more than once provide evidence about market exchange rates. They do not isolate a discount for waiting by themselves. Expected draft position, protection terms, and beliefs about the draft class can change between trades. A late pick may also be used as a small addition to complete a deal, which complicates reading every exchange as an exact statement of fundamental value.</w:t>
      </w:r>
    </w:p>
    <w:p>
      <w:pPr>
        <w:spacing w:after="200"/>
        <w:jc w:val="left"/>
      </w:pPr>
      <w:r>
        <w:t>The historical yield curve already includes failure to reach the NHL. Any additional future-pick discount needs a distinct purpose, such as waiting for production or an explicitly modeled preference for risk. Charging again for the same bust probability would double-count it.</w:t>
      </w:r>
    </w:p>
    <w:p>
      <w:pPr>
        <w:pStyle w:val="Heading2"/>
        <w:keepNext/>
        <w:spacing w:after="140" w:before="280"/>
      </w:pPr>
      <w:r>
        <w:t>4. Non-Roster Prospects</w:t>
      </w:r>
    </w:p>
    <w:p>
      <w:pPr>
        <w:spacing w:after="200"/>
        <w:jc w:val="left"/>
      </w:pPr>
      <w:r>
        <w:t>A prospect needs both a chance of reaching the NHL and an estimate of production if he gets there. Draft position supplies a starting expectation. Age and subsequent performance should update it, with evidence from different leagues translated onto a comparable scale.</w:t>
      </w:r>
    </w:p>
    <w:p>
      <w:pPr>
        <w:spacing w:after="200"/>
        <w:jc w:val="left"/>
      </w:pPr>
      <w:r>
        <w:t>The project has gathered inputs for this work, including draft baselines, ages, and league-performance information. It does not yet have a completed path from those inputs to expected NHL wins and surplus dollars. A scoring translation alone cannot supply that path: scoring at an NHL-equivalent rate is not the same as producing a given number of wins or securing an NHL role.</w:t>
      </w:r>
    </w:p>
    <w:p>
      <w:pPr>
        <w:spacing w:after="200"/>
        <w:jc w:val="left"/>
      </w:pPr>
      <w:r>
        <w:t>Selection also matters. Prospects with usable professional records differ from those without them, and players who reach a stronger league are already a selected group. A model trained only on successful transitions would overstate the prospects of the full pool. Updates must use information available by the valuation date and account for which players enter the observed sample.</w:t>
      </w:r>
    </w:p>
    <w:p>
      <w:pPr>
        <w:pStyle w:val="Heading2"/>
        <w:keepNext/>
        <w:spacing w:after="140" w:before="280"/>
      </w:pPr>
      <w:r>
        <w:t>5. Retention, Clauses, and the Back-Test</w:t>
      </w:r>
    </w:p>
    <w:p>
      <w:pPr>
        <w:spacing w:after="200"/>
        <w:jc w:val="left"/>
      </w:pPr>
      <w:r>
        <w:t>Salary retention changes the cost of acquiring a player. It can also be a service supplied by a third club. The trade model needs to distinguish payment for the player from payment for carrying salary; otherwise, it can assign the same consideration to both. Existing retention diagnostics have not yet produced a completed estimate of that service's market price.</w:t>
      </w:r>
    </w:p>
    <w:p>
      <w:pPr>
        <w:spacing w:after="200"/>
        <w:jc w:val="left"/>
      </w:pPr>
      <w:r>
        <w:t>Trade protection can restrict the seller's possible destinations and alter bargaining power. It also tends to appear on contracts for particular kinds of players. A pay difference associated with a clause therefore cannot automatically be read as the price of restricted movement. The clause data are assembled, but a separate causal estimate remains to be built.</w:t>
      </w:r>
    </w:p>
    <w:p>
      <w:pPr>
        <w:spacing w:after="200"/>
        <w:jc w:val="left"/>
      </w:pPr>
      <w:r>
        <w:t>The combined back-test will value the assets exchanged using the information available at the trade date, then compare those estimates with subsequent outcomes. That requires the unfinished pick and prospect components, a treatment of retained costs, and a workable statistic for comparing packages.</w:t>
      </w:r>
    </w:p>
    <w:p>
      <w:pPr>
        <w:spacing w:after="200"/>
        <w:jc w:val="left"/>
      </w:pPr>
      <w:r>
        <w:t>Mid-season player allocation is also pending. The intended method divides season value using Game Value shares at trade dates; it has not yet been applied to the back-test. Because Game Value can be negative, the division needs a rule for a near-zero season total and for team stints with opposite signs. Those cases cannot safely be treated as ordinary percentage shares.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2026-09-09T19:02:20.698Z</dcterms:created>
  <dcterms:modified xsi:type="dcterms:W3CDTF">2026-09-09T19:02:20.698Z</dcterms:modified>
</cp:coreProperties>
</file>

<file path=docProps/custom.xml><?xml version="1.0" encoding="utf-8"?>
<Properties xmlns="http://schemas.openxmlformats.org/officeDocument/2006/custom-properties" xmlns:vt="http://schemas.openxmlformats.org/officeDocument/2006/docPropsVTypes"/>
</file>