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240"/>
      </w:pPr>
      <w:r>
        <w:t>Player Pillar II: Pricing, Control Years, and Contract Value</w:t>
      </w:r>
    </w:p>
    <w:p>
      <w:pPr>
        <w:spacing w:after="200"/>
        <w:jc w:val="left"/>
      </w:pPr>
      <w:r>
        <w:t>The player model converts projected wins into a market price, subtracts the contract's cap cost, and adds the expected surplus from any remaining restricted-free-agent control. Future production is reduced for exit risk, and future dollars are discounted. The result is a contract's estimated surplus value at the valuation date.</w:t>
      </w:r>
    </w:p>
    <w:p>
      <w:pPr>
        <w:spacing w:after="200"/>
        <w:jc w:val="left"/>
      </w:pPr>
      <w:r>
        <w:t>The result is a market-based estimate of surplus: what the projected production would command under the fitted salary equation, less the cost of obtaining it. A player's broader contribution to club revenue or the economic value of winning is outside this calculation.</w:t>
      </w:r>
    </w:p>
    <w:p>
      <w:pPr>
        <w:pStyle w:val="Heading2"/>
        <w:keepNext/>
        <w:spacing w:after="140" w:before="280"/>
      </w:pPr>
      <w:r>
        <w:t>1. Turning Wins into Dollars</w:t>
      </w:r>
    </w:p>
    <w:p>
      <w:pPr>
        <w:spacing w:after="200"/>
        <w:jc w:val="left"/>
      </w:pPr>
      <w:r>
        <w:t>The skater price equation is estimated on 2,349 contracts starting from 2018 through 2025. Both salary and the league minimum are measured as shares of that season's salary cap. Using cap shares makes contracts from different salary environments more comparable.</w:t>
      </w:r>
    </w:p>
    <w:p>
      <w:pPr>
        <w:spacing w:after="200"/>
        <w:jc w:val="left"/>
      </w:pPr>
      <w:r>
        <w:t>The fit accounts for the league-minimum salary. In 529 observations, pay is at that minimum. An ordinary regression treats those salaries like unconstrained observations, even though the rules prevent a lower salary. The censored regression, also called a Tobit model, allows a player's underlying price to fall below the minimum while his observed pay stops at that boundary.</w:t>
      </w:r>
    </w:p>
    <w:p>
      <w:pPr>
        <w:spacing w:after="200"/>
        <w:jc w:val="left"/>
      </w:pPr>
      <w:r>
        <w:t>For an above-minimum contract, the model compares the observed salary with the price predicted from production and position. For a minimum contract, it estimates the probability that the underlying price is at or below the minimum. This accounts for the salary constraint while retaining two assumptions: the underlying price follows a straight line in production, and unexplained differences around it follow a normal distribution. A minimum contract can still have been negotiated; its observed salary simply conceals how far below the floor an unconstrained price might have been.</w:t>
      </w:r>
    </w:p>
    <w:p>
      <w:pPr>
        <w:spacing w:after="200"/>
        <w:jc w:val="left"/>
      </w:pPr>
      <w:r>
        <w:t>The sample begins in 2018 because earlier contract coverage is thin. The export contains 63, 223, and 452 contracts starting in 2015, 2016, and 2017, compared with roughly 700 a year afterward. Those earlier observations may not represent the contracts signed in those years, so the estimation uses the shorter window with broader coverage.</w:t>
      </w:r>
    </w:p>
    <w:p>
      <w:pPr>
        <w:spacing w:after="200"/>
        <w:jc w:val="left"/>
      </w:pPr>
      <w:r>
        <w:t>The current equation has an intercept of about 1.325% of the cap. Each projected win adds about 2.123% for a forward or 2.410% for a defenceman. At a $95.5 million cap, these are roughly $1.27 million at zero WAR, plus $2.03 million per forward win or $2.30 million per defence win. The difference is an estimated market price difference between positions, not evidence that a defensive win contributes more to the standings.</w:t>
      </w:r>
    </w:p>
    <w:p>
      <w:pPr>
        <w:spacing w:after="200"/>
        <w:jc w:val="left"/>
      </w:pPr>
      <w:r>
        <w:t>For an illustrative two-win forward at a $95.5 million cap, the equation gives about $5.32 million: a $1.265 million intercept plus two wins at about $2.028 million each. A two-win defenceman prices at about $5.87 million. Subtracting a $4 million cap hit leaves about $1.32 million or $1.87 million in surplus for that season. The forecast-uncertainty adjustment, survival probabilities, and discounting enter later.</w:t>
      </w:r>
    </w:p>
    <w:p>
      <w:pPr>
        <w:spacing w:after="200"/>
        <w:jc w:val="left"/>
      </w:pPr>
      <w:r>
        <w:t>The common intercept gives forwards and defencemen the same fitted price at zero WAR. The positional difference grows with production because it enters through the price per win. These are estimated coefficients, with uncertainty around them. The censored model also estimates the spread of unexplained salary differences; that spread is not an R-squared or a percentage of salary variation explained. A nonlinear alternative allowed the price per win to change with production level. It fitted observed salaries better but predicted held-out salaries less accurately, so the straight-line specification was retained.</w:t>
      </w:r>
    </w:p>
    <w:p>
      <w:pPr>
        <w:spacing w:after="200"/>
        <w:jc w:val="left"/>
      </w:pPr>
      <w:r>
        <w:t>The equation uses one skater market for restricted and unrestricted free agents and excludes contract length. These choices came from separate tests.</w:t>
      </w:r>
    </w:p>
    <w:p>
      <w:pPr>
        <w:spacing w:after="200"/>
        <w:jc w:val="left"/>
      </w:pPr>
      <w:r>
        <w:t>The contract-length test asked whether longer contracts predicted more subsequent production after accounting for the player's trailing baseline. Its main comparison used 1,781 contracts and average annual adjusted Game Value over three seasons. Each additional year of contract length was associated with -0.0135 wins per season, with a 95% interval from -0.0360 to +0.0089. The interval includes zero, and the model applied no positive value-side adjustment for length.</w:t>
      </w:r>
    </w:p>
    <w:p>
      <w:pPr>
        <w:spacing w:after="200"/>
        <w:jc w:val="left"/>
      </w:pPr>
      <w:r>
        <w:t>The subgroup results were not uniformly zero. For forwards, the estimated association was +0.0273 wins per season per additional year of term, with a 95% interval from +0.0028 to +0.0518. This small subgroup result has not been adopted in the price equation. Two- and four-season checks also found no detectable pooled association; optional checks using raw Game Value remain unrun. The tests concern subsequent production, rather than a direct estimate of what clubs pay for cost certainty or flexibility.</w:t>
      </w:r>
    </w:p>
    <w:p>
      <w:pPr>
        <w:spacing w:after="200"/>
        <w:jc w:val="left"/>
      </w:pPr>
      <w:r>
        <w:t>The RFA/UFA comparison asked whether separate skater price equations were needed. After goalies were removed, the test gave F = 0.12 and p = 0.887, providing little evidence for the split in that specification. The skater markets were therefore pooled. A later exploratory test of star RFAs asks a narrower question about a particular group and is not part of the current equation.</w:t>
      </w:r>
    </w:p>
    <w:p>
      <w:pPr>
        <w:spacing w:after="200"/>
        <w:jc w:val="left"/>
      </w:pPr>
      <w:r>
        <w:t>The equation also uses common coefficients across cap regimes. Expressing salaries as cap shares adjusts for the size of the cap, while leaving the relationship between production and pay fixed across the sample. Comparing coefficients across eras would test that additional assumption. A common scale alone cannot establish stable prices.</w:t>
      </w:r>
    </w:p>
    <w:p>
      <w:pPr>
        <w:pStyle w:val="Heading2"/>
        <w:keepNext/>
        <w:spacing w:after="140" w:before="280"/>
      </w:pPr>
      <w:r>
        <w:t>2. The Minimum and Forecast Uncertainty</w:t>
      </w:r>
    </w:p>
    <w:p>
      <w:pPr>
        <w:spacing w:after="200"/>
        <w:jc w:val="left"/>
      </w:pPr>
      <w:r>
        <w:t>Skater value cannot fall below the league-minimum salary. For the valuation season, the model applies that floor directly to the price implied by the baseline. Future contract years also allow for uncertainty around projected production.</w:t>
      </w:r>
    </w:p>
    <w:p>
      <w:pPr>
        <w:spacing w:after="200"/>
        <w:jc w:val="left"/>
      </w:pPr>
      <w:r>
        <w:t>The distinction matters near the floor. A forecast error on the downside cannot lower priced value below the minimum, while an error on the upside can raise it. The code averages the floored price over an assumed normal distribution of production rather than flooring only the central forecast. This generally raises expected value near the minimum and makes little difference far above it.</w:t>
      </w:r>
    </w:p>
    <w:p>
      <w:pPr>
        <w:spacing w:after="200"/>
        <w:jc w:val="left"/>
      </w:pPr>
      <w:r>
        <w:t>The production spread comes from forecast errors one, two, and three years ahead. For longer forecasts, the code reuses the three-year spread because no longer-horizon estimate has been supplied. This choice can understate uncertainty on long contracts. The symmetric distribution also needs care for players whose central projection has already been moved to replacement level: the same spread may not describe their upside and downside well.</w:t>
      </w:r>
    </w:p>
    <w:p>
      <w:pPr>
        <w:spacing w:after="200"/>
        <w:jc w:val="left"/>
      </w:pPr>
      <w:r>
        <w:t>The one-, two-, and three-year mean absolute errors are 0.522, 0.735, and 0.803 wins, measured in a backcast of positive-baseline players. Mean absolute error is the average size of a forecast miss. To use these errors in a normal distribution, the code multiplies them by about 1.253, giving standard deviations of roughly 0.65, 0.92, and 1.01 wins. It then multiplies by the position's dollar price per win. The resulting spread lets the code average over possible prices after applying the minimum. It adds no separate payment for a club's aversion to risk.</w:t>
      </w:r>
    </w:p>
    <w:p>
      <w:pPr>
        <w:pStyle w:val="Heading2"/>
        <w:keepNext/>
        <w:spacing w:after="140" w:before="280"/>
      </w:pPr>
      <w:r>
        <w:t>3. Value after an RFA Contract Expires</w:t>
      </w:r>
    </w:p>
    <w:p>
      <w:pPr>
        <w:spacing w:after="200"/>
        <w:jc w:val="left"/>
      </w:pPr>
      <w:r>
        <w:t>Terminal value is the surplus from team control after the signed contract expires. An unrestricted-free-agent expiry receives zero because that contract gives the club no further control. For an RFA expiry, the model projects production through the remaining control years and subtracts a sequence of modeled qualifying offers.</w:t>
      </w:r>
    </w:p>
    <w:p>
      <w:pPr>
        <w:spacing w:after="200"/>
        <w:jc w:val="left"/>
      </w:pPr>
      <w:r>
        <w:t>The calculation treats qualifying offers as the cost of keeping the player on successive one-year agreements. Actual renewals can involve arbitration or a negotiated contract at a different salary and term. Terminal value therefore depends on a simplified renewal path.</w:t>
      </w:r>
    </w:p>
    <w:p>
      <w:pPr>
        <w:spacing w:after="200"/>
        <w:jc w:val="left"/>
      </w:pPr>
      <w:r>
        <w:t>If the negotiated salary exceeds the modeled qualifying offer, actual control-year surplus will be lower. The model does not separately forecast the negotiation or assign value to a roster spot opened by a departure.</w:t>
      </w:r>
    </w:p>
    <w:p>
      <w:pPr>
        <w:spacing w:after="200"/>
        <w:jc w:val="left"/>
      </w:pPr>
      <w:r>
        <w:t>A check compared the first modeled offer with the next observed contract for 1,439 RFA-expiring deals. The next cap hit was at least as large as the offer in 48.3% of cases. The median difference was about -$0.01 million, while the mean was +$0.69 million. The near-zero median supports the approximation for the middle observation, but the positive mean shows that some renewals cost substantially more. This check covers observed next deals, and compares the modeled offer with their cap hit rather than reconstructing each negotiation.</w:t>
      </w:r>
    </w:p>
    <w:p>
      <w:pPr>
        <w:spacing w:after="200"/>
        <w:jc w:val="left"/>
      </w:pPr>
      <w:r>
        <w:t>The offer calculation uses salary bands, the league minimum, and the applicable cap on the offer. The code switches to its newer band schedule for offseasons numbered 2026 onward. It also uses the contract's starting season as a proxy when applying the older agreement-date rule. Those are the implemented timing rules; they need to be distinguished from a full reconstruction of a player's legal entitlement.</w:t>
      </w:r>
    </w:p>
    <w:p>
      <w:pPr>
        <w:spacing w:after="200"/>
        <w:jc w:val="left"/>
      </w:pPr>
      <w:r>
        <w:t>The offer starts from the expiring contract's final-year base salary. If that is missing, the code uses the highest recorded base salary elsewhere on the same contract, then average annual value if no base salary is available. In the 1,439-deal check, 355 cases used substitutes. A substitute can miss the final-year salary that determines the offer. Subsequent modeled offers roll forward from the preceding offer.</w:t>
      </w:r>
    </w:p>
    <w:p>
      <w:pPr>
        <w:spacing w:after="200"/>
        <w:jc w:val="left"/>
      </w:pPr>
      <w:r>
        <w:t>Before its 2026 switch, the code uses 110% of salary up to $660,000; above $660,000 and below $1 million, it uses 105%, capped at $1 million; at $1 million or more, it starts from 100%. For contracts treated as signed from 2020 onward, the last branch is capped at 120% of the prior cap hit. Thus, a $900,000 base salary gives a $945,000 modeled offer before any minimum-salary adjustment.</w:t>
      </w:r>
    </w:p>
    <w:p>
      <w:pPr>
        <w:spacing w:after="200"/>
        <w:jc w:val="left"/>
      </w:pPr>
      <w:r>
        <w:t>In its newer branch, the first threshold becomes $1.25 million and the second $1.75 million. The percentages remain 110%, 105%, and 100%, with the middle branch capped at $1.75 million and the upper branch at 120% of the prior cap hit. Every offer is then raised to the modeled league minimum if necessary. The next control year repeats the calculation using the preceding modeled offer as salary and cap hit.</w:t>
      </w:r>
    </w:p>
    <w:p>
      <w:pPr>
        <w:spacing w:after="200"/>
        <w:jc w:val="left"/>
      </w:pPr>
      <w:r>
        <w:t>The switch date needs review. The 2025 NHL/NHLPA Memorandum of Understanding sets September 16, 2026 as its effective date (item 1), and its qualifying-offer amendment does not state an earlier start (item 32). The code applies the newer bands to the summer of 2026. That precedes the stated effective date and needs correction or a documented transitional basis. The contract-start-year proxy also cannot distinguish agreements signed before and after a change within the same year. These timing issues are not resolved by the formula's arithmetic self-tests.</w:t>
      </w:r>
    </w:p>
    <w:p>
      <w:pPr>
        <w:spacing w:after="200"/>
        <w:jc w:val="left"/>
      </w:pPr>
      <w:r>
        <w:t>The model stops counting control-year surplus when projected value first falls below the offer. Once it has assumed the club walks away, a later rebound adds no further control value. While renewal remains worthwhile, each year is also weighted by the observed qualification rate for the player's projected quality group.</w:t>
      </w:r>
    </w:p>
    <w:p>
      <w:pPr>
        <w:spacing w:after="200"/>
        <w:jc w:val="left"/>
      </w:pPr>
      <w:r>
        <w:t>These steps address two different reasons that control may end. The stopping rule handles a renewal that is unattractive under the model's own value and cost estimates. The qualification rate captures how often clubs renew players of that quality in the data. Without it, the price equation's positive value at zero WAR makes many marginal players look worth keeping even though clubs frequently let them go.</w:t>
      </w:r>
    </w:p>
    <w:p>
      <w:pPr>
        <w:spacing w:after="200"/>
        <w:jc w:val="left"/>
      </w:pPr>
      <w:r>
        <w:t>The qualification rates are 100.0% for stars (22 decisions), 93.2% for regular players (190), 79.3% for fringe players (595), and 67.3% for below-replacement players (1,463). The 100% star rate comes from all 22 observed decisions ending in qualification; applying it to future stars treats that small sample's rate as certain. The script re-estimates the rates from expiry records when it runs.</w:t>
      </w:r>
    </w:p>
    <w:p>
      <w:pPr>
        <w:spacing w:after="200"/>
        <w:jc w:val="left"/>
      </w:pPr>
      <w:r>
        <w:t>The calibration assigns players with no usable recent production to the bottom quality group. Excluding them would remove many likely walk-aways from the sample. Including them expands the sample from 1,231 to 2,270 decisions and raises the observed walk-away rate from 21.3% to 27.0%. This matters because the qualification probability covers both departure from the NHL and the club's renewal decision.</w:t>
      </w:r>
    </w:p>
    <w:p>
      <w:pPr>
        <w:spacing w:after="200"/>
        <w:jc w:val="left"/>
      </w:pPr>
      <w:r>
        <w:t>For a simple example, suppose a player has two control years, each with $1 million of projected surplus and an 80% qualification probability. Before discounting, the model counts $800,000 in the first year and $640,000 in the second: reaching year two requires passing both gates. If the first year's projected surplus were negative, truncation would instead stop the sequence immediately. A later positive year would not restore the lost control.</w:t>
      </w:r>
    </w:p>
    <w:p>
      <w:pPr>
        <w:spacing w:after="200"/>
        <w:jc w:val="left"/>
      </w:pPr>
      <w:r>
        <w:t>Control years use the qualification probabilities in place of the contract-year exit model. The qualification chain starts at one before the first control year and is not multiplied by the survival probability accumulated during the signed contract. This prevents applying both sets of annual probabilities to the control years, but leaves the treatment of departure before expiry as a limitation to check. Terminal-year prices also use a direct salary floor, without the forecast-uncertainty correction applied to projected skater contract years.</w:t>
      </w:r>
    </w:p>
    <w:p>
      <w:pPr>
        <w:pStyle w:val="Heading2"/>
        <w:keepNext/>
        <w:spacing w:after="140" w:before="280"/>
      </w:pPr>
      <w:r>
        <w:t>4. Adding the Contract Years</w:t>
      </w:r>
    </w:p>
    <w:p>
      <w:pPr>
        <w:spacing w:after="200"/>
        <w:jc w:val="left"/>
      </w:pPr>
      <w:r>
        <w:t>For each remaining season, the model calculates expected production value, subtracts the cap cost, and brings that surplus back to the valuation date. It then adds the discounted terminal value. Only the contract already active at the valuation date enters the contract-year calculation; a later extension cannot be imported from the historical record.</w:t>
      </w:r>
    </w:p>
    <w:p>
      <w:pPr>
        <w:spacing w:after="200"/>
        <w:jc w:val="left"/>
      </w:pPr>
      <w:r>
        <w:t>Each contract year contributes expected production value less the full cap cost, discounted to the valuation date. Written as a formula, this is (S_k times V_k minus C_k) divided by 1.03 raised to k. Here, k is the number of years after valuation, V_k is the projected dollar value of production, C_k is the cap cost, and S_k is the probability of continued NHL participation.</w:t>
      </w:r>
    </w:p>
    <w:p>
      <w:pPr>
        <w:spacing w:after="200"/>
        <w:jc w:val="left"/>
      </w:pPr>
      <w:r>
        <w:t>The model sums those annual amounts and adds control-year surplus, using the separate qualification probabilities and the same valuation date for discounting. In the valuation season, k is zero and survival is one, so neither adjustment reduces that season's value.</w:t>
      </w:r>
    </w:p>
    <w:p>
      <w:pPr>
        <w:spacing w:after="200"/>
        <w:jc w:val="left"/>
      </w:pPr>
      <w:r>
        <w:t>For example, $5 million of future production value with a 90% survival probability contributes $4.5 million of expected value. Against a $4 million cap charge, the surplus is $500,000, or about $485,000 if that season is one year away. Multiplying the net $1 million by 90% would instead give $900,000 before discounting. That would incorrectly reduce the contract cost alongside production.</w:t>
      </w:r>
    </w:p>
    <w:p>
      <w:pPr>
        <w:spacing w:after="200"/>
        <w:jc w:val="left"/>
      </w:pPr>
      <w:r>
        <w:t>Survival multiplies production value but not the signed contract cost. A possible NHL departure therefore lowers expected output while the modeled cap charge continues. The calculation does not reconstruct the contract-specific relief that could follow retirement or another departure. Where relief would apply, keeping the cost overstates the burden.</w:t>
      </w:r>
    </w:p>
    <w:p>
      <w:pPr>
        <w:spacing w:after="200"/>
        <w:jc w:val="left"/>
      </w:pPr>
      <w:r>
        <w:t>The cap path grows at 3% a year from the ceiling known at the valuation date. Future amounts are discounted at the same rate to express them in current cap purchasing power. The calculation does not use the cap path that was later realized, and it adds no separate discount for a general manager's impatience.</w:t>
      </w:r>
    </w:p>
    <w:p>
      <w:pPr>
        <w:spacing w:after="200"/>
        <w:jc w:val="left"/>
      </w:pPr>
      <w:r>
        <w:t>With production and price coefficients held constant, gross value stays at a constant share of the projected cap. Its 3% annual dollar growth is canceled by the 3% discount. A fixed dollar cap hit, however, becomes cheaper in current-cap terms. Changes in projected production or survival still change expected value, and growing costs do not receive the same benefit as fixed costs.</w:t>
      </w:r>
    </w:p>
    <w:p>
      <w:pPr>
        <w:spacing w:after="200"/>
        <w:jc w:val="left"/>
      </w:pPr>
      <w:r>
        <w:t>The 3% path is a planning assumption. The model applies no additional discount for managerial impatience because the trade study may later investigate that behavior. Competitive position, uncertainty, and private information can also explain a club paying more for near-term output, so a preference for current assets would require interpretation.</w:t>
      </w:r>
    </w:p>
    <w:p>
      <w:pPr>
        <w:spacing w:after="200"/>
        <w:jc w:val="left"/>
      </w:pPr>
      <w:r>
        <w:t>A negative surplus means the contract costs more than the fitted market price of its expected production. Team fit, private information, and avoiding a future negotiation may explain why a club still accepts it. The model also omits the cost of losing cap flexibility through a long commitment; adding that cost would lower long-contract value further.</w:t>
      </w:r>
    </w:p>
    <w:p>
      <w:pPr>
        <w:spacing w:after="200"/>
        <w:jc w:val="left"/>
      </w:pPr>
      <w:r>
        <w:t>Errors in the market price do not generally disappear when two trade packages are compared. Surplus subtracts fixed contract costs. Raising the production price on both sides can therefore change their surplus ratio, especially when one side starts close to zero.</w:t>
      </w:r>
    </w:p>
    <w:p>
      <w:pPr>
        <w:pStyle w:val="Heading2"/>
        <w:keepNext/>
        <w:spacing w:after="140" w:before="280"/>
      </w:pPr>
      <w:r>
        <w:t>5. Goaltenders</w:t>
      </w:r>
    </w:p>
    <w:p>
      <w:pPr>
        <w:spacing w:after="200"/>
        <w:jc w:val="left"/>
      </w:pPr>
      <w:r>
        <w:t>Goalies use a separate production and pricing model. Their baseline gives 50%, 30%, and 20% weight to three preceding seasons when all are available, falling back to 60/40 with two or the previous season alone. This cascade requires the immediately preceding season; a separate carry-back rule can recover an older baseline when recent history is missing. The code does not apply the skater ten-game threshold to this goalie calculation.</w:t>
      </w:r>
    </w:p>
    <w:p>
      <w:pPr>
        <w:spacing w:after="200"/>
        <w:jc w:val="left"/>
      </w:pPr>
      <w:r>
        <w:t>Only 35% of the goalie baseline is retained. The other 65% comes from the league mean, about 2.19 goalie WAR. The resulting production estimate stays flat through the contract rather than following a comparable-player aging curve. A goalie with no usable historical baseline is left unpriced.</w:t>
      </w:r>
    </w:p>
    <w:p>
      <w:pPr>
        <w:spacing w:after="200"/>
        <w:jc w:val="left"/>
      </w:pPr>
      <w:r>
        <w:t>For a goalie with a trailing baseline of 4.0 wins, the blend is approximately 0.35 times 4.0 plus 0.65 times 2.19, or 2.82 wins. Player-split validation retained the 65% weight on the league mean after adjusting shortened seasons. That test supports the blend. Holding it flat through future years is a separate modeling choice made without a fitted goalie aging curve.</w:t>
      </w:r>
    </w:p>
    <w:p>
      <w:pPr>
        <w:spacing w:after="200"/>
        <w:jc w:val="left"/>
      </w:pPr>
      <w:r>
        <w:t>Goalie exit probabilities are estimated separately on the goalie production scale. Future contract years retain the goalie's own baseline even when there is no future performance row. This preserves the difference between strong and weak goalies in forecasts. A goalie with no usable history remains unpriced.</w:t>
      </w:r>
    </w:p>
    <w:p>
      <w:pPr>
        <w:spacing w:after="200"/>
        <w:jc w:val="left"/>
      </w:pPr>
      <w:r>
        <w:t>The goalie rate remains an older ordinary least-squares estimate, recovered from the locked goalie output to avoid rounding drift. It is approximately 1.391% of the cap plus 1.059% per goalie win. It does not use the skater censored regression or the same floor treatment. Goalie control years also lack the skater qualification-rate adjustment. These differences limit how closely the two sets of contract values can be compared, even though both end in surplus dollars.</w:t>
      </w:r>
    </w:p>
    <w:p>
      <w:pPr>
        <w:spacing w:after="200"/>
        <w:jc w:val="left"/>
      </w:pPr>
      <w:r>
        <w:t>The September 9 rebuild priced 2,981 contracts: 2,591 skaters and 390 goalies. The historical panel contains 6,939 valuation rows because a contract can be valued from more than one season. These are different counts, and neither represents complete coverage of all NHL contracts.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2026-09-09T20:55:04.951Z</dcterms:created>
  <dcterms:modified xsi:type="dcterms:W3CDTF">2026-09-09T20:55:04.951Z</dcterms:modified>
</cp:coreProperties>
</file>

<file path=docProps/custom.xml><?xml version="1.0" encoding="utf-8"?>
<Properties xmlns="http://schemas.openxmlformats.org/officeDocument/2006/custom-properties" xmlns:vt="http://schemas.openxmlformats.org/officeDocument/2006/docPropsVTypes"/>
</file>