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Validation and the Price of a Delivered Win</w:t>
      </w:r>
    </w:p>
    <w:p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The Simplified Forecast on Unseen Seasons</w:t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Each change to the forecast was chosen on 2015-2021, so the forecast was scored once on 2022-2025: 9,063 forecasts of 1,171 players, zero to three seasons ahead, against the WAR each delivered (zero for a season not played). The rule, fixed before the run, required lower squared error than the model it replaced in at least 1,950 of 2,000 resamples of players.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0" w:type="dxa"/>
          <w:right w:w="80" w:type="dxa"/>
        </w:tblCellMar>
      </w:tblPr>
      <w:tblGrid>
        <w:gridCol w:w="4560"/>
        <w:gridCol w:w="1600"/>
        <w:gridCol w:w="1600"/>
        <w:gridCol w:w="1600"/>
      </w:tblGrid>
      <w:tr>
        <w:trPr>
          <w:tblHeader/>
          <w:cantSplit/>
        </w:trPr>
        <w:tc>
          <w:tcPr>
            <w:tcW w:w="4560" w:type="dxa"/>
            <w:shd w:val="clear" w:color="auto" w:fill="E7E6E6"/>
          </w:tcPr>
          <w:p>
            <w:pPr>
              <w:spacing w:before="20" w:after="20"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Forecast (season WAR, 2022-2025)</w:t>
            </w:r>
          </w:p>
        </w:tc>
        <w:tc>
          <w:tcPr>
            <w:tcW w:w="1600" w:type="dxa"/>
            <w:shd w:val="clear" w:color="auto" w:fill="E7E6E6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RMSE</w:t>
            </w:r>
          </w:p>
        </w:tc>
        <w:tc>
          <w:tcPr>
            <w:tcW w:w="1600" w:type="dxa"/>
            <w:shd w:val="clear" w:color="auto" w:fill="E7E6E6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MAE</w:t>
            </w:r>
          </w:p>
        </w:tc>
        <w:tc>
          <w:tcPr>
            <w:tcW w:w="1600" w:type="dxa"/>
            <w:shd w:val="clear" w:color="auto" w:fill="E7E6E6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Brier</w:t>
            </w:r>
          </w:p>
        </w:tc>
      </w:tr>
      <w:tr>
        <w:trPr>
          <w:cantSplit/>
        </w:trPr>
        <w:tc>
          <w:tcPr>
            <w:tcW w:w="4560" w:type="dxa"/>
          </w:tcPr>
          <w:p>
            <w:pPr>
              <w:spacing w:before="20" w:after="20"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Current forecast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0.8932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0.5823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0.1221</w:t>
            </w:r>
          </w:p>
        </w:tc>
      </w:tr>
      <w:tr>
        <w:trPr>
          <w:cantSplit/>
        </w:trPr>
        <w:tc>
          <w:tcPr>
            <w:tcW w:w="4560" w:type="dxa"/>
          </w:tcPr>
          <w:p>
            <w:pPr>
              <w:spacing w:before="20" w:after="20"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Version confirmed on 2 October, before the simplifications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0.9001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0.5809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0.1246</w:t>
            </w:r>
          </w:p>
        </w:tc>
      </w:tr>
      <w:tr>
        <w:trPr>
          <w:cantSplit/>
        </w:trPr>
        <w:tc>
          <w:tcPr>
            <w:tcW w:w="4560" w:type="dxa"/>
          </w:tcPr>
          <w:p>
            <w:pPr>
              <w:spacing w:before="20" w:after="20"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Model it replaced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0.9724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0.6426</w:t>
            </w:r>
          </w:p>
        </w:tc>
        <w:tc>
          <w:tcPr>
            <w:tcW w:w="1600" w:type="dxa"/>
          </w:tcPr>
          <w:p>
            <w:pPr>
              <w:spacing w:before="20" w:after="20" w:line="240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0.1928</w:t>
            </w:r>
          </w:p>
        </w:tc>
      </w:tr>
    </w:tbl>
    <w:p>
      <w:pPr>
        <w:spacing w:after="80"/>
      </w:pP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rule is met in 2,000 of 2,000 resamples, as are absolute error and the chance-of-playing error (Brier). Against the 2 October version, squared error is lower in 1,954 of 2,000 resamples and absolute error is level (lower in 546). The 2 October confirmation scored these seasons first, so this is their second scored use.</w:t>
      </w:r>
    </w:p>
    <w:p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Tests of the Price Line</w:t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price line pays $1.668M per forecast win for forwards, $2.012M for defencemen, and $0.853M per year of contract length at the 2025-26 cap, fitted on 2,296 contracts with the forecast dated at each signing. Each test was scored on players held out of the fit. Straight line. A curve or a bend never had lower held-out absolute error. Stability. 2022-2025 signings do not differ from 2018-2021 (p = 0.24). RFA and UFA. A separate RFA line lowers held-out error by 0.17%; one line is kept. Length. The pay per contract year falls with the forecast ($1.10M below replacement, $0.82M above), but pricing that step cuts held-out error by 0.7%; the line keeps one premium as a stated limit.</w:t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Long contracts signal little hidden quality: later production accounts for −9% to +16% of the length premium across 36 versions of the test. The sign is negative on Game Value and positive on Bacon WAR in each version, which I read as Game Value measuring defence poorly (its correlation with the forecast is 0.33 for defencemen against 0.68 for forwards).</w:t>
      </w:r>
    </w:p>
    <w:p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The Price of a Delivered Win</w:t>
      </w:r>
    </w:p>
    <w:p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back-test prices each delivered season, a player’s or a drafted pick’s, on the same line as a forecast season, with the wins delivered in place of the forecast; a season not played is worth zero. Because the line is straight, a forecast right on average gives an average delivered value equal to the forecast value, so a gap is mispricing or forecast error, not a currency artefact; a line fitted on delivered wins would make stars look overpaid by construction. On 2022-2025 the average miss by trailing level runs from −0.24 to +0.09 wins a season; a calibration check will measure it before any back-test result is read. The draft and prospect models are rebuilt next, on this currency.</w:t>
      </w:r>
    </w:p>
    <w:sectPr w:rsidR="001563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57D42"/>
    <w:multiLevelType w:val="hybridMultilevel"/>
    <w:tmpl w:val="82EAC7BE"/>
    <w:lvl w:ilvl="0" w:tplc="6E483434">
      <w:start w:val="1"/>
      <w:numFmt w:val="bullet"/>
      <w:lvlText w:val="●"/>
      <w:lvlJc w:val="left"/>
      <w:pPr>
        <w:ind w:left="720" w:hanging="360"/>
      </w:pPr>
    </w:lvl>
    <w:lvl w:ilvl="1" w:tplc="27CE91DC">
      <w:start w:val="1"/>
      <w:numFmt w:val="bullet"/>
      <w:lvlText w:val="○"/>
      <w:lvlJc w:val="left"/>
      <w:pPr>
        <w:ind w:left="1440" w:hanging="360"/>
      </w:pPr>
    </w:lvl>
    <w:lvl w:ilvl="2" w:tplc="528A0F14">
      <w:start w:val="1"/>
      <w:numFmt w:val="bullet"/>
      <w:lvlText w:val="■"/>
      <w:lvlJc w:val="left"/>
      <w:pPr>
        <w:ind w:left="2160" w:hanging="360"/>
      </w:pPr>
    </w:lvl>
    <w:lvl w:ilvl="3" w:tplc="C7A81564">
      <w:start w:val="1"/>
      <w:numFmt w:val="bullet"/>
      <w:lvlText w:val="●"/>
      <w:lvlJc w:val="left"/>
      <w:pPr>
        <w:ind w:left="2880" w:hanging="360"/>
      </w:pPr>
    </w:lvl>
    <w:lvl w:ilvl="4" w:tplc="07801C96">
      <w:start w:val="1"/>
      <w:numFmt w:val="bullet"/>
      <w:lvlText w:val="○"/>
      <w:lvlJc w:val="left"/>
      <w:pPr>
        <w:ind w:left="3600" w:hanging="360"/>
      </w:pPr>
    </w:lvl>
    <w:lvl w:ilvl="5" w:tplc="0A04A61A">
      <w:start w:val="1"/>
      <w:numFmt w:val="bullet"/>
      <w:lvlText w:val="■"/>
      <w:lvlJc w:val="left"/>
      <w:pPr>
        <w:ind w:left="4320" w:hanging="360"/>
      </w:pPr>
    </w:lvl>
    <w:lvl w:ilvl="6" w:tplc="B5CCD43C">
      <w:start w:val="1"/>
      <w:numFmt w:val="bullet"/>
      <w:lvlText w:val="●"/>
      <w:lvlJc w:val="left"/>
      <w:pPr>
        <w:ind w:left="5040" w:hanging="360"/>
      </w:pPr>
    </w:lvl>
    <w:lvl w:ilvl="7" w:tplc="A7F61D20">
      <w:start w:val="1"/>
      <w:numFmt w:val="bullet"/>
      <w:lvlText w:val="●"/>
      <w:lvlJc w:val="left"/>
      <w:pPr>
        <w:ind w:left="5760" w:hanging="360"/>
      </w:pPr>
    </w:lvl>
    <w:lvl w:ilvl="8" w:tplc="C89A7370">
      <w:start w:val="1"/>
      <w:numFmt w:val="bullet"/>
      <w:lvlText w:val="●"/>
      <w:lvlJc w:val="left"/>
      <w:pPr>
        <w:ind w:left="6480" w:hanging="360"/>
      </w:pPr>
    </w:lvl>
  </w:abstractNum>
  <w:num w:numId="1" w16cid:durableId="11367514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3E0"/>
    <w:rsid w:val="00055567"/>
    <w:rsid w:val="001563E0"/>
    <w:rsid w:val="001C4B9B"/>
    <w:rsid w:val="002829EB"/>
    <w:rsid w:val="005C426F"/>
    <w:rsid w:val="00742F04"/>
    <w:rsid w:val="00966533"/>
    <w:rsid w:val="00B20CF5"/>
    <w:rsid w:val="00C27954"/>
    <w:rsid w:val="00C97EEA"/>
    <w:rsid w:val="00D43B40"/>
    <w:rsid w:val="00D83A03"/>
    <w:rsid w:val="00E14ADC"/>
    <w:rsid w:val="00EF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CED1"/>
  <w15:docId w15:val="{94585D73-DCC9-4C56-A65B-3476D468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style w:type="paragraph" w:customStyle="1" w:styleId="Normal1">
    <w:name w:val="Normal1"/>
    <w:rPr>
      <w:color w:val="000000"/>
    </w:rPr>
  </w:style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uiPriority w:val="9"/>
    <w:qFormat/>
    <w:pPr>
      <w:keepNext/>
      <w:keepLines/>
      <w:spacing w:before="280" w:after="140" w:line="276" w:lineRule="auto"/>
      <w:outlineLvl w:val="0"/>
    </w:pPr>
    <w:rPr>
      <w:b/>
      <w:color w:val="2E74B5"/>
      <w:sz w:val="26"/>
      <w:szCs w:val="26"/>
    </w:rPr>
  </w:style>
  <w:style w:type="paragraph" w:styleId="Heading2">
    <w:name w:val="heading 2"/>
    <w:uiPriority w:val="9"/>
    <w:unhideWhenUsed/>
    <w:qFormat/>
    <w:pPr>
      <w:keepNext/>
      <w:keepLines/>
      <w:spacing w:before="200" w:after="140" w:line="276" w:lineRule="auto"/>
      <w:outlineLvl w:val="1"/>
    </w:pPr>
    <w:rPr>
      <w:b/>
      <w:color w:val="1F4D78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</w:pPr>
    <w:rPr>
      <w:b/>
      <w:color w:val="000000"/>
      <w:sz w:val="30"/>
      <w:szCs w:val="3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Circularity and Game Value</vt:lpstr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and the Price of a Delivered Win</dc:title>
  <dc:creator>Un-named</dc:creator>
  <cp:lastModifiedBy>Thomas Mihaljevic</cp:lastModifiedBy>
  <cp:revision>11</cp:revision>
  <dcterms:created xsi:type="dcterms:W3CDTF">2026-09-09T18:49:00Z</dcterms:created>
  <dcterms:modified xsi:type="dcterms:W3CDTF">2026-09-11T13:02:00Z</dcterms:modified>
</cp:coreProperties>
</file>