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ACC8" w14:textId="77777777" w:rsidR="00583EA8" w:rsidRDefault="00000000">
      <w:pPr>
        <w:spacing w:after="40"/>
        <w:rPr>
          <w:rFonts w:ascii="Calibri" w:eastAsia="Calibri" w:hAnsi="Calibri" w:cs="Calibri"/>
        </w:rPr>
      </w:pPr>
      <w:r>
        <w:rPr>
          <w:rFonts w:ascii="Calibri" w:eastAsia="Calibri" w:hAnsi="Calibri" w:cs="Calibri"/>
          <w:color w:val="444444"/>
          <w:sz w:val="26"/>
          <w:szCs w:val="26"/>
        </w:rPr>
        <w:t>Project Status Report</w:t>
      </w:r>
    </w:p>
    <w:p w14:paraId="69A324D5" w14:textId="77777777" w:rsidR="00583EA8" w:rsidRDefault="00000000">
      <w:pPr>
        <w:pStyle w:val="Heading1"/>
        <w:spacing w:before="300" w:after="120"/>
        <w:rPr>
          <w:rFonts w:ascii="Calibri" w:eastAsia="Calibri" w:hAnsi="Calibri" w:cs="Calibri"/>
        </w:rPr>
      </w:pPr>
      <w:r>
        <w:rPr>
          <w:rFonts w:ascii="Calibri" w:eastAsia="Calibri" w:hAnsi="Calibri" w:cs="Calibri"/>
          <w:b/>
          <w:bCs/>
          <w:color w:val="1A1A1A"/>
          <w:sz w:val="26"/>
          <w:szCs w:val="26"/>
        </w:rPr>
        <w:t>1. The Project in Brief</w:t>
      </w:r>
    </w:p>
    <w:p w14:paraId="32C8F7B7"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The project asks whether NHL front offices trade rationally. Three classes of asset change hands in trades: players under contract, draft picks, and prospects not yet on NHL rosters. I am building a net-present-value framework that expresses every asset as projected surplus in dollars (the dollar value of the production an asset is expected to deliver, minus what it costs against the salary cap, discounted over the relevant horizon). With every asset in one currency, each historical trade can be re-priced using only the information that existed on the trade date, and the model’s verdicts compared against what subsequently happened. If certain types of trades or assets show persistent gaps between price paid and value received, that is evidence of systematic mispricing. </w:t>
      </w:r>
    </w:p>
    <w:p w14:paraId="62D3F661" w14:textId="77777777" w:rsidR="00583EA8" w:rsidRDefault="00000000">
      <w:pPr>
        <w:pStyle w:val="Heading1"/>
        <w:spacing w:before="300" w:after="120"/>
        <w:rPr>
          <w:rFonts w:ascii="Calibri" w:eastAsia="Calibri" w:hAnsi="Calibri" w:cs="Calibri"/>
        </w:rPr>
      </w:pPr>
      <w:r>
        <w:rPr>
          <w:rFonts w:ascii="Calibri" w:eastAsia="Calibri" w:hAnsi="Calibri" w:cs="Calibri"/>
          <w:b/>
          <w:bCs/>
          <w:color w:val="1A1A1A"/>
          <w:sz w:val="26"/>
          <w:szCs w:val="26"/>
        </w:rPr>
        <w:t>2. Where the Project Stands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1900"/>
        <w:gridCol w:w="4260"/>
      </w:tblGrid>
      <w:tr w:rsidR="00583EA8" w14:paraId="57796CA4" w14:textId="77777777">
        <w:tc>
          <w:tcPr>
            <w:tcW w:w="3200" w:type="dxa"/>
            <w:shd w:val="clear" w:color="auto" w:fill="EDEDED"/>
            <w:tcMar>
              <w:top w:w="60" w:type="dxa"/>
              <w:left w:w="100" w:type="dxa"/>
              <w:bottom w:w="60" w:type="dxa"/>
              <w:right w:w="100" w:type="dxa"/>
            </w:tcMar>
          </w:tcPr>
          <w:p w14:paraId="789FCB57" w14:textId="77777777" w:rsidR="00583EA8" w:rsidRDefault="00000000">
            <w:pPr>
              <w:rPr>
                <w:rFonts w:ascii="Calibri" w:eastAsia="Calibri" w:hAnsi="Calibri" w:cs="Calibri"/>
              </w:rPr>
            </w:pPr>
            <w:r>
              <w:rPr>
                <w:rFonts w:ascii="Calibri" w:eastAsia="Calibri" w:hAnsi="Calibri" w:cs="Calibri"/>
                <w:b/>
                <w:bCs/>
              </w:rPr>
              <w:t>Component</w:t>
            </w:r>
          </w:p>
        </w:tc>
        <w:tc>
          <w:tcPr>
            <w:tcW w:w="1900" w:type="dxa"/>
            <w:shd w:val="clear" w:color="auto" w:fill="EDEDED"/>
            <w:tcMar>
              <w:top w:w="60" w:type="dxa"/>
              <w:left w:w="100" w:type="dxa"/>
              <w:bottom w:w="60" w:type="dxa"/>
              <w:right w:w="100" w:type="dxa"/>
            </w:tcMar>
          </w:tcPr>
          <w:p w14:paraId="2548BC39" w14:textId="77777777" w:rsidR="00583EA8" w:rsidRDefault="00000000">
            <w:pPr>
              <w:rPr>
                <w:rFonts w:ascii="Calibri" w:eastAsia="Calibri" w:hAnsi="Calibri" w:cs="Calibri"/>
              </w:rPr>
            </w:pPr>
            <w:r>
              <w:rPr>
                <w:rFonts w:ascii="Calibri" w:eastAsia="Calibri" w:hAnsi="Calibri" w:cs="Calibri"/>
                <w:b/>
                <w:bCs/>
              </w:rPr>
              <w:t>Status</w:t>
            </w:r>
          </w:p>
        </w:tc>
        <w:tc>
          <w:tcPr>
            <w:tcW w:w="4260" w:type="dxa"/>
            <w:shd w:val="clear" w:color="auto" w:fill="EDEDED"/>
            <w:tcMar>
              <w:top w:w="60" w:type="dxa"/>
              <w:left w:w="100" w:type="dxa"/>
              <w:bottom w:w="60" w:type="dxa"/>
              <w:right w:w="100" w:type="dxa"/>
            </w:tcMar>
          </w:tcPr>
          <w:p w14:paraId="726994AC" w14:textId="77777777" w:rsidR="00583EA8" w:rsidRDefault="00000000">
            <w:pPr>
              <w:rPr>
                <w:rFonts w:ascii="Calibri" w:eastAsia="Calibri" w:hAnsi="Calibri" w:cs="Calibri"/>
              </w:rPr>
            </w:pPr>
            <w:r>
              <w:rPr>
                <w:rFonts w:ascii="Calibri" w:eastAsia="Calibri" w:hAnsi="Calibri" w:cs="Calibri"/>
                <w:b/>
                <w:bCs/>
              </w:rPr>
              <w:t>Note</w:t>
            </w:r>
          </w:p>
        </w:tc>
      </w:tr>
      <w:tr w:rsidR="00583EA8" w14:paraId="44029DE6" w14:textId="77777777">
        <w:tc>
          <w:tcPr>
            <w:tcW w:w="3200" w:type="dxa"/>
            <w:tcMar>
              <w:top w:w="60" w:type="dxa"/>
              <w:left w:w="100" w:type="dxa"/>
              <w:bottom w:w="60" w:type="dxa"/>
              <w:right w:w="100" w:type="dxa"/>
            </w:tcMar>
          </w:tcPr>
          <w:p w14:paraId="6849A79E" w14:textId="77777777" w:rsidR="00583EA8" w:rsidRDefault="00000000">
            <w:pPr>
              <w:rPr>
                <w:rFonts w:ascii="Calibri" w:eastAsia="Calibri" w:hAnsi="Calibri" w:cs="Calibri"/>
              </w:rPr>
            </w:pPr>
            <w:r>
              <w:rPr>
                <w:rFonts w:ascii="Calibri" w:eastAsia="Calibri" w:hAnsi="Calibri" w:cs="Calibri"/>
              </w:rPr>
              <w:t xml:space="preserve">Player valuation </w:t>
            </w:r>
            <w:r>
              <w:rPr>
                <w:rFonts w:ascii="Calibri" w:eastAsia="Calibri" w:hAnsi="Calibri" w:cs="Calibri"/>
                <w:sz w:val="21"/>
                <w:szCs w:val="21"/>
              </w:rPr>
              <w:t>model</w:t>
            </w:r>
          </w:p>
        </w:tc>
        <w:tc>
          <w:tcPr>
            <w:tcW w:w="1900" w:type="dxa"/>
            <w:tcMar>
              <w:top w:w="60" w:type="dxa"/>
              <w:left w:w="100" w:type="dxa"/>
              <w:bottom w:w="60" w:type="dxa"/>
              <w:right w:w="100" w:type="dxa"/>
            </w:tcMar>
          </w:tcPr>
          <w:p w14:paraId="6CB042A5" w14:textId="77777777" w:rsidR="00583EA8" w:rsidRDefault="00000000">
            <w:pPr>
              <w:rPr>
                <w:rFonts w:ascii="Calibri" w:eastAsia="Calibri" w:hAnsi="Calibri" w:cs="Calibri"/>
              </w:rPr>
            </w:pPr>
            <w:r>
              <w:rPr>
                <w:rFonts w:ascii="Calibri" w:eastAsia="Calibri" w:hAnsi="Calibri" w:cs="Calibri"/>
                <w:b/>
                <w:bCs/>
              </w:rPr>
              <w:t>Complete</w:t>
            </w:r>
          </w:p>
        </w:tc>
        <w:tc>
          <w:tcPr>
            <w:tcW w:w="4260" w:type="dxa"/>
            <w:tcMar>
              <w:top w:w="60" w:type="dxa"/>
              <w:left w:w="100" w:type="dxa"/>
              <w:bottom w:w="60" w:type="dxa"/>
              <w:right w:w="100" w:type="dxa"/>
            </w:tcMar>
          </w:tcPr>
          <w:p w14:paraId="40F9A383" w14:textId="77777777" w:rsidR="00583EA8" w:rsidRDefault="00000000">
            <w:pPr>
              <w:rPr>
                <w:rFonts w:ascii="Calibri" w:eastAsia="Calibri" w:hAnsi="Calibri" w:cs="Calibri"/>
              </w:rPr>
            </w:pPr>
            <w:r>
              <w:rPr>
                <w:rFonts w:ascii="Calibri" w:eastAsia="Calibri" w:hAnsi="Calibri" w:cs="Calibri"/>
              </w:rPr>
              <w:t>2,909 contracts priced (2,591 skaters, 318 goaltenders); reproduced on two machines</w:t>
            </w:r>
          </w:p>
        </w:tc>
      </w:tr>
      <w:tr w:rsidR="00583EA8" w14:paraId="78EBB98B" w14:textId="77777777">
        <w:tc>
          <w:tcPr>
            <w:tcW w:w="3200" w:type="dxa"/>
            <w:tcMar>
              <w:top w:w="60" w:type="dxa"/>
              <w:left w:w="100" w:type="dxa"/>
              <w:bottom w:w="60" w:type="dxa"/>
              <w:right w:w="100" w:type="dxa"/>
            </w:tcMar>
          </w:tcPr>
          <w:p w14:paraId="33705B12" w14:textId="77777777" w:rsidR="00583EA8" w:rsidRDefault="00000000">
            <w:pPr>
              <w:rPr>
                <w:rFonts w:ascii="Calibri" w:eastAsia="Calibri" w:hAnsi="Calibri" w:cs="Calibri"/>
              </w:rPr>
            </w:pPr>
            <w:r>
              <w:rPr>
                <w:rFonts w:ascii="Calibri" w:eastAsia="Calibri" w:hAnsi="Calibri" w:cs="Calibri"/>
              </w:rPr>
              <w:t>Independent Benchmark: Game Value</w:t>
            </w:r>
          </w:p>
        </w:tc>
        <w:tc>
          <w:tcPr>
            <w:tcW w:w="1900" w:type="dxa"/>
            <w:tcMar>
              <w:top w:w="60" w:type="dxa"/>
              <w:left w:w="100" w:type="dxa"/>
              <w:bottom w:w="60" w:type="dxa"/>
              <w:right w:w="100" w:type="dxa"/>
            </w:tcMar>
          </w:tcPr>
          <w:p w14:paraId="78628532" w14:textId="77777777" w:rsidR="00583EA8" w:rsidRDefault="00000000">
            <w:pPr>
              <w:rPr>
                <w:rFonts w:ascii="Calibri" w:eastAsia="Calibri" w:hAnsi="Calibri" w:cs="Calibri"/>
              </w:rPr>
            </w:pPr>
            <w:r>
              <w:rPr>
                <w:rFonts w:ascii="Calibri" w:eastAsia="Calibri" w:hAnsi="Calibri" w:cs="Calibri"/>
                <w:b/>
                <w:bCs/>
              </w:rPr>
              <w:t>Built &amp; validated</w:t>
            </w:r>
          </w:p>
        </w:tc>
        <w:tc>
          <w:tcPr>
            <w:tcW w:w="4260" w:type="dxa"/>
            <w:tcMar>
              <w:top w:w="60" w:type="dxa"/>
              <w:left w:w="100" w:type="dxa"/>
              <w:bottom w:w="60" w:type="dxa"/>
              <w:right w:w="100" w:type="dxa"/>
            </w:tcMar>
          </w:tcPr>
          <w:p w14:paraId="769CD030" w14:textId="77777777" w:rsidR="00583EA8" w:rsidRDefault="00000000">
            <w:pPr>
              <w:rPr>
                <w:rFonts w:ascii="Calibri" w:eastAsia="Calibri" w:hAnsi="Calibri" w:cs="Calibri"/>
              </w:rPr>
            </w:pPr>
            <w:r>
              <w:rPr>
                <w:rFonts w:ascii="Calibri" w:eastAsia="Calibri" w:hAnsi="Calibri" w:cs="Calibri"/>
              </w:rPr>
              <w:t>Game-level performance metric with zero main provider inputs</w:t>
            </w:r>
          </w:p>
        </w:tc>
      </w:tr>
      <w:tr w:rsidR="00583EA8" w14:paraId="3FEE3FFB" w14:textId="77777777">
        <w:tc>
          <w:tcPr>
            <w:tcW w:w="3200" w:type="dxa"/>
            <w:tcMar>
              <w:top w:w="60" w:type="dxa"/>
              <w:left w:w="100" w:type="dxa"/>
              <w:bottom w:w="60" w:type="dxa"/>
              <w:right w:w="100" w:type="dxa"/>
            </w:tcMar>
          </w:tcPr>
          <w:p w14:paraId="063A104C" w14:textId="77777777" w:rsidR="00583EA8" w:rsidRDefault="00000000">
            <w:pPr>
              <w:rPr>
                <w:rFonts w:ascii="Calibri" w:eastAsia="Calibri" w:hAnsi="Calibri" w:cs="Calibri"/>
              </w:rPr>
            </w:pPr>
            <w:r>
              <w:rPr>
                <w:rFonts w:ascii="Calibri" w:eastAsia="Calibri" w:hAnsi="Calibri" w:cs="Calibri"/>
              </w:rPr>
              <w:t>Circularity validation run</w:t>
            </w:r>
          </w:p>
        </w:tc>
        <w:tc>
          <w:tcPr>
            <w:tcW w:w="1900" w:type="dxa"/>
            <w:tcMar>
              <w:top w:w="60" w:type="dxa"/>
              <w:left w:w="100" w:type="dxa"/>
              <w:bottom w:w="60" w:type="dxa"/>
              <w:right w:w="100" w:type="dxa"/>
            </w:tcMar>
          </w:tcPr>
          <w:p w14:paraId="7C8FDE64" w14:textId="77777777" w:rsidR="00583EA8" w:rsidRDefault="00000000">
            <w:pPr>
              <w:rPr>
                <w:rFonts w:ascii="Calibri" w:eastAsia="Calibri" w:hAnsi="Calibri" w:cs="Calibri"/>
              </w:rPr>
            </w:pPr>
            <w:r>
              <w:rPr>
                <w:rFonts w:ascii="Calibri" w:eastAsia="Calibri" w:hAnsi="Calibri" w:cs="Calibri"/>
                <w:b/>
                <w:bCs/>
              </w:rPr>
              <w:t>Complete</w:t>
            </w:r>
          </w:p>
        </w:tc>
        <w:tc>
          <w:tcPr>
            <w:tcW w:w="4260" w:type="dxa"/>
            <w:tcMar>
              <w:top w:w="60" w:type="dxa"/>
              <w:left w:w="100" w:type="dxa"/>
              <w:bottom w:w="60" w:type="dxa"/>
              <w:right w:w="100" w:type="dxa"/>
            </w:tcMar>
          </w:tcPr>
          <w:p w14:paraId="365397AB" w14:textId="77777777" w:rsidR="00583EA8" w:rsidRDefault="00000000">
            <w:pPr>
              <w:rPr>
                <w:rFonts w:ascii="Calibri" w:eastAsia="Calibri" w:hAnsi="Calibri" w:cs="Calibri"/>
              </w:rPr>
            </w:pPr>
            <w:r>
              <w:rPr>
                <w:rFonts w:ascii="Calibri" w:eastAsia="Calibri" w:hAnsi="Calibri" w:cs="Calibri"/>
              </w:rPr>
              <w:t>Step 1 baseline tracks Game Value across all three validator variants (r = 0.56–0.61, ~6,000 player-seasons, stable across nine seasons)</w:t>
            </w:r>
          </w:p>
        </w:tc>
      </w:tr>
      <w:tr w:rsidR="00583EA8" w14:paraId="1FEB1638" w14:textId="77777777">
        <w:tc>
          <w:tcPr>
            <w:tcW w:w="3200" w:type="dxa"/>
            <w:tcMar>
              <w:top w:w="60" w:type="dxa"/>
              <w:left w:w="100" w:type="dxa"/>
              <w:bottom w:w="60" w:type="dxa"/>
              <w:right w:w="100" w:type="dxa"/>
            </w:tcMar>
          </w:tcPr>
          <w:p w14:paraId="32195740" w14:textId="77777777" w:rsidR="00583EA8" w:rsidRDefault="00000000">
            <w:pPr>
              <w:rPr>
                <w:rFonts w:ascii="Calibri" w:eastAsia="Calibri" w:hAnsi="Calibri" w:cs="Calibri"/>
              </w:rPr>
            </w:pPr>
            <w:r>
              <w:rPr>
                <w:rFonts w:ascii="Calibri" w:eastAsia="Calibri" w:hAnsi="Calibri" w:cs="Calibri"/>
              </w:rPr>
              <w:t>Draft-pick valuation</w:t>
            </w:r>
          </w:p>
        </w:tc>
        <w:tc>
          <w:tcPr>
            <w:tcW w:w="1900" w:type="dxa"/>
            <w:tcMar>
              <w:top w:w="60" w:type="dxa"/>
              <w:left w:w="100" w:type="dxa"/>
              <w:bottom w:w="60" w:type="dxa"/>
              <w:right w:w="100" w:type="dxa"/>
            </w:tcMar>
          </w:tcPr>
          <w:p w14:paraId="11350EA4" w14:textId="77777777" w:rsidR="00583EA8" w:rsidRDefault="00000000">
            <w:pPr>
              <w:rPr>
                <w:rFonts w:ascii="Calibri" w:eastAsia="Calibri" w:hAnsi="Calibri" w:cs="Calibri"/>
              </w:rPr>
            </w:pPr>
            <w:r>
              <w:rPr>
                <w:rFonts w:ascii="Calibri" w:eastAsia="Calibri" w:hAnsi="Calibri" w:cs="Calibri"/>
                <w:color w:val="FF0000"/>
              </w:rPr>
              <w:t>Curve fitted</w:t>
            </w:r>
          </w:p>
        </w:tc>
        <w:tc>
          <w:tcPr>
            <w:tcW w:w="4260" w:type="dxa"/>
            <w:tcMar>
              <w:top w:w="60" w:type="dxa"/>
              <w:left w:w="100" w:type="dxa"/>
              <w:bottom w:w="60" w:type="dxa"/>
              <w:right w:w="100" w:type="dxa"/>
            </w:tcMar>
          </w:tcPr>
          <w:p w14:paraId="3B7F5BA1" w14:textId="77777777" w:rsidR="00583EA8" w:rsidRDefault="00000000">
            <w:pPr>
              <w:rPr>
                <w:rFonts w:ascii="Calibri" w:eastAsia="Calibri" w:hAnsi="Calibri" w:cs="Calibri"/>
              </w:rPr>
            </w:pPr>
            <w:r>
              <w:rPr>
                <w:rFonts w:ascii="Calibri" w:eastAsia="Calibri" w:hAnsi="Calibri" w:cs="Calibri"/>
                <w:color w:val="FF0000"/>
              </w:rPr>
              <w:t>Yield curve fitted, $13.65M at pick 1 to $0.61M at picks 151-224, with bootstrap intervals. Pricing of actual traded picks outstanding.</w:t>
            </w:r>
          </w:p>
        </w:tc>
      </w:tr>
      <w:tr w:rsidR="00583EA8" w14:paraId="68886BBE" w14:textId="77777777">
        <w:tc>
          <w:tcPr>
            <w:tcW w:w="3200" w:type="dxa"/>
            <w:tcMar>
              <w:top w:w="60" w:type="dxa"/>
              <w:left w:w="100" w:type="dxa"/>
              <w:bottom w:w="60" w:type="dxa"/>
              <w:right w:w="100" w:type="dxa"/>
            </w:tcMar>
          </w:tcPr>
          <w:p w14:paraId="18C016F2" w14:textId="77777777" w:rsidR="00583EA8" w:rsidRDefault="00000000">
            <w:pPr>
              <w:rPr>
                <w:rFonts w:ascii="Calibri" w:eastAsia="Calibri" w:hAnsi="Calibri" w:cs="Calibri"/>
              </w:rPr>
            </w:pPr>
            <w:r>
              <w:rPr>
                <w:rFonts w:ascii="Calibri" w:eastAsia="Calibri" w:hAnsi="Calibri" w:cs="Calibri"/>
              </w:rPr>
              <w:t>Prospect valuation</w:t>
            </w:r>
          </w:p>
        </w:tc>
        <w:tc>
          <w:tcPr>
            <w:tcW w:w="1900" w:type="dxa"/>
            <w:tcMar>
              <w:top w:w="60" w:type="dxa"/>
              <w:left w:w="100" w:type="dxa"/>
              <w:bottom w:w="60" w:type="dxa"/>
              <w:right w:w="100" w:type="dxa"/>
            </w:tcMar>
          </w:tcPr>
          <w:p w14:paraId="1C3D0906" w14:textId="77777777" w:rsidR="00583EA8" w:rsidRDefault="00000000">
            <w:pPr>
              <w:rPr>
                <w:rFonts w:ascii="Calibri" w:eastAsia="Calibri" w:hAnsi="Calibri" w:cs="Calibri"/>
              </w:rPr>
            </w:pPr>
            <w:r>
              <w:rPr>
                <w:rFonts w:ascii="Calibri" w:eastAsia="Calibri" w:hAnsi="Calibri" w:cs="Calibri"/>
              </w:rPr>
              <w:t>Data assembled</w:t>
            </w:r>
          </w:p>
        </w:tc>
        <w:tc>
          <w:tcPr>
            <w:tcW w:w="4260" w:type="dxa"/>
            <w:tcMar>
              <w:top w:w="60" w:type="dxa"/>
              <w:left w:w="100" w:type="dxa"/>
              <w:bottom w:w="60" w:type="dxa"/>
              <w:right w:w="100" w:type="dxa"/>
            </w:tcMar>
          </w:tcPr>
          <w:p w14:paraId="6C8FED1D" w14:textId="77777777" w:rsidR="00583EA8" w:rsidRDefault="00000000">
            <w:pPr>
              <w:rPr>
                <w:rFonts w:ascii="Calibri" w:eastAsia="Calibri" w:hAnsi="Calibri" w:cs="Calibri"/>
              </w:rPr>
            </w:pPr>
            <w:r>
              <w:rPr>
                <w:rFonts w:ascii="Calibri" w:eastAsia="Calibri" w:hAnsi="Calibri" w:cs="Calibri"/>
              </w:rPr>
              <w:t>League-to-NHL translation factors in hand; component not yet built</w:t>
            </w:r>
          </w:p>
        </w:tc>
      </w:tr>
      <w:tr w:rsidR="00583EA8" w14:paraId="1CA537AF" w14:textId="77777777">
        <w:tc>
          <w:tcPr>
            <w:tcW w:w="3200" w:type="dxa"/>
            <w:tcMar>
              <w:top w:w="60" w:type="dxa"/>
              <w:left w:w="100" w:type="dxa"/>
              <w:bottom w:w="60" w:type="dxa"/>
              <w:right w:w="100" w:type="dxa"/>
            </w:tcMar>
          </w:tcPr>
          <w:p w14:paraId="549A3BC1" w14:textId="77777777" w:rsidR="00583EA8" w:rsidRDefault="00000000">
            <w:pPr>
              <w:rPr>
                <w:rFonts w:ascii="Calibri" w:eastAsia="Calibri" w:hAnsi="Calibri" w:cs="Calibri"/>
              </w:rPr>
            </w:pPr>
            <w:r>
              <w:rPr>
                <w:rFonts w:ascii="Calibri" w:eastAsia="Calibri" w:hAnsi="Calibri" w:cs="Calibri"/>
              </w:rPr>
              <w:t>Clause &amp; retention pricing</w:t>
            </w:r>
          </w:p>
        </w:tc>
        <w:tc>
          <w:tcPr>
            <w:tcW w:w="1900" w:type="dxa"/>
            <w:tcMar>
              <w:top w:w="60" w:type="dxa"/>
              <w:left w:w="100" w:type="dxa"/>
              <w:bottom w:w="60" w:type="dxa"/>
              <w:right w:w="100" w:type="dxa"/>
            </w:tcMar>
          </w:tcPr>
          <w:p w14:paraId="3BF32BE3" w14:textId="77777777" w:rsidR="00583EA8" w:rsidRDefault="00000000">
            <w:pPr>
              <w:rPr>
                <w:rFonts w:ascii="Calibri" w:eastAsia="Calibri" w:hAnsi="Calibri" w:cs="Calibri"/>
              </w:rPr>
            </w:pPr>
            <w:r>
              <w:rPr>
                <w:rFonts w:ascii="Calibri" w:eastAsia="Calibri" w:hAnsi="Calibri" w:cs="Calibri"/>
              </w:rPr>
              <w:t>Data joined</w:t>
            </w:r>
          </w:p>
        </w:tc>
        <w:tc>
          <w:tcPr>
            <w:tcW w:w="4260" w:type="dxa"/>
            <w:tcMar>
              <w:top w:w="60" w:type="dxa"/>
              <w:left w:w="100" w:type="dxa"/>
              <w:bottom w:w="60" w:type="dxa"/>
              <w:right w:w="100" w:type="dxa"/>
            </w:tcMar>
          </w:tcPr>
          <w:p w14:paraId="7AE775F5" w14:textId="77777777" w:rsidR="00583EA8" w:rsidRDefault="00000000">
            <w:pPr>
              <w:rPr>
                <w:rFonts w:ascii="Calibri" w:eastAsia="Calibri" w:hAnsi="Calibri" w:cs="Calibri"/>
              </w:rPr>
            </w:pPr>
            <w:r>
              <w:rPr>
                <w:rFonts w:ascii="Calibri" w:eastAsia="Calibri" w:hAnsi="Calibri" w:cs="Calibri"/>
              </w:rPr>
              <w:t>Clause status attached to every contract-season; pricing belongs to the back-test phase</w:t>
            </w:r>
          </w:p>
        </w:tc>
      </w:tr>
      <w:tr w:rsidR="00583EA8" w14:paraId="678EA162" w14:textId="77777777">
        <w:tc>
          <w:tcPr>
            <w:tcW w:w="3200" w:type="dxa"/>
            <w:tcMar>
              <w:top w:w="60" w:type="dxa"/>
              <w:left w:w="100" w:type="dxa"/>
              <w:bottom w:w="60" w:type="dxa"/>
              <w:right w:w="100" w:type="dxa"/>
            </w:tcMar>
          </w:tcPr>
          <w:p w14:paraId="0955FBD6" w14:textId="77777777" w:rsidR="00583EA8" w:rsidRDefault="00000000">
            <w:pPr>
              <w:rPr>
                <w:rFonts w:ascii="Calibri" w:eastAsia="Calibri" w:hAnsi="Calibri" w:cs="Calibri"/>
              </w:rPr>
            </w:pPr>
            <w:r>
              <w:rPr>
                <w:rFonts w:ascii="Calibri" w:eastAsia="Calibri" w:hAnsi="Calibri" w:cs="Calibri"/>
              </w:rPr>
              <w:t>Trade back-test</w:t>
            </w:r>
          </w:p>
        </w:tc>
        <w:tc>
          <w:tcPr>
            <w:tcW w:w="1900" w:type="dxa"/>
            <w:tcMar>
              <w:top w:w="60" w:type="dxa"/>
              <w:left w:w="100" w:type="dxa"/>
              <w:bottom w:w="60" w:type="dxa"/>
              <w:right w:w="100" w:type="dxa"/>
            </w:tcMar>
          </w:tcPr>
          <w:p w14:paraId="42AAEA41" w14:textId="77777777" w:rsidR="00583EA8" w:rsidRDefault="00000000">
            <w:pPr>
              <w:rPr>
                <w:rFonts w:ascii="Calibri" w:eastAsia="Calibri" w:hAnsi="Calibri" w:cs="Calibri"/>
              </w:rPr>
            </w:pPr>
            <w:r>
              <w:rPr>
                <w:rFonts w:ascii="Calibri" w:eastAsia="Calibri" w:hAnsi="Calibri" w:cs="Calibri"/>
              </w:rPr>
              <w:t>Awaits components 2–3</w:t>
            </w:r>
          </w:p>
        </w:tc>
        <w:tc>
          <w:tcPr>
            <w:tcW w:w="4260" w:type="dxa"/>
            <w:tcMar>
              <w:top w:w="60" w:type="dxa"/>
              <w:left w:w="100" w:type="dxa"/>
              <w:bottom w:w="60" w:type="dxa"/>
              <w:right w:w="100" w:type="dxa"/>
            </w:tcMar>
          </w:tcPr>
          <w:p w14:paraId="31E98B38" w14:textId="77777777" w:rsidR="00583EA8" w:rsidRDefault="00000000">
            <w:pPr>
              <w:rPr>
                <w:rFonts w:ascii="Calibri" w:eastAsia="Calibri" w:hAnsi="Calibri" w:cs="Calibri"/>
              </w:rPr>
            </w:pPr>
            <w:r>
              <w:rPr>
                <w:rFonts w:ascii="Calibri" w:eastAsia="Calibri" w:hAnsi="Calibri" w:cs="Calibri"/>
              </w:rPr>
              <w:t>Trade ledger prepared and categorized</w:t>
            </w:r>
          </w:p>
        </w:tc>
      </w:tr>
    </w:tbl>
    <w:p w14:paraId="65D215B9" w14:textId="77777777" w:rsidR="00583EA8" w:rsidRDefault="00583EA8">
      <w:pPr>
        <w:spacing w:after="160"/>
        <w:rPr>
          <w:rFonts w:ascii="Calibri" w:eastAsia="Calibri" w:hAnsi="Calibri" w:cs="Calibri"/>
        </w:rPr>
      </w:pPr>
    </w:p>
    <w:p w14:paraId="47985457" w14:textId="77777777" w:rsidR="00583EA8" w:rsidRDefault="00000000">
      <w:pPr>
        <w:pStyle w:val="Heading1"/>
        <w:spacing w:before="300" w:after="120"/>
        <w:rPr>
          <w:rFonts w:ascii="Calibri" w:eastAsia="Calibri" w:hAnsi="Calibri" w:cs="Calibri"/>
        </w:rPr>
      </w:pPr>
      <w:r>
        <w:rPr>
          <w:rFonts w:ascii="Calibri" w:eastAsia="Calibri" w:hAnsi="Calibri" w:cs="Calibri"/>
          <w:b/>
          <w:bCs/>
          <w:color w:val="1A1A1A"/>
          <w:sz w:val="26"/>
          <w:szCs w:val="26"/>
        </w:rPr>
        <w:t>3. Data Assembled</w:t>
      </w:r>
    </w:p>
    <w:p w14:paraId="39E86A4B"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Contracts and trades.</w:t>
      </w:r>
      <w:r>
        <w:rPr>
          <w:rFonts w:ascii="Calibri" w:eastAsia="Calibri" w:hAnsi="Calibri" w:cs="Calibri"/>
          <w:color w:val="000000"/>
          <w:sz w:val="21"/>
          <w:szCs w:val="21"/>
        </w:rPr>
        <w:t xml:space="preserve"> A commercial contract database (PuckPedia) supplies every NHL contract’s terms, and its trade ledger records 980 trades from 2018 through 2026. These collapse into 946 distinct trade events.</w:t>
      </w:r>
    </w:p>
    <w:p w14:paraId="24428D2C"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Player production.</w:t>
      </w:r>
      <w:r>
        <w:rPr>
          <w:rFonts w:ascii="Calibri" w:eastAsia="Calibri" w:hAnsi="Calibri" w:cs="Calibri"/>
          <w:color w:val="000000"/>
          <w:sz w:val="21"/>
          <w:szCs w:val="21"/>
        </w:rPr>
        <w:t xml:space="preserve"> All production measurement comes from one published wins-above-replacement (WAR) model (Patrick Bacon, hockeystats.com).</w:t>
      </w:r>
    </w:p>
    <w:p w14:paraId="282EA73B"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Trade-protection clauses.</w:t>
      </w:r>
      <w:r>
        <w:rPr>
          <w:rFonts w:ascii="Calibri" w:eastAsia="Calibri" w:hAnsi="Calibri" w:cs="Calibri"/>
          <w:color w:val="000000"/>
          <w:sz w:val="21"/>
          <w:szCs w:val="21"/>
        </w:rPr>
        <w:t xml:space="preserve"> Clause status (no-trade / no-movement, full or modified, season by season) is absent from the contract database, so I scraped it from a public capologist site (Capspace): roughly 1,700 players and 15,261 contract-seasons, a 97.7 percent hit rate on target players, cross-checked against a second public source (Capwages) with 93.4 percent agreement. Disagreements will be resolved by hand. Clause status is now joined onto every contract-season.</w:t>
      </w:r>
    </w:p>
    <w:p w14:paraId="20D23889"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lastRenderedPageBreak/>
        <w:t>A self-built game-level database.</w:t>
      </w:r>
      <w:r>
        <w:rPr>
          <w:rFonts w:ascii="Calibri" w:eastAsia="Calibri" w:hAnsi="Calibri" w:cs="Calibri"/>
          <w:color w:val="000000"/>
          <w:sz w:val="21"/>
          <w:szCs w:val="21"/>
        </w:rPr>
        <w:t xml:space="preserve"> Raw play-by-play and shift data for 11,870 games (2017-18 through 2025-26; 427,241 player-game observations) scraped from the NHL’s public API, from which </w:t>
      </w:r>
      <w:r>
        <w:rPr>
          <w:rFonts w:ascii="Calibri" w:eastAsia="Calibri" w:hAnsi="Calibri" w:cs="Calibri"/>
          <w:color w:val="000000"/>
        </w:rPr>
        <w:t>Game Value</w:t>
      </w:r>
      <w:r>
        <w:rPr>
          <w:rFonts w:ascii="Calibri" w:eastAsia="Calibri" w:hAnsi="Calibri" w:cs="Calibri"/>
          <w:color w:val="000000"/>
          <w:sz w:val="21"/>
          <w:szCs w:val="21"/>
        </w:rPr>
        <w:t xml:space="preserve"> is built.</w:t>
      </w:r>
    </w:p>
    <w:p w14:paraId="3BCF98CA" w14:textId="77777777" w:rsidR="00583EA8" w:rsidRDefault="00000000">
      <w:pPr>
        <w:pStyle w:val="Heading1"/>
        <w:spacing w:before="300" w:after="120"/>
        <w:rPr>
          <w:rFonts w:ascii="Calibri" w:eastAsia="Calibri" w:hAnsi="Calibri" w:cs="Calibri"/>
        </w:rPr>
      </w:pPr>
      <w:r>
        <w:rPr>
          <w:rFonts w:ascii="Calibri" w:eastAsia="Calibri" w:hAnsi="Calibri" w:cs="Calibri"/>
          <w:b/>
          <w:bCs/>
          <w:color w:val="1A1A1A"/>
          <w:sz w:val="26"/>
          <w:szCs w:val="26"/>
        </w:rPr>
        <w:t>4. Complete: Player Valuation Model</w:t>
      </w:r>
    </w:p>
    <w:p w14:paraId="26255FFE" w14:textId="77777777" w:rsidR="00583EA8" w:rsidRDefault="00000000">
      <w:pPr>
        <w:spacing w:after="160" w:line="300" w:lineRule="auto"/>
        <w:rPr>
          <w:rFonts w:ascii="Calibri" w:eastAsia="Calibri" w:hAnsi="Calibri" w:cs="Calibri"/>
        </w:rPr>
      </w:pPr>
      <w:r>
        <w:rPr>
          <w:rFonts w:ascii="Calibri" w:eastAsia="Calibri" w:hAnsi="Calibri" w:cs="Calibri"/>
          <w:color w:val="FF0000"/>
          <w:sz w:val="21"/>
          <w:szCs w:val="21"/>
        </w:rPr>
        <w:t xml:space="preserve">The model was rebuilt in July 2026 following a full internal review. The changes are recorded in the review resolution document; the description below reflects the rebuilt model. </w:t>
      </w:r>
      <w:r>
        <w:rPr>
          <w:rFonts w:ascii="Calibri" w:eastAsia="Calibri" w:hAnsi="Calibri" w:cs="Calibri"/>
          <w:sz w:val="21"/>
          <w:szCs w:val="21"/>
        </w:rPr>
        <w:t xml:space="preserve">The model takes any NHL contract at any valuation date and returns a present value in surplus dollars. Every later component prices into it. The steps below describe the skater model, which covers 2,591 of the 2,909 contracts. Goaltenders are handled separately. </w:t>
      </w:r>
    </w:p>
    <w:p w14:paraId="02E04840"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 xml:space="preserve">Step 1: Measuring current production </w:t>
      </w:r>
    </w:p>
    <w:p w14:paraId="714082D5" w14:textId="53226289"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Each valuation needs a starting estimate of how well a player is currently playing. A player’s production fluctuates from year to year for reasons unrelated to his underlying talent; therefore, the model uses a weighted average of the two seasons preceding the valuation date: 60 percent weight on the season immediately before valuation (t−1) and 40 percent on the season before that (t−2). If only one of the two exists, it is used alone. If neither does, the player gets no baseline and is priced only once he has a qualifying season. A prior season only counts if the player logged at least 10 games in it, which screens out call-ups. The 60/40 split is an assumption, as it has not been cross-validated. </w:t>
      </w:r>
      <w:r w:rsidR="007D2BF0">
        <w:rPr>
          <w:rFonts w:ascii="Calibri" w:eastAsia="Calibri" w:hAnsi="Calibri" w:cs="Calibri"/>
          <w:sz w:val="21"/>
          <w:szCs w:val="21"/>
        </w:rPr>
        <w:t>My friend who works in professional sports analytics suggested to me that a three-season weighted average is likely to be more predictive of contract value and future performance, so that is being tested.</w:t>
      </w:r>
    </w:p>
    <w:p w14:paraId="52E81F70"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 xml:space="preserve">Step 2: Denoising and mean reversion </w:t>
      </w:r>
    </w:p>
    <w:p w14:paraId="2E0AF869"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Two seasons are still a small sample, and projecting that figure forward unadjusted would over-trust a hot or cold stretch. So, before any forward projection happens, the model builds a second, independent estimate of where a player of this type and this age typically would sit and pulls the baseline partway toward it.</w:t>
      </w:r>
    </w:p>
    <w:p w14:paraId="75E89D1F" w14:textId="77777777" w:rsidR="00583EA8" w:rsidRDefault="00000000">
      <w:pPr>
        <w:spacing w:after="160" w:line="300" w:lineRule="auto"/>
        <w:rPr>
          <w:rFonts w:ascii="Calibri" w:eastAsia="Calibri" w:hAnsi="Calibri" w:cs="Calibri"/>
          <w:sz w:val="21"/>
          <w:szCs w:val="21"/>
        </w:rPr>
      </w:pPr>
      <w:r>
        <w:rPr>
          <w:rFonts w:ascii="Calibri" w:eastAsia="Calibri" w:hAnsi="Calibri" w:cs="Calibri"/>
          <w:sz w:val="21"/>
          <w:szCs w:val="21"/>
        </w:rPr>
        <w:t>The “typical level” comes from a comparable-player search. For every qualifying player-season in the data, the model builds a profile of eight numbers: the share of his production coming from each of five components (even-strength offence, even-strength defence, power play, penalty kill, and shooting), his average ice time per game, his smoothed production level, and his recent trend. Each number is standardized within position; for example, a defenceman’s ice-time share is measured against other defencemen. Usage, level, and trend each carry a weight of 25%, with the five style components splitting the remaining 25% equally. Equal weighting is an assumption. It was never varied in testing.</w:t>
      </w:r>
    </w:p>
    <w:p w14:paraId="77E0AB50" w14:textId="77777777" w:rsidR="00583EA8" w:rsidRDefault="00000000">
      <w:pPr>
        <w:spacing w:after="160" w:line="300" w:lineRule="auto"/>
        <w:rPr>
          <w:rFonts w:ascii="Calibri" w:eastAsia="Calibri" w:hAnsi="Calibri" w:cs="Calibri"/>
        </w:rPr>
      </w:pPr>
      <w:r>
        <w:rPr>
          <w:rFonts w:ascii="Calibri" w:eastAsia="Calibri" w:hAnsi="Calibri" w:cs="Calibri"/>
        </w:rPr>
        <w:t xml:space="preserve">The model compares that profile against every profile at the same position and the same age in whole years. There is no shortlist or cut-off: each candidate receives a weight that decreases with its distance from the target (e.g., near-identical players count heavily and dissimilar ones count for almost nothing). How fast the weights decrease comes from the data. The model measures the distance between thousands of random same-position pairs and takes the middle value; a candidate closer than a typical pair counts a lot, one further away counts little. Nothing in the search is tuned against the outcomes the model is later judged on. </w:t>
      </w:r>
    </w:p>
    <w:p w14:paraId="0119226A" w14:textId="77777777" w:rsidR="00583EA8" w:rsidRDefault="00000000">
      <w:pPr>
        <w:spacing w:after="160" w:line="300" w:lineRule="auto"/>
        <w:rPr>
          <w:rFonts w:ascii="Calibri" w:eastAsia="Calibri" w:hAnsi="Calibri" w:cs="Calibri"/>
        </w:rPr>
      </w:pPr>
      <w:r>
        <w:rPr>
          <w:rFonts w:ascii="Calibri" w:eastAsia="Calibri" w:hAnsi="Calibri" w:cs="Calibri"/>
        </w:rPr>
        <w:t>A pool built from whole career trajectories would admit only players whose careers were long enough to profile, therefore making it exposed to survivorship bias. For example, a struggling 22-year-old would have his typical level pulled toward the level of 22-year-olds who went on to have long careers. The model avoids this by matching at a single age. Any player who logged a qualifying season at 22 is eligible, including those out of the league by 25. Symmetrically, the pool is also restricted to players who reached that age.</w:t>
      </w:r>
    </w:p>
    <w:p w14:paraId="3C49E3D9" w14:textId="77777777" w:rsidR="00583EA8" w:rsidRDefault="00000000">
      <w:pPr>
        <w:spacing w:after="160" w:line="300" w:lineRule="auto"/>
        <w:rPr>
          <w:rFonts w:ascii="Calibri" w:eastAsia="Calibri" w:hAnsi="Calibri" w:cs="Calibri"/>
        </w:rPr>
      </w:pPr>
      <w:r>
        <w:rPr>
          <w:rFonts w:ascii="Calibri" w:eastAsia="Calibri" w:hAnsi="Calibri" w:cs="Calibri"/>
        </w:rPr>
        <w:lastRenderedPageBreak/>
        <w:t>Four design choices were each tested on and off, in every combination, against held-out players: smoothing the baseline, matching at the player’s age versus on his whole career shape, applying mean reversion at all, and adding a durability trait. Smoothing and age matching produced the error improvement. Durability added nothing and was dropped.</w:t>
      </w:r>
    </w:p>
    <w:p w14:paraId="79B6BD2B"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The blend itself is a single weighted average: the baseline equals a mean-reversion weight, applied to the player’s own smoothed level, plus one minus that weight, applied to the comparable-type-and-age norm. That weight was estimated. The cross-validated value came out at 0.55, so the player’s own recent form receives 55 percent of the weight and the age-and-style comparable norm receives the remaining 45 percent. </w:t>
      </w:r>
    </w:p>
    <w:p w14:paraId="72840EE8"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Step 3: Projecting forward with the aging curve</w:t>
      </w:r>
    </w:p>
    <w:p w14:paraId="4F3CD6E3"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From the mean-reversion baseline, future contract seasons are projected on an aging curve, which is the age-conditional pattern of how production changes from one season to the next. The comparable weights from Step 2 are reused here. The model takes that same weighted set of players, averages what their production did from each age to the next, and shrinks the result toward the broad position-and-age pattern exactly as the level estimate does. A player is, therefore, aged on the observed trajectories of players who resembled him at his age. Those trajectories are within-player changes, focusing on the season-over-season movement of the same player, rather than the gap between the average 25-year-old and the average 26-year-old being treated as two separate groups. That matters, because differencing two age groups is exposed to survivorship. If weaker players leave the league by 26, the average 26-year-old looks better than any individual 25-year-old actually became, purely from who dropped out.</w:t>
      </w:r>
    </w:p>
    <w:p w14:paraId="6C0C9F00"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A within-player change requires the player to appear in both seasons, so the curve describes how production moves among players who kept playing, and says nothing of the players who did not. Step 5 prices that margin separately through an exit hazard estimated on the same data. Multiplied together they give the expected value of a future season. The one case that neither reach is a player whose production collapses but stays in the league, which is the subject of the section below.</w:t>
      </w:r>
    </w:p>
    <w:p w14:paraId="3B3CA95A"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Held-out careers grade the curve. Against the simplest alternative, holding every player flat at his current level, the curve cuts average projection error by roughly 15 percent one year out and 18 percent six years out. The advantage grows with distance because “no change” gets worse the further out you look.</w:t>
      </w:r>
    </w:p>
    <w:p w14:paraId="2139C055"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A consequential case: players currently below replacement level</w:t>
      </w:r>
    </w:p>
    <w:p w14:paraId="3F94402A"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One population required its own design decision: players whose recent trailing production is below replacement level, meaning below the level of a freely available call-up player (a negative baseline). A generic aging-curve multiplier is unstable here, because multiplying an already-negative number by a decay factor can push the projection in whichever direction the math happens to point. For instance, a player whose baseline is −0.5 wins. If the curve says players his age decline to 90 percent of their prior level, multiplying gives −0.45: the decline made him better. A rise does the opposite. The sign of the baseline flips what the multiplier means. Three approaches were tested here:</w:t>
      </w:r>
    </w:p>
    <w:p w14:paraId="356E6972"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First attempt: freeze any weak baseline flat.</w:t>
      </w:r>
      <w:r>
        <w:rPr>
          <w:rFonts w:ascii="Calibri" w:eastAsia="Calibri" w:hAnsi="Calibri" w:cs="Calibri"/>
          <w:color w:val="000000"/>
          <w:sz w:val="21"/>
          <w:szCs w:val="21"/>
        </w:rPr>
        <w:t xml:space="preserve"> Hold anything below a low threshold at its current level rather than projecting it. This was rejected because it discarded relevant information: players with mildly positive but still low production were denied any aging-curve treatment, for no principled reason.</w:t>
      </w:r>
    </w:p>
    <w:p w14:paraId="67CFFA40"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lastRenderedPageBreak/>
        <w:t>Second attempt: reflect the curve.</w:t>
      </w:r>
      <w:r>
        <w:rPr>
          <w:rFonts w:ascii="Calibri" w:eastAsia="Calibri" w:hAnsi="Calibri" w:cs="Calibri"/>
          <w:color w:val="000000"/>
          <w:sz w:val="21"/>
          <w:szCs w:val="21"/>
        </w:rPr>
        <w:t xml:space="preserve"> For negative baselines, apply the aging multiplier in reverse. Here, a curve indicating decline pushes an already-struggling player further down, symmetrically to how it would push a strong player up. This is coherent in theory, and it beat the freeze at a one-year horizon by roughly 2 percent. But it inverted at longer horizons, running 4 to 8 percent worse than freezing by the third year out. This produced the finding that among below-replacement players who stayed in the league, 93 percent improved the next season and 81 percent finished back above replacement, with the group average moving from roughly −0.22 wins to +0.32. </w:t>
      </w:r>
    </w:p>
    <w:p w14:paraId="30C0602A"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Chosen approach: reversion to replacement.</w:t>
      </w:r>
      <w:r>
        <w:rPr>
          <w:rFonts w:ascii="Calibri" w:eastAsia="Calibri" w:hAnsi="Calibri" w:cs="Calibri"/>
          <w:color w:val="000000"/>
          <w:sz w:val="21"/>
          <w:szCs w:val="21"/>
        </w:rPr>
        <w:t xml:space="preserve"> The valuation season itself keeps the player’s actual measured baseline, preserving internal consistency with the observed-season valuation. Every projected future season is set to exactly replacement level (zero wins above replacement) rather than extrapolated from the negative baseline. This rule beat both prior approaches at every horizon in an out-of-sample historical validation covering 2018 through 2022. </w:t>
      </w:r>
    </w:p>
    <w:p w14:paraId="5F35E8D9"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Step 4: End-of-contract value under restricted free agency</w:t>
      </w:r>
    </w:p>
    <w:p w14:paraId="3232B283"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A contract expiring into unrestricted free agency carries no further value to the current club beyond its final season; however, one expiring into restricted free agency does. The club retains exclusive negotiating rights over the player for additional seasons, at a cost set by the collective bargaining agreement’s qualifying-offer formula rather than by open-market bidding. The model walks the Step 3 projection forward through these controlled years and prices each against the formula in force that season.</w:t>
      </w:r>
    </w:p>
    <w:p w14:paraId="5DF711B9"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Each controlled year is then weighted by the observed probability that a club actually extends the qualifying offer to a player of that projected quality. That probability comes from 1,231 real qualify-or-walk decisions, split by quality tier: clubs retain established stars in essentially 100 percent of cases, solid regulars about 94 percent of the time, fringe roster players about 80 percent of the time, and players already below replacement about 70 percent of the time. The first version had no calibration. It assumed a club extends the offer whenever the projected value covers the cost, and since even a zero-win control year projects as worth more than most qualifying offers, nearly every player looked worth keeping. It caught only 18 percent of the 614 cases where clubs actually walked. Replacing that assumption with the observed rates cuts a fringe player’s median terminal value from $3.0 million to $1.9 million.</w:t>
      </w:r>
    </w:p>
    <w:p w14:paraId="6A6FC0A5"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Step 5: Discounting to present value</w:t>
      </w:r>
    </w:p>
    <w:p w14:paraId="5C3E5CFF"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Future contract seasons are discounted by two factors. The first is the probability that the player’s career ends before that season arrives. This is estimated from the historical data by player quality tier and age band, meaning established players (stars and regulars) exit the league at only about one percent per year, while marginal players (fringe and below-replacement quality) exit at 10 to 19 percent per year, and this hazard compounds sharply for any player past his mid-thirties. The second is the growth of the salary cap, assumed at 3 percent a year from the valuation season’s known salary cap ceiling, which erodes the relative value of a fixed future dollar. The 3 percent is a planning assumption. Both sides of a trade share it, so error in the rate largely cancels in the surplus ratios.</w:t>
      </w:r>
    </w:p>
    <w:p w14:paraId="5F82816B"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Deliberately excluded from the discount rate is any allowance for managerial impatience (the idea that a general manager might discount the future more heavily than the underlying economics warrant, out of short-term pressure to win now). If that tendency were built into the model’s own discount rate, the back-test could never </w:t>
      </w:r>
      <w:r>
        <w:rPr>
          <w:rFonts w:ascii="Calibri" w:eastAsia="Calibri" w:hAnsi="Calibri" w:cs="Calibri"/>
          <w:sz w:val="21"/>
          <w:szCs w:val="21"/>
        </w:rPr>
        <w:lastRenderedPageBreak/>
        <w:t>detect managers over-discounting the future. The discount rate is built from fundamentals only, survival risk, and cap growth, so any managerial short-termism in the data surfaces as a result of the back-test.</w:t>
      </w:r>
    </w:p>
    <w:p w14:paraId="2CABDD75"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Assembling the number</w:t>
      </w:r>
    </w:p>
    <w:p w14:paraId="585BA772"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The market rate does the conversion from wins to dollars. </w:t>
      </w:r>
      <w:r>
        <w:rPr>
          <w:rFonts w:ascii="Calibri" w:eastAsia="Calibri" w:hAnsi="Calibri" w:cs="Calibri"/>
          <w:color w:val="FF0000"/>
          <w:sz w:val="21"/>
          <w:szCs w:val="21"/>
        </w:rPr>
        <w:t xml:space="preserve">It is a censored regression of a contract’s cap share on its trailing weighted WAR, fitted on 2,349 skater contract starts from 2018 to 2025. The censoring matters: 529 of those contracts sit exactly at the league minimum, where the club could not legally offer less, so the price is not a negotiated figure and a plain regression treating it as one drags the fitted line upward at the bottom. A replacement-level skater prices at 1.32 percent of the cap, which is $1.27 million at the 2025-26 ceiling. Each additional win adds 2.12 percent for a forward and 2.41 percent for a defenceman, which is $2.03 million and $2.30 million. Position enters as a difference in slope and not as a constant, because at zero measured wins the market pays the two positions alike. One line prices both restricted and unrestricted free agents, because the two are not statistically distinguishable, which holds under the censored fit as well as the original one (p = 0.16 on separate intercepts, p = 0.37 on separate intercepts and slopes). </w:t>
      </w:r>
    </w:p>
    <w:p w14:paraId="4F33A75D"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The 2018 floor is due to the contract source export thinning out before then: 63, 223, and 452 contracts for 2015, 2016 and 2017, against roughly 700 a year from 2018 onward. Fitting on those seasons would estimate the rate on whichever contracts happened to survive in the export.</w:t>
      </w:r>
    </w:p>
    <w:p w14:paraId="0BA88AA8"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Each projected season’s wins-above-replacement figure is converted to dollars at that rate, floored at that season’s league-minimum salary, netted against the contract’s actual cap charge for that season, and discounted. Summing across every season of the contract, plus any restricted-free-agency control years from Step 4, produces one present-value figure in surplus dollars per contract. </w:t>
      </w:r>
    </w:p>
    <w:p w14:paraId="5BDC09C6"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Goaltenders</w:t>
      </w:r>
    </w:p>
    <w:p w14:paraId="236FDA5B"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The remaining 318 contracts are goaltenders, and they run a plainer version of the same chain, with no comparable search or aging curve. A goalie’s baseline is a trailing weighted average over his last three seasons (50/30/20, falling back to 60/40 or to a single season when the history is thinner), then shrunk 65 percent of the way to the league average, against 45 percent for skaters. That is because goalie performance barely persists from one season to the next. Pricing then uses a separately fitted goalie rate, because the skater rate does not transfer.</w:t>
      </w:r>
    </w:p>
    <w:p w14:paraId="15189E57" w14:textId="77777777" w:rsidR="00583EA8" w:rsidRDefault="00000000">
      <w:pPr>
        <w:pStyle w:val="Heading1"/>
        <w:spacing w:before="300" w:after="120"/>
        <w:rPr>
          <w:rFonts w:ascii="Calibri" w:eastAsia="Calibri" w:hAnsi="Calibri" w:cs="Calibri"/>
        </w:rPr>
      </w:pPr>
      <w:r>
        <w:rPr>
          <w:rFonts w:ascii="Calibri" w:eastAsia="Calibri" w:hAnsi="Calibri" w:cs="Calibri"/>
          <w:b/>
          <w:bCs/>
          <w:color w:val="1A1A1A"/>
          <w:sz w:val="26"/>
          <w:szCs w:val="26"/>
        </w:rPr>
        <w:t>5. Identification Threats</w:t>
      </w:r>
    </w:p>
    <w:p w14:paraId="6C7F3BCE"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Look-ahead bias</w:t>
      </w:r>
    </w:p>
    <w:p w14:paraId="6826439F"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A back-test that uses information from the future misjudges past decisions, altering the point-in-time outlook of decisions based on what happened afterwards. Each valuation uses only data that existed before the decision date. Production baselines come exclusively from the seasons preceding the valuation season. The comparable search runs at the player’s trailing age and excludes his own later seasons, so he never sits among the players teaching the model how someone like him ages. The salary-cap trajectory assumed in discounting is the path a contemporary would have projected, never the realized one (e.g., a 2019 valuation is not allowed to know the pandemic froze the cap).</w:t>
      </w:r>
    </w:p>
    <w:p w14:paraId="1EFD1949"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lastRenderedPageBreak/>
        <w:t xml:space="preserve">One exception is known and left in place. The comparable bank and the aging pattern are fitted on the full panel; for example, a projection dated 2019 uses aging parameters estimated partly from seasons after 2019. No individual player’s own future reaches his own valuation. What crosses the line is a population regularity, which is why I logged it as a limitation to document. </w:t>
      </w:r>
      <w:r>
        <w:rPr>
          <w:rFonts w:ascii="Calibri" w:eastAsia="Calibri" w:hAnsi="Calibri" w:cs="Calibri"/>
          <w:color w:val="FF0000"/>
          <w:sz w:val="21"/>
          <w:szCs w:val="21"/>
        </w:rPr>
        <w:t xml:space="preserve">Two further components carry the same exposure and are now stated alongside it: the market rate and the retirement-risk table are each fitted on the whole window and applied backwards. The defence is the same for all three, which is that these are structural market parameters rather than player-specific information. The check has been run for the market rate. Fitted on 2018 to 2021 alone the value of a replacement player moves by −3.0 percent, the forward rate by +1.5 percent and the defence rate by +2.9 percent; fitted on 2022 to 2025 alone the moves are +2.7, −1.1 and −2.3 percent. A two-win valuation moves by $32,000 out of $5.3 million. [TBD: the same check for the aging curve and the risk table.] </w:t>
      </w:r>
    </w:p>
    <w:p w14:paraId="6EBFB5EC"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Circularity</w:t>
      </w:r>
    </w:p>
    <w:p w14:paraId="4BB3059C"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Each valuation is built from Patrick Bacon’s WAR, and the market rate that turns wins into dollars is fitted on WAR. Checking the model against any other measure derived from WAR would only show that it agrees with itself. The check needs a measure of on-ice performance with no Patrick Bacon input in it.</w:t>
      </w:r>
    </w:p>
    <w:p w14:paraId="2DEB1AA6"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Game Value is that measure: a game-level performance score built from raw league play-by-play, using shot quality, on-ice events, and penalties. I wrote it to apportion a traded player’s season across his two teams, because Patrick Bacon publishes full-season totals only, and it serves here as well. Aggregated to team-seasons, Game Value explains 58.3 percent of the variance in real goal differential, having been fitted to nothing. It comes in two versions: adjusted, which separates a player from his teammates and opposition, and raw, which does not.</w:t>
      </w:r>
    </w:p>
    <w:p w14:paraId="2F6A1824"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The quantity tested is the Step 1 baseline: a player’s 60/40 blend of his two prior seasons of WAR, which is what the market rate converts into dollars. For each of 6,027 player-seasons, that baseline is scored against what the player actually did in that season according to Game Value. Both sides are measured in wins, so the WAR-derived dollar rate never touches the outcome side. </w:t>
      </w:r>
    </w:p>
    <w:p w14:paraId="142CDBA5"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Against adjusted Game Value the two agree at a correlation of 0.58, holding between 0.55 and 0.61 in every one of the nine seasons. Graded a season further out, against the following season’s Game Value, it gives 0.54. Against raw Game Value the figures are 0.61 measured from a replacement baseline and 0.56 measured from the league average. All three land in the same band, so the agreement does not depend on Game Value’s adjustment layer.</w:t>
      </w:r>
    </w:p>
    <w:p w14:paraId="17F3161F"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This is convergent validity, not proof that the dollar level of a win is right, and no pass-or-fail threshold was set after the fact. There exist two qualifications with this: agreement is strong for forwards (0.65) and weak for defencemen (0.30). That is a known limit of Game Value, which reads defensive play poorly off shot and shift data. The independence is also narrow: WAR and Game Value share no model and no data source, which is what breaks the circularity, but they describe the same games. </w:t>
      </w:r>
    </w:p>
    <w:p w14:paraId="63A45A2F" w14:textId="77777777" w:rsidR="00583EA8" w:rsidRDefault="00000000">
      <w:pPr>
        <w:pStyle w:val="Heading2"/>
        <w:spacing w:before="220" w:after="100"/>
        <w:rPr>
          <w:rFonts w:ascii="Calibri" w:eastAsia="Calibri" w:hAnsi="Calibri" w:cs="Calibri"/>
        </w:rPr>
      </w:pPr>
      <w:r>
        <w:rPr>
          <w:rFonts w:ascii="Calibri" w:eastAsia="Calibri" w:hAnsi="Calibri" w:cs="Calibri"/>
          <w:b/>
          <w:bCs/>
          <w:color w:val="333333"/>
          <w:sz w:val="22"/>
          <w:szCs w:val="22"/>
        </w:rPr>
        <w:t>Selection bias</w:t>
      </w:r>
    </w:p>
    <w:p w14:paraId="33249C62"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 xml:space="preserve">Trades occur only when two clubs agree, so observed trades are a selected sample, and the counterfactual (the trades not made) is unobservable. This one is structural and is documented as a limitation. </w:t>
      </w:r>
    </w:p>
    <w:p w14:paraId="1E90373E" w14:textId="77777777" w:rsidR="00583EA8" w:rsidRDefault="00000000">
      <w:pPr>
        <w:pStyle w:val="Heading1"/>
        <w:spacing w:before="300" w:after="120"/>
        <w:rPr>
          <w:rFonts w:ascii="Calibri" w:eastAsia="Calibri" w:hAnsi="Calibri" w:cs="Calibri"/>
        </w:rPr>
      </w:pPr>
      <w:r>
        <w:rPr>
          <w:rFonts w:ascii="Calibri" w:eastAsia="Calibri" w:hAnsi="Calibri" w:cs="Calibri"/>
          <w:b/>
          <w:bCs/>
          <w:color w:val="1A1A1A"/>
          <w:sz w:val="26"/>
          <w:szCs w:val="26"/>
        </w:rPr>
        <w:t>6. One Open Design Decision: Ascending Young Players</w:t>
      </w:r>
    </w:p>
    <w:p w14:paraId="1DA3FE9F"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lastRenderedPageBreak/>
        <w:t>One cohort prices in a way that demands a decision before the back-test runs: very young players signing long extensions (41 contracts, players 23.5 or younger at valuation, terms of six or more years) come out sharply negative, with a median present value near −$20.6 million. A diagnostic splits this in two. The projection under-forecasts this cohort, worth roughly $6 to $8 million per deal. But even granting a full correction for that, a residual gap of well over $10 million per deal survives, which reads as a real market premium: clubs pay heavily for cost certainty on ascending stars.</w:t>
      </w:r>
    </w:p>
    <w:p w14:paraId="376BDCF9" w14:textId="77777777" w:rsidR="00583EA8" w:rsidRDefault="00000000">
      <w:pPr>
        <w:spacing w:after="160" w:line="300" w:lineRule="auto"/>
        <w:rPr>
          <w:rFonts w:ascii="Calibri" w:eastAsia="Calibri" w:hAnsi="Calibri" w:cs="Calibri"/>
        </w:rPr>
      </w:pPr>
      <w:r>
        <w:rPr>
          <w:rFonts w:ascii="Calibri" w:eastAsia="Calibri" w:hAnsi="Calibri" w:cs="Calibri"/>
          <w:sz w:val="21"/>
          <w:szCs w:val="21"/>
        </w:rPr>
        <w:t>Four candidate mechanical fixes (a recent-trajectory term, a thin-history indicator, an age-dependent projection weighting, and the baseline construction varied under three conditioning schemes) were each tested under held-out validation, and every one degraded out-of-sample projection accuracy. The negative valuations are, therefore, not an indicator of a fixable modelling error that those statistical corrections could address.</w:t>
      </w:r>
      <w:r>
        <w:rPr>
          <w:rFonts w:ascii="Calibri" w:eastAsia="Calibri" w:hAnsi="Calibri" w:cs="Calibri"/>
          <w:color w:val="FF0000"/>
          <w:sz w:val="21"/>
          <w:szCs w:val="21"/>
        </w:rPr>
        <w:t xml:space="preserve"> The model has since been rebuilt on a corrected market rate, a corrected treatment of the league-minimum floor, and a corrected retention calibration, and the cohort remains sharply negative. Four separate corrections were applied, two raising these valuations and two lowering them, and eight-year contracts moved by 1.5 percent in aggregate. The finding does not rest on any single modelling choice. [TBD: recompute the cohort median on the rebuilt chain.]</w:t>
      </w:r>
    </w:p>
    <w:p w14:paraId="400913AD" w14:textId="77777777" w:rsidR="00583EA8" w:rsidRDefault="00000000">
      <w:pPr>
        <w:pStyle w:val="Heading1"/>
        <w:spacing w:before="300" w:after="120"/>
        <w:rPr>
          <w:rFonts w:ascii="Calibri" w:eastAsia="Calibri" w:hAnsi="Calibri" w:cs="Calibri"/>
        </w:rPr>
      </w:pPr>
      <w:r>
        <w:rPr>
          <w:rFonts w:ascii="Calibri" w:eastAsia="Calibri" w:hAnsi="Calibri" w:cs="Calibri"/>
          <w:b/>
          <w:bCs/>
          <w:color w:val="1A1A1A"/>
          <w:sz w:val="26"/>
          <w:szCs w:val="26"/>
        </w:rPr>
        <w:t>7. Remaining Work, in Order</w:t>
      </w:r>
    </w:p>
    <w:p w14:paraId="374497CF"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Draft-pick valuation.</w:t>
      </w:r>
      <w:r>
        <w:rPr>
          <w:rFonts w:ascii="Calibri" w:eastAsia="Calibri" w:hAnsi="Calibri" w:cs="Calibri"/>
          <w:color w:val="FF0000"/>
          <w:sz w:val="21"/>
          <w:szCs w:val="21"/>
        </w:rPr>
        <w:t xml:space="preserve"> The value-by-pick-position curve is now fitted and expressed in surplus dollars, running from $13.65 million at the first pick to $0.61 million across picks 151 to 224, monotone throughout with no imposed smoothing. Bootstrap intervals replace the earlier standard errors: the first pick spans $9.24 million to $18.61 million on eleven observations, and the gap between the first and second pick clears zero with a 2.0 percent chance of reversing on resampling. What remains is pricing actual traded picks through the curve, which needs conventions for deferred picks, unknown slots, and conditional picks. </w:t>
      </w:r>
    </w:p>
    <w:p w14:paraId="5D80B05F"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Prospect valuation.</w:t>
      </w:r>
      <w:r>
        <w:rPr>
          <w:rFonts w:ascii="Calibri" w:eastAsia="Calibri" w:hAnsi="Calibri" w:cs="Calibri"/>
          <w:color w:val="000000"/>
          <w:sz w:val="21"/>
          <w:szCs w:val="21"/>
        </w:rPr>
        <w:t xml:space="preserve"> Translate non-NHL production into NHL-equivalent terms and combine with draft pedigree.</w:t>
      </w:r>
    </w:p>
    <w:p w14:paraId="2CFB13FD"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Mid-season trade allocation.</w:t>
      </w:r>
      <w:r>
        <w:rPr>
          <w:rFonts w:ascii="Calibri" w:eastAsia="Calibri" w:hAnsi="Calibri" w:cs="Calibri"/>
          <w:color w:val="000000"/>
          <w:sz w:val="21"/>
          <w:szCs w:val="21"/>
        </w:rPr>
        <w:t xml:space="preserve"> Use the Game Value metric to split a traded player’s season value around the trade date, so trade deadline deals are priced on what each club actually received.</w:t>
      </w:r>
    </w:p>
    <w:p w14:paraId="373AA4D5"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Retention and clause pricing.</w:t>
      </w:r>
      <w:r>
        <w:rPr>
          <w:rFonts w:ascii="Calibri" w:eastAsia="Calibri" w:hAnsi="Calibri" w:cs="Calibri"/>
          <w:color w:val="000000"/>
          <w:sz w:val="21"/>
          <w:szCs w:val="21"/>
        </w:rPr>
        <w:t xml:space="preserve"> Recover the market price of retained salary from three-team facilitator trades, and estimate the friction cost of trade clauses. </w:t>
      </w:r>
    </w:p>
    <w:p w14:paraId="5FD243A3" w14:textId="77777777" w:rsidR="00583EA8" w:rsidRDefault="00000000">
      <w:pPr>
        <w:numPr>
          <w:ilvl w:val="0"/>
          <w:numId w:val="1"/>
        </w:numPr>
        <w:pBdr>
          <w:top w:val="nil"/>
          <w:left w:val="nil"/>
          <w:bottom w:val="nil"/>
          <w:right w:val="nil"/>
          <w:between w:val="nil"/>
        </w:pBdr>
        <w:spacing w:after="100" w:line="300" w:lineRule="auto"/>
        <w:rPr>
          <w:rFonts w:ascii="Calibri" w:eastAsia="Calibri" w:hAnsi="Calibri" w:cs="Calibri"/>
          <w:color w:val="000000"/>
        </w:rPr>
      </w:pPr>
      <w:r>
        <w:rPr>
          <w:rFonts w:ascii="Calibri" w:eastAsia="Calibri" w:hAnsi="Calibri" w:cs="Calibri"/>
          <w:b/>
          <w:bCs/>
          <w:color w:val="000000"/>
          <w:sz w:val="21"/>
          <w:szCs w:val="21"/>
        </w:rPr>
        <w:t>The back-test.</w:t>
      </w:r>
      <w:r>
        <w:rPr>
          <w:rFonts w:ascii="Calibri" w:eastAsia="Calibri" w:hAnsi="Calibri" w:cs="Calibri"/>
          <w:color w:val="000000"/>
          <w:sz w:val="21"/>
          <w:szCs w:val="21"/>
        </w:rPr>
        <w:t xml:space="preserve"> Re-price every trade with information available on its date and compare against realized outcomes by category.</w:t>
      </w:r>
    </w:p>
    <w:sectPr w:rsidR="00583EA8">
      <w:pgSz w:w="12240" w:h="15840"/>
      <w:pgMar w:top="1080" w:right="1260" w:bottom="108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73E8784-F437-4566-891C-F68E0B0277E1}"/>
  </w:font>
  <w:font w:name="Calibri">
    <w:panose1 w:val="020F0502020204030204"/>
    <w:charset w:val="00"/>
    <w:family w:val="swiss"/>
    <w:pitch w:val="variable"/>
    <w:sig w:usb0="E4002EFF" w:usb1="C200247B" w:usb2="00000009" w:usb3="00000000" w:csb0="000001FF" w:csb1="00000000"/>
    <w:embedRegular r:id="rId2" w:fontKey="{DD044977-6E81-4F53-AF17-E0F72730FB9D}"/>
    <w:embedBold r:id="rId3" w:fontKey="{BF95C5BD-A6CF-4300-B8E1-9830BDC4C611}"/>
  </w:font>
  <w:font w:name="Cambria">
    <w:panose1 w:val="02040503050406030204"/>
    <w:charset w:val="00"/>
    <w:family w:val="roman"/>
    <w:pitch w:val="variable"/>
    <w:sig w:usb0="E00006FF" w:usb1="420024FF" w:usb2="02000000" w:usb3="00000000" w:csb0="0000019F" w:csb1="00000000"/>
    <w:embedRegular r:id="rId4" w:fontKey="{D31DCC52-8984-42CD-B7C2-0CF029AC7E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35418"/>
    <w:multiLevelType w:val="multilevel"/>
    <w:tmpl w:val="C2B05792"/>
    <w:lvl w:ilvl="0">
      <w:start w:val="1"/>
      <w:numFmt w:val="bullet"/>
      <w:lvlText w:val="•"/>
      <w:lvlJc w:val="left"/>
      <w:pPr>
        <w:ind w:left="504"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58938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EA8"/>
    <w:rsid w:val="00583EA8"/>
    <w:rsid w:val="005A160C"/>
    <w:rsid w:val="007D2B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6326"/>
  <w15:docId w15:val="{B4B01787-75B6-4D9B-8CEC-9F5AA12B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3518</Words>
  <Characters>20058</Characters>
  <Application>Microsoft Office Word</Application>
  <DocSecurity>0</DocSecurity>
  <Lines>167</Lines>
  <Paragraphs>47</Paragraphs>
  <ScaleCrop>false</ScaleCrop>
  <Company/>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Mihaljevic</cp:lastModifiedBy>
  <cp:revision>2</cp:revision>
  <dcterms:created xsi:type="dcterms:W3CDTF">2026-07-28T11:54:00Z</dcterms:created>
  <dcterms:modified xsi:type="dcterms:W3CDTF">2026-07-28T11:55:00Z</dcterms:modified>
</cp:coreProperties>
</file>