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Player Pillar II: Pricing, Discounting, and Assembly</w:t>
      </w:r>
    </w:p>
    <w:p>
      <w:pPr>
        <w:spacing w:after="200"/>
        <w:jc w:val="left"/>
      </w:pPr>
      <w:r>
        <w:t xml:space="preserve">This document covers the back half of the player pillar: how the projection from the previous document turns into one dollar figure per contract. It covers the value an RFA contract carries past its final season, the market rate that converts wins into dollars, the assembly into one present-value number, and goaltenders, which run through a parallel chain.</w:t>
      </w:r>
    </w:p>
    <w:p>
      <w:pPr>
        <w:pStyle w:val="Heading2"/>
        <w:spacing w:after="140" w:before="280"/>
      </w:pPr>
      <w:r>
        <w:t xml:space="preserve">The market rate: turning wins into dollars</w:t>
      </w:r>
    </w:p>
    <w:p>
      <w:pPr>
        <w:spacing w:after="200"/>
        <w:jc w:val="left"/>
      </w:pPr>
      <w:r>
        <w:t xml:space="preserve">The market rate converts a player's trailing production into a price. It is a regression of a contract's cap share on the player's trailing weighted production at signing, fitted on 2,349 skater contract starts from 2018 through 2025.</w:t>
      </w:r>
    </w:p>
    <w:p>
      <w:pPr>
        <w:spacing w:after="200"/>
        <w:jc w:val="left"/>
      </w:pPr>
      <w:r>
        <w:t xml:space="preserve">Cap share rather than raw salary is the outcome for a mechanical reason: the salary cap ceiling moves between seasons, so the same dollar figure means different things in different years, while a share of the ceiling is comparable across the whole window and converts back to dollars at any season's cap.</w:t>
      </w:r>
    </w:p>
    <w:p>
      <w:pPr>
        <w:spacing w:after="200"/>
        <w:jc w:val="left"/>
      </w:pPr>
      <w:r>
        <w:t xml:space="preserve">The regression is left-censored, a form usually called Tobit. The reason is that 529 of those 2,349 contracts sit exactly at the league minimum, where the club could not legally offer less. Those prices are not negotiated figures, and a plain regression that treats them as though they were drags the fitted line upward at the bottom of the market. A censored fit handles them correctly: contracts above the minimum contribute the ordinary likelihood of their observed price, while contracts at the minimum contribute only the probability of falling at or below it.</w:t>
      </w:r>
    </w:p>
    <w:p>
      <w:pPr>
        <w:spacing w:after="200"/>
        <w:jc w:val="left"/>
      </w:pPr>
      <w:r>
        <w:t xml:space="preserve">The fitted rate has one intercept shared by both positions and a slope that differs between them. A replacement-level skater prices at 1.325% of the cap, $1.265 million at the 2025-26 ceiling of $95.5 million. Each additional win adds 2.123% of the cap for a forward and 2.410% for a defenceman, $2.028 million and $2.302 million. Position enters as a slope difference rather than a separate intercept because at zero measured wins the market pays the two positions alike; the difference is in what it pays for production, not for a roster spot.</w:t>
      </w:r>
    </w:p>
    <w:p>
      <w:pPr>
        <w:spacing w:after="200"/>
        <w:jc w:val="left"/>
      </w:pPr>
      <w:r>
        <w:t xml:space="preserve">One line prices both restricted and unrestricted free agents, because the two are not statistically distinguishable for skaters (F=0.12, p=0.887). This corrects an earlier locked report that found two separate markets. That report's sample had goaltenders pooled into what its methods section presented as skater-only, and correcting the sample collapses the difference. The pipeline still rebuilds that earlier result on every run as a guard and asserts it lands on the originally published coefficients, so that a failure to reproduce it stops the run before anything downstream is trusted. This is the clearest case in the project of why the reproduction guard described in the verification document exists.</w:t>
      </w:r>
    </w:p>
    <w:p>
      <w:pPr>
        <w:spacing w:after="200"/>
        <w:jc w:val="left"/>
      </w:pPr>
      <w:r>
        <w:t xml:space="preserve">Era splits were tested and rejected. Residual differences between cap regimes are marginal (p=0.044), and the back-test's currency is surplus ratios, which are robust to level errors in the rate by construction. Era-specific rates remain available as a robustness re-run.</w:t>
      </w:r>
    </w:p>
    <w:p>
      <w:pPr>
        <w:spacing w:after="200"/>
        <w:jc w:val="left"/>
      </w:pPr>
      <w:r>
        <w:t xml:space="preserve">The 2018 floor exists because the contract export thins sharply before it, to 63, 223, and 452 contracts for 2015, 2016, and 2017 against roughly 700 a year afterward. Fitting on those years would estimate the rate on whichever contracts happened to survive in the export.</w:t>
      </w:r>
    </w:p>
    <w:p>
      <w:pPr>
        <w:spacing w:after="200"/>
        <w:jc w:val="left"/>
      </w:pPr>
      <w:r>
        <w:t xml:space="preserve">A censored fit has no true R². Two substitute measures are reported and neither is comparable to an ordinary least-squares R²: McFadden's pseudo-R² comes to 0.129, and the squared correlation on the uncensored part of the sample to 0.433.</w:t>
      </w:r>
    </w:p>
    <w:p>
      <w:pPr>
        <w:spacing w:after="200"/>
        <w:jc w:val="left"/>
      </w:pPr>
      <w:r>
        <w:t xml:space="preserve">Two limitations sit on this rate. The defence slope is the weakest term in the model, at z=2.41 and p=0.016, significant at the 5% level but not the 1%, while the other two coefficients sit below p=0.001. And roughly $496,000 per season of positional pricing error survives after the position term is included. The model also carries no contract-length term. A pre-registered null test found that the long-contract finding described in the findings document survives without one, but its absence means the model cannot separately price the cost certainty a long contract buys a club.</w:t>
      </w:r>
    </w:p>
    <w:p>
      <w:pPr>
        <w:pStyle w:val="Heading2"/>
        <w:spacing w:after="140" w:before="280"/>
      </w:pPr>
      <w:r>
        <w:t xml:space="preserve">End-of-contract value under restricted free agency</w:t>
      </w:r>
    </w:p>
    <w:p>
      <w:pPr>
        <w:spacing w:after="200"/>
        <w:jc w:val="left"/>
      </w:pPr>
      <w:r>
        <w:t xml:space="preserve">A contract expiring into unrestricted free agency carries no further value to the current club: the player leaves and the team keeps nothing. One expiring into restricted free agency does, because the club retains exclusive negotiating rights for every season until the player reaches UFA eligibility. Those control years have value because the club can retain the player with a qualifying offer, a one-year offer set by a CBA formula that is typically well below what his production is worth on the open market.</w:t>
      </w:r>
    </w:p>
    <w:p>
      <w:pPr>
        <w:spacing w:after="200"/>
        <w:jc w:val="left"/>
      </w:pPr>
      <w:r>
        <w:t xml:space="preserve">The value side is simply the projection continuing to walk. A control year is another future season of the same player: same trailing anchor, same ratio path, same replacement reversion for negative anchors, same forward cap path, same league-minimum floor.</w:t>
      </w:r>
    </w:p>
    <w:p>
      <w:pPr>
        <w:spacing w:after="200"/>
        <w:jc w:val="left"/>
      </w:pPr>
      <w:r>
        <w:t xml:space="preserve">The cost side is the qualifying-offer formula, computed on base salary excluding signing bonuses and iterated year over year, since each offer is a one-year deal and the next escalates off it. Through the 2026 offseason the bands are 110% of salary at or below $660,000, 105% capped at $1.0 million between $660,000 and $1.0 million, and 100% at or above $1.0 million. Contracts signed after July 2020 add an anti-front-loading rule: the offer cannot exceed 120% of the contract's cap hit. From the 2026 offseason the bands move to $1.25 million and $1.75 million. Each offer is floored at that season's league minimum.</w:t>
      </w:r>
    </w:p>
    <w:p>
      <w:pPr>
        <w:spacing w:after="200"/>
        <w:jc w:val="left"/>
      </w:pPr>
      <w:r>
        <w:t xml:space="preserve">Two mechanisms then decide how much of that surplus the model actually books, and they are different from each other.</w:t>
      </w:r>
    </w:p>
    <w:p>
      <w:pPr>
        <w:spacing w:after="200"/>
        <w:jc w:val="left"/>
      </w:pPr>
      <w:r>
        <w:t xml:space="preserve">The first is truncation. Control is a right, not an obligation: the club qualifies a player while he is worth it and walks away when he is not, and once it walks away the remaining control years vanish, because a club cannot skip a year and re-qualify later. So the terminal value truncates at the first control year whose projected surplus goes negative. The untruncated sum is reported alongside it so the effect of the choice stays visible.</w:t>
      </w:r>
    </w:p>
    <w:p>
      <w:pPr>
        <w:spacing w:after="200"/>
        <w:jc w:val="left"/>
      </w:pPr>
      <w:r>
        <w:t xml:space="preserve">The second is a qualify-or-walk gate. Each control year is weighted by the observed probability that a club actually extends the offer to a player of that projected quality, using the same four quality buckets as the exit hazard, and those gates compound across years, since a player let go in year two cannot be re-qualified in year three. The rates are re-estimated from the contract data on every run rather than hardcoded, from every observable qualify-or-walk decision in the window.</w:t>
      </w:r>
    </w:p>
    <w:p>
      <w:pPr>
        <w:spacing w:after="200"/>
        <w:jc w:val="left"/>
      </w:pPr>
      <w:r>
        <w:t xml:space="preserve">That calibration exists because both theoretical alternatives failed in opposite directions. Pricing a control year against the rate's intercept makes nearly every control year look worth qualifying, and predicts only 18% of the walk-aways that actually happened. Pricing it net of replacement level over-corrects, wrongly zeroing 44% of the players clubs actually kept. Neither extreme survives contact with the record, so the model uses the observed rates instead.</w:t>
      </w:r>
    </w:p>
    <w:p>
      <w:pPr>
        <w:spacing w:after="200"/>
        <w:jc w:val="left"/>
      </w:pPr>
      <w:r>
        <w:t xml:space="preserve">The calibration then turned out to have a selection problem of its own, and the shape of it matters. Sorting a player into a quality bucket needs a production figure, and a player with no recent NHL games has none, so the original code skipped him. But a player who could not hold an NHL job is exactly the player a club walks away from, so the sample was fitted with the departures removed. The reasoning was circular: exit risk was switched off for control years on the grounds that these retention rates already covered departure, and the rates were then fitted without the departures in them. The fix treats a missing production figure as informative rather than missing, since it means below replacement, and those players now enter the bottom bucket instead of vanishing. The overall walk-away rate moves from 21.3% on 1,231 decisions to 27.0% on 2,270, while the star, regular, and fringe rates do not move, which is the check that the fix landed where it was meant to.</w:t>
      </w:r>
    </w:p>
    <w:p>
      <w:pPr>
        <w:spacing w:after="200"/>
        <w:jc w:val="left"/>
      </w:pPr>
      <w:r>
        <w:t xml:space="preserve">With that in place, terminal value was overstated by 12.3% at three control years, a smaller gap than the 20% to 25% an earlier review estimated. Most of the difference is composition rather than a rate effect, and composition does not compound the way a rate does. Because three separate changes pushed fringe-player value down at once, an over-correction check was run: the model still prices retention more generously than clubs behave, at 91.6% modeled against 79.3% observed, so no further change was made. That verdict rests on a margin of roughly $300,000, and at the low end of the defensible range for the rate's intercept it reverses.</w:t>
      </w:r>
    </w:p>
    <w:p>
      <w:pPr>
        <w:spacing w:after="200"/>
        <w:jc w:val="left"/>
      </w:pPr>
      <w:r>
        <w:t xml:space="preserve">One objection was considered and rejected: that terminal value should account for when a roster spot rather than a specific player becomes available. The model prices a specific player's future production, not a generic roster slot.</w:t>
      </w:r>
    </w:p>
    <w:p>
      <w:pPr>
        <w:spacing w:after="200"/>
        <w:jc w:val="left"/>
      </w:pPr>
      <w:r>
        <w:t xml:space="preserve">The qualifying offer needs the player's final-year base salary, which the clause pipeline supplies for most contracts. Where it cannot, the model prefers a real salary from anywhere on the contract and falls back to average annual value only when there is none, tagging every substitution: 1,084 real salaries against 355 substitutes. That fallback erases front-loading by construction, which disables the CBA's 120% cap in exactly the front-loaded cases the rule was written for. Separately, six contracts of 1,973 carry an RFA expiry status but compute zero control years, an inconsistency in the underlying UFA-eligibility year; those are priced at zero terminal value and flagged in the output.</w:t>
      </w:r>
    </w:p>
    <w:p>
      <w:pPr>
        <w:pStyle w:val="Heading2"/>
        <w:spacing w:after="140" w:before="280"/>
      </w:pPr>
      <w:r>
        <w:t xml:space="preserve">Discounting and assembling the contract NPV</w:t>
      </w:r>
    </w:p>
    <w:p>
      <w:pPr>
        <w:spacing w:after="200"/>
        <w:jc w:val="left"/>
      </w:pPr>
      <w:r>
        <w:t xml:space="preserve">This step stacks the projected seasons, the terminal value, and the risk structure into one number per contract:</w:t>
      </w:r>
    </w:p>
    <w:p>
      <w:pPr>
        <w:spacing w:after="200"/>
        <w:jc w:val="left"/>
      </w:pPr>
      <w:r>
        <w:t xml:space="preserve">NPV equals the sum over contract seasons of survival times value, minus cost, discounted; plus the sum over RFA control years of the gated surplus, discounted on the same schedule.</w:t>
      </w:r>
    </w:p>
    <w:p>
      <w:pPr>
        <w:spacing w:after="200"/>
        <w:jc w:val="left"/>
      </w:pPr>
      <w:r>
        <w:t xml:space="preserve">Three things in that formula are worth being explicit about, because each is a design decision rather than an accounting necessity.</w:t>
      </w:r>
    </w:p>
    <w:p>
      <w:pPr>
        <w:spacing w:after="200"/>
        <w:jc w:val="left"/>
      </w:pPr>
      <w:r>
        <w:t xml:space="preserve">Survival multiplies value only, never cost. A player who exits stops producing, but his cap hit does not automatically vanish, since injured and buried players still count against the cap. Retirement can void a cap hit, which is treated as a documented simplification; leaving cost unconditional errs conservative on the resulting NPV. The survival factor for the current season is 1, so the valuation season is not discounted for exit.</w:t>
      </w:r>
    </w:p>
    <w:p>
      <w:pPr>
        <w:spacing w:after="200"/>
        <w:jc w:val="left"/>
      </w:pPr>
      <w:r>
        <w:t xml:space="preserve">The hazard lookup reads the player's projected quality and age at the season before the one being paid for, on both axes. This sounds like a technicality and is not. Risk rises steeply with age, so reading it a season late charges a player for risk he has not yet reached, and it bites wherever a contract crosses an age boundary. The quality axis bites harder, because the bucket boundaries carry order-of-magnitude jumps in hazard, and it moves in the opposite direction for young players, whose projections rise. Correcting both axes moved 925 of 2,981 contracts, 481 up and 444 down, worth $143.0 million in aggregate.</w:t>
      </w:r>
    </w:p>
    <w:p>
      <w:pPr>
        <w:spacing w:after="200"/>
        <w:jc w:val="left"/>
      </w:pPr>
      <w:r>
        <w:t xml:space="preserve">The discount rate is 3% a year, and it is the same 3% used to grow future cap ceilings. The two mesh deliberately: value stays constant in cap-share terms while a fixed cap hit gets relatively cheaper each year, which is the formal version of "good contracts age well in a rising cap," and it makes dollars from different years comparable in today's cap-share units. That 3% is a planning assumption. Because both sides of a trade share it, error in the rate largely cancels when trades are compared as surplus ratios rather than raw dollar differences.</w:t>
      </w:r>
    </w:p>
    <w:p>
      <w:pPr>
        <w:spacing w:after="200"/>
        <w:jc w:val="left"/>
      </w:pPr>
      <w:r>
        <w:t xml:space="preserve">Control years carry the qualify-gate chain instead of the exit hazard, not in addition to it. The gates were calibrated on real tender decisions, which already internalize the chance a player has left the league by the time the decision arrives, so applying both would charge the same risk twice.</w:t>
      </w:r>
    </w:p>
    <w:p>
      <w:pPr>
        <w:spacing w:after="200"/>
        <w:jc w:val="left"/>
      </w:pPr>
      <w:r>
        <w:t xml:space="preserve">The league-minimum floor on the value side binds on 15.3% of priced rows and adds $582.58 million across the sample.</w:t>
      </w:r>
    </w:p>
    <w:p>
      <w:pPr>
        <w:spacing w:after="200"/>
        <w:jc w:val="left"/>
      </w:pPr>
      <w:r>
        <w:t xml:space="preserve">The discount rate contains no allowance for managerial impatience, meaning a general manager discounting the future more heavily than the underlying economics warrant under pressure to win now. Building that into the model's own discount rate would make it impossible for the back-test to detect it. The rate is built from survival risk and cap growth alone, so any short-termism in the real data has to surface as a result. This is a deliberate choice, not an oversight.</w:t>
      </w:r>
    </w:p>
    <w:p>
      <w:pPr>
        <w:spacing w:after="200"/>
        <w:jc w:val="left"/>
      </w:pPr>
      <w:r>
        <w:t xml:space="preserve">As of the current sweep, 2,981 contracts are priced this way, 2,591 skaters and 390 goaltenders, and the resulting panel runs to 6,939 rows.</w:t>
      </w:r>
    </w:p>
    <w:p>
      <w:pPr>
        <w:spacing w:after="200"/>
        <w:jc w:val="left"/>
      </w:pPr>
      <w:r>
        <w:t xml:space="preserve">Cap optionality, the value of the roster flexibility a shorter contract buys, is not priced anywhere in the model. Adding it would make long contracts look worse relative to short ones, so its absence does not flatter the long-contract finding. That is the direction that matters. Separately, the downstream spines were rewritten on the current rate and retention gate, so anything built off an older spine is stale.</w:t>
      </w:r>
    </w:p>
    <w:p>
      <w:pPr>
        <w:pStyle w:val="Heading2"/>
        <w:spacing w:after="140" w:before="280"/>
      </w:pPr>
      <w:r>
        <w:t xml:space="preserve">Goaltenders</w:t>
      </w:r>
    </w:p>
    <w:p>
      <w:pPr>
        <w:spacing w:after="200"/>
        <w:jc w:val="left"/>
      </w:pPr>
      <w:r>
        <w:t xml:space="preserve">Goaltenders run a separate chain covering 390 contracts, with no comparable search and no aging curve. Goaltender performance barely persists from one season to the next, so a comparable search and an aging curve built on persistence would have nothing to work with.</w:t>
      </w:r>
    </w:p>
    <w:p>
      <w:pPr>
        <w:spacing w:after="200"/>
        <w:jc w:val="left"/>
      </w:pPr>
      <w:r>
        <w:t xml:space="preserve">A goalie's baseline is a trailing weighted average over his last three seasons, 50/30/20, falling back to 60/40 and then to a single season as the available history thins. That baseline is shrunk 65% of the way toward the league-average goaltender, a target of 2.19 wins, against 45% toward a comparable-based norm for skaters. The projection is then held flat across the contract: with no aging curve, the shrinkage is itself the mean-reversion device, and holding flat is the honest zero-information extension.</w:t>
      </w:r>
    </w:p>
    <w:p>
      <w:pPr>
        <w:spacing w:after="200"/>
        <w:jc w:val="left"/>
      </w:pPr>
      <w:r>
        <w:t xml:space="preserve">Pricing uses a separately fitted goaltender rate, 1.398% of the cap plus 1.097% per win, floored at the league minimum like the skater rate. The engine recovers the exact constants from the locked spine at startup rather than re-entering them, because a rounded re-implementation drifts about $250 per row, and it asserts the recovered values against the documented ones so that a corrupted spine cannot silently substitute a different rate.</w:t>
      </w:r>
    </w:p>
    <w:p>
      <w:pPr>
        <w:spacing w:after="200"/>
        <w:jc w:val="left"/>
      </w:pPr>
      <w:r>
        <w:t xml:space="preserve">Two failures in this chain were found and fixed, and both are worth stating because they show what the parity gate catches. Every contract season beyond a goaltender's last observed season was originally priced at the league average, which is not a neutral placeholder: it asserts that a specific goaltender is exactly average, and its error is signed by how far he actually sits from average, so elite starters on long deals were undervalued by $1 million to $2 million in each affected season and weak goaltenders overvalued by about as much. Those rows now carry the goaltender's own most recent computable anchor, shrunk the same way, across 98 rows and 38 goaltenders. Separately, a goaltender with no immediately prior season but a usable older one was falling through to a no-history branch, which is how Carey Price, Corey Crawford, Ben Bishop, Spencer Knight, and Carter Hart were all recorded as never having played.</w:t>
      </w:r>
    </w:p>
    <w:p>
      <w:pPr>
        <w:spacing w:after="200"/>
        <w:jc w:val="left"/>
      </w:pPr>
      <w:r>
        <w:t xml:space="preserve">Three things remain open. Goaltenders are still priced on the older least-squares rate rather than the censored rate now used for skaters, which is a deliberate sequencing choice held until the goaltender pillar's own items settle, but it means the two positions currently run on different pricing equations. Goalie RFA terminal value uses the same qualifying-offer mechanics and the same truncation rule but not the qualify-gate weighting, because those rates were calibrated on skater decisions and goalie production sits on a different scale; borrowing the table would be sloppy, and the gap is accepted because goalie terminal value is a small share of trade value. And a goaltender contact-percentage metric was assessed and shelved after its underlying proxy collapsed across the 2022-23 and 2023-24 seasons, a database-stability problem that would need resolving before any further work on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2026-09-09T19:02:20.528Z</dcterms:created>
  <dcterms:modified xsi:type="dcterms:W3CDTF">2026-09-09T19:02:20.528Z</dcterms:modified>
</cp:coreProperties>
</file>

<file path=docProps/custom.xml><?xml version="1.0" encoding="utf-8"?>
<Properties xmlns="http://schemas.openxmlformats.org/officeDocument/2006/custom-properties" xmlns:vt="http://schemas.openxmlformats.org/officeDocument/2006/docPropsVTypes"/>
</file>