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Circularity and Game Value</w:t>
      </w:r>
    </w:p>
    <w:p>
      <w:pPr/>
      <w:r>
        <w:t>This document covers the first version of the player model (xNPV 0). It explains Game Value, a measure of on-ice performance built from the NHL's own game records. It then explains the check that uses Game Value to test the model's estimate of a skater's production.</w:t>
      </w:r>
    </w:p>
    <w:p>
      <w:pPr>
        <w:pStyle w:val="Heading1"/>
      </w:pPr>
      <w:r>
        <w:t>1. The Problem: A Check That Is Not Circular</w:t>
      </w:r>
    </w:p>
    <w:p>
      <w:pPr/>
      <w:r>
        <w:t>The player model measures skater production with Bacon WAR, a vendor's estimate of each skater's wins above replacement. It then prices a win from what clubs pay. It fits salaries against players' Bacon WAR and reads off the price of one win, as the pricing document explains. Each dollar value in the model, therefore, rests on Bacon WAR.</w:t>
      </w:r>
    </w:p>
    <w:p>
      <w:pPr/>
      <w:r>
        <w:t>That leaves a question the model cannot answer alone: does its production estimate measure real performance? A check against another Bacon-based number cannot answer it. Both sides would share the same inputs and the same errors, so they could agree because of what they share. This is the circularity problem. A useful check needs a yardstick built with no Bacon input.</w:t>
      </w:r>
    </w:p>
    <w:p>
      <w:pPr/>
      <w:r>
        <w:t>The production estimate under test is trailing production, which is a weighted average of a skater's Bacon WAR from the two seasons before the valuation season. It puts 60% on the more recent season and 40% on the one before. The Data, Production, and Aging document explains how it is built and projected forward. The check in Section 6 asks whether trailing production predicts how a player goes on to perform when performance is measured independently.</w:t>
      </w:r>
    </w:p>
    <w:p>
      <w:pPr>
        <w:pStyle w:val="Heading1"/>
      </w:pPr>
      <w:r>
        <w:t>2. The Idea: An Independent Measure from the NHL's Records</w:t>
      </w:r>
    </w:p>
    <w:p>
      <w:pPr/>
      <w:r>
        <w:t>Game Value is that independent yardstick. It is built from the NHL's public shot, penalty, and shift records for 11,870 games from 2017-18 through 2025-26. Nothing in it comes from Bacon. For each game, it credits a skater with the scoring chances his team created while he was on the ice and charges him with the chances his team allowed. It then adds the value of the penalties he drew and took. Its unit is goals.</w:t>
      </w:r>
    </w:p>
    <w:p>
      <w:pPr/>
      <w:r>
        <w:t>Game Value is stored game by game, while Bacon WAR is published only as season totals. That difference gives Game Value a second job, dividing a traded player's season between his two clubs (Section 8).</w:t>
      </w:r>
    </w:p>
    <w:p>
      <w:pPr>
        <w:pStyle w:val="Heading1"/>
      </w:pPr>
      <w:r>
        <w:t>3. How Game Value Is Built</w:t>
      </w:r>
    </w:p>
    <w:p>
      <w:pPr>
        <w:pStyle w:val="Heading2"/>
      </w:pPr>
      <w:r>
        <w:t>Step 1: Value each shot by its chance of scoring</w:t>
      </w:r>
    </w:p>
    <w:p>
      <w:pPr/>
      <w:r>
        <w:t>Goals are rare, and whether a given shot goes in is largely luck. A chance from the slot that the goaltender saves still says something about the play that created it. So Game Value counts chances, not goals. Each shot receives an expected-goals value, or xG, which is its estimated probability of becoming a goal. A shot from a bad angle far from the net might carry 0.03, a 3% chance of scoring. A chance from the slot might carry 0.25.</w:t>
      </w:r>
    </w:p>
    <w:p>
      <w:pPr/>
      <w:r>
        <w:t>A logistic regression, a standard model that turns a set of inputs into a probability between 0 and 1, sets these values. It uses five inputs: distance to the net, angle to the net, shot type, the manpower situation, and whether the shot is a rebound. A rebound is a shot within three seconds of a saved shot, with no faceoff in between. The model covers unblocked attempts with a goaltender in net. It leaves out blocked shots, because the NHL records a blocked shot at the blocker's position rather than the shooter's. It also leaves out empty-net attempts and shootouts. The shooter's identity is excluded by design, so the value prices the chance rather than the player who took it.</w:t>
      </w:r>
    </w:p>
    <w:p>
      <w:pPr/>
      <w:r>
        <w:t>The shot model was fitted on the regular seasons up to 2023-24 and tested on 2024-25 and 2025-26, which it had not seen. On those held-out seasons, the most dangerous tenth of shots was predicted to score 21.9% of the time and scored 17.0% of the time. Part of that gap is a lower conversion rate on high-danger chances in recent seasons, and part comes from the model's straight-line treatment of distance. The final model is refitted on all regular seasons together, and its expected goals sum to actual goals at a ratio of about 1.000 across the full sample. The take-away is that each chance is valued in goals, and the values add up to the goals scored.</w:t>
      </w:r>
    </w:p>
    <w:p>
      <w:pPr>
        <w:pStyle w:val="Heading2"/>
      </w:pPr>
      <w:r>
        <w:t>Step 2: Adjust for the score</w:t>
      </w:r>
    </w:p>
    <w:p>
      <w:pPr/>
      <w:r>
        <w:t>A team that is behind presses for goals and outshoots its opponent, and a team that is ahead sits back. A player on a team that often trails would collect chances because of the scoreboard rather than his own play. To remove that effect, the model reweights each even-strength chance by the score when it was created. The weights come from the league's own data, so that neither leading nor trailing gives free credit. For example, suppose trailing teams created 54% of even-strength expected goals while one team led. A chance created while trailing would then count 0.5 ÷ 0.54 ≈ 0.93 of a chance, and one created while leading would count 0.5 ÷ 0.46 ≈ 1.09. Tied play counts at 1.0.</w:t>
      </w:r>
    </w:p>
    <w:p>
      <w:pPr/>
      <w:r>
        <w:t>Power-play and shorthanded chances receive no score adjustment. On special teams the manpower edge, not the scoreboard, drives how many shots a team takes, and the shot model already prices the manpower situation.</w:t>
      </w:r>
    </w:p>
    <w:p>
      <w:pPr>
        <w:pStyle w:val="Heading2"/>
      </w:pPr>
      <w:r>
        <w:t>Step 3: Split each chance among the skaters on the ice</w:t>
      </w:r>
    </w:p>
    <w:p>
      <w:pPr/>
      <w:r>
        <w:t>Each adjusted chance is credited equally to the attacking skaters on the ice and charged equally to the defending skaters. On a five-on-four chance, each of the five attackers receives one-fifth of the credit, and each of the four penalty killers receives one-quarter of the charge. Each chance enters once as a credit and once as an equal charge. Across the league, on-ice credits and charges sum to exactly zero, and a team's players sum to the team's adjusted chance differential. The code checks both on each run.</w:t>
      </w:r>
    </w:p>
    <w:p>
      <w:pPr/>
      <w:r>
        <w:t>The equal split has a known cost. It cannot tell the player who drove a shift from a linemate who contributed little. For that reason raw Game Value is used to divide seasons and as a cross-check, never as a standalone measure of a player's value.</w:t>
      </w:r>
    </w:p>
    <w:p>
      <w:pPr>
        <w:pStyle w:val="Heading2"/>
      </w:pPr>
      <w:r>
        <w:t>Step 4: Add penalties</w:t>
      </w:r>
    </w:p>
    <w:p>
      <w:pPr/>
      <w:r>
        <w:t>A drawn penalty gives the team a power play, and a power play is worth goals. The model values one drawn penalty at the league's power-play goals minus shorthanded goals, divided by the number of penalties that create a power play. The result is 0.2097 goals. Coincidental penalties and misconducts are left out because they create no power play. Majors are priced the same as minors, a simplification that is recorded in the code. The player who draws a penalty gains 0.2097 goals, and the player who takes it loses the same amount.</w:t>
      </w:r>
    </w:p>
    <w:p>
      <w:pPr/>
      <w:r>
        <w:t>A player's Game Value for a game is his on-ice total plus his penalty total, in goals.</w:t>
      </w:r>
    </w:p>
    <w:p>
      <w:pPr>
        <w:pStyle w:val="Heading1"/>
      </w:pPr>
      <w:r>
        <w:t>4. Does Game Value Track Results?</w:t>
      </w:r>
    </w:p>
    <w:p>
      <w:pPr/>
      <w:r>
        <w:t>Comparing Game Value with the scoreboard is a real test, because the allocation does not guarantee agreement. Game Value credits expected goals, so a good chance counts even when the shot misses or is saved. A team can win the chance battle and still lose the game.</w:t>
      </w:r>
    </w:p>
    <w:p>
      <w:pPr/>
      <w:r>
        <w:t>For single games, team Game Value explains 3.4% of the variation in goal differential. That figure is low, and it is expected to be: one game of hockey is mostly luck. As a reference point, a development check on MoneyPuck's 2023-24 shot files found that team-game expected goals explained about 7% of the variation in single-game goals. The outcome and the sample differ from Game Value's, so this shows only that a low single-game figure is normal. Over full seasons, team Game Value explains 58.3% of the variation in goal differential. Each goal of Game Value goes with 1.085 goals of actual differential. Nothing was fitted to produce either figure.</w:t>
      </w:r>
    </w:p>
    <w:p>
      <w:pPr/>
      <w:r>
        <w:t>The take-away is that over a season, Game Value tracks what happens on the scoreboard.</w:t>
      </w:r>
    </w:p>
    <w:p>
      <w:pPr>
        <w:pStyle w:val="Heading1"/>
      </w:pPr>
      <w:r>
        <w:t>5. An Adjusted Version, and Why the Model Keeps Bacon WAR</w:t>
      </w:r>
    </w:p>
    <w:p>
      <w:pPr/>
      <w:r>
        <w:t>Because the equal split cannot separate linemates, the project built an adjusted version, GV-adj, to test whether Game Value could replace Bacon WAR. At five-on-five it uses a ridge regression on shifts. Lineups change many times in a season, and those changes let the regression separate a player's effect from the effects of his teammates and opponents. It also controls for home ice, score, and the zone where each shift started. This method follows the adjusted plus-minus literature in hockey (Macdonald 2012; Gramacy, Jensen, and Taddy 2013; Thomas et al. 2013). Other manpower situations keep the equal split. GV-adj also adds penalties and each shooter's goals above expected, shrunk toward zero when the shooter has taken few shots.</w:t>
      </w:r>
    </w:p>
    <w:p>
      <w:pPr/>
      <w:r>
        <w:t>The settings in GV-adj come from the game data alone. The strength of the ridge penalty is chosen by cross-validation on held-out games, and the shrinkage of finishing comes from a variance decomposition. No setting was tuned on contracts or on agreement with Bacon. Otherwise GV-adj could not serve as an independent check.</w:t>
      </w:r>
    </w:p>
    <w:p>
      <w:pPr/>
      <w:r>
        <w:t>A pre-registered set of four tests asked whether GV-adj could stand in for Bacon WAR. GV-adj came close to Bacon's results for forwards and stayed almost flat for defencemen. Much of a defenceman's value lies in chances that never develop, and shot and shift records cannot see them. The tests cannot say which measure values defence more accurately. The model, therefore, keeps Bacon WAR for skater value and gives Game Value two scoped jobs: the circularity check and the division of traded players' seasons.</w:t>
      </w:r>
    </w:p>
    <w:p>
      <w:pPr>
        <w:pStyle w:val="Heading1"/>
      </w:pPr>
      <w:r>
        <w:t>6. The Circularity Check</w:t>
      </w:r>
    </w:p>
    <w:p>
      <w:pPr/>
      <w:r>
        <w:t>The check compares each skater's trailing production before season t with his GV-adj in season t. Trailing production uses only seasons a club could see before season t began, so nothing from season t reaches it. Both sides are measured in wins. Bacon WAR is already in wins, and GV-adj is converted from goals at 5.903 goals per win, a rate estimated from the league's own team records. No dollars enter the outcome side, so the Bacon-based price of a win stays out of the benchmark.</w:t>
      </w:r>
    </w:p>
    <w:p>
      <w:pPr/>
      <w:r>
        <w:t>Two further versions replace GV-adj with raw Game Value, on the same players and seasons. One measures performance above a replacement-level baseline, the reference point Bacon WAR uses. The other keeps the zero-sum split. Both are built from the same games as GV-adj. They show whether the result depends on the GV-adj adjustments, and they are not independent evidence.</w:t>
      </w:r>
    </w:p>
    <w:p>
      <w:pPr/>
      <w:r>
        <w:t>The sample is 6,027 player-seasons over the nine seasons from 2017-18 through 2025-26, which is 88% of the skater-seasons the model priced. Most players appear in several seasons, so the number of independent players behind the figures is smaller than the row count. No interval that resamples players was computed.</w:t>
      </w:r>
    </w:p>
    <w:p>
      <w:pPr>
        <w:keepNext/>
      </w:pPr>
      <w:r>
        <w:rPr>
          <w:b/>
        </w:rPr>
        <w:t>Table 1.</w:t>
      </w:r>
      <w:r>
        <w:t xml:space="preserve"> Trailing production against performance in the same season (6,027 player-seasons)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40"/>
        <w:gridCol w:w="2340"/>
        <w:gridCol w:w="2340"/>
        <w:gridCol w:w="2340"/>
      </w:tblGrid>
      <w:tr>
        <w:trPr>
          <w:tblHeader w:val="true"/>
        </w:trPr>
        <w:tc>
          <w:tcPr>
            <w:tcW w:type="dxa" w:w="3443"/>
            <w:shd w:val="clear" w:color="auto" w:fill="D9E2F3"/>
          </w:tcPr>
          <w:p>
            <w:pPr>
              <w:spacing w:after="0" w:before="0"/>
            </w:pPr>
            <w:r>
              <w:rPr>
                <w:b/>
                <w:sz w:val="19"/>
              </w:rPr>
              <w:t>Outcome measure</w:t>
            </w:r>
          </w:p>
        </w:tc>
        <w:tc>
          <w:tcPr>
            <w:tcW w:type="dxa" w:w="1183"/>
            <w:shd w:val="clear" w:color="auto" w:fill="D9E2F3"/>
          </w:tcPr>
          <w:p>
            <w:pPr>
              <w:spacing w:after="0" w:before="0"/>
              <w:jc w:val="center"/>
            </w:pPr>
            <w:r>
              <w:rPr>
                <w:b/>
                <w:sz w:val="19"/>
              </w:rPr>
              <w:t>Correlation</w:t>
            </w:r>
          </w:p>
        </w:tc>
        <w:tc>
          <w:tcPr>
            <w:tcW w:type="dxa" w:w="1721"/>
            <w:shd w:val="clear" w:color="auto" w:fill="D9E2F3"/>
          </w:tcPr>
          <w:p>
            <w:pPr>
              <w:spacing w:after="0" w:before="0"/>
              <w:jc w:val="center"/>
            </w:pPr>
            <w:r>
              <w:rPr>
                <w:b/>
                <w:sz w:val="19"/>
              </w:rPr>
              <w:t>Rank correlation</w:t>
            </w:r>
          </w:p>
        </w:tc>
        <w:tc>
          <w:tcPr>
            <w:tcW w:type="dxa" w:w="3012"/>
            <w:shd w:val="clear" w:color="auto" w:fill="D9E2F3"/>
          </w:tcPr>
          <w:p>
            <w:pPr>
              <w:spacing w:after="0" w:before="0"/>
              <w:jc w:val="center"/>
            </w:pPr>
            <w:r>
              <w:rPr>
                <w:b/>
                <w:sz w:val="19"/>
              </w:rPr>
              <w:t>Share of variation explained</w:t>
            </w:r>
          </w:p>
        </w:tc>
      </w:tr>
      <w:tr>
        <w:tc>
          <w:tcPr>
            <w:tcW w:type="dxa" w:w="3443"/>
          </w:tcPr>
          <w:p>
            <w:pPr>
              <w:spacing w:after="0" w:before="0"/>
            </w:pPr>
            <w:r>
              <w:rPr>
                <w:sz w:val="19"/>
              </w:rPr>
              <w:t>GV-adj (primary)</w:t>
            </w:r>
          </w:p>
        </w:tc>
        <w:tc>
          <w:tcPr>
            <w:tcW w:type="dxa" w:w="1183"/>
          </w:tcPr>
          <w:p>
            <w:pPr>
              <w:spacing w:after="0" w:before="0"/>
              <w:jc w:val="center"/>
            </w:pPr>
            <w:r>
              <w:rPr>
                <w:sz w:val="19"/>
              </w:rPr>
              <w:t>0.576</w:t>
            </w:r>
          </w:p>
        </w:tc>
        <w:tc>
          <w:tcPr>
            <w:tcW w:type="dxa" w:w="1721"/>
          </w:tcPr>
          <w:p>
            <w:pPr>
              <w:spacing w:after="0" w:before="0"/>
              <w:jc w:val="center"/>
            </w:pPr>
            <w:r>
              <w:rPr>
                <w:sz w:val="19"/>
              </w:rPr>
              <w:t>0.460</w:t>
            </w:r>
          </w:p>
        </w:tc>
        <w:tc>
          <w:tcPr>
            <w:tcW w:type="dxa" w:w="3012"/>
          </w:tcPr>
          <w:p>
            <w:pPr>
              <w:spacing w:after="0" w:before="0"/>
              <w:jc w:val="center"/>
            </w:pPr>
            <w:r>
              <w:rPr>
                <w:sz w:val="19"/>
              </w:rPr>
              <w:t>33.1%</w:t>
            </w:r>
          </w:p>
        </w:tc>
      </w:tr>
      <w:tr>
        <w:tc>
          <w:tcPr>
            <w:tcW w:type="dxa" w:w="3443"/>
          </w:tcPr>
          <w:p>
            <w:pPr>
              <w:spacing w:after="0" w:before="0"/>
            </w:pPr>
            <w:r>
              <w:rPr>
                <w:sz w:val="19"/>
              </w:rPr>
              <w:t>Raw Game Value above replacement</w:t>
            </w:r>
          </w:p>
        </w:tc>
        <w:tc>
          <w:tcPr>
            <w:tcW w:type="dxa" w:w="1183"/>
          </w:tcPr>
          <w:p>
            <w:pPr>
              <w:spacing w:after="0" w:before="0"/>
              <w:jc w:val="center"/>
            </w:pPr>
            <w:r>
              <w:rPr>
                <w:sz w:val="19"/>
              </w:rPr>
              <w:t>0.609</w:t>
            </w:r>
          </w:p>
        </w:tc>
        <w:tc>
          <w:tcPr>
            <w:tcW w:type="dxa" w:w="1721"/>
          </w:tcPr>
          <w:p>
            <w:pPr>
              <w:spacing w:after="0" w:before="0"/>
              <w:jc w:val="center"/>
            </w:pPr>
            <w:r>
              <w:rPr>
                <w:sz w:val="19"/>
              </w:rPr>
              <w:t>0.523</w:t>
            </w:r>
          </w:p>
        </w:tc>
        <w:tc>
          <w:tcPr>
            <w:tcW w:type="dxa" w:w="3012"/>
          </w:tcPr>
          <w:p>
            <w:pPr>
              <w:spacing w:after="0" w:before="0"/>
              <w:jc w:val="center"/>
            </w:pPr>
            <w:r>
              <w:rPr>
                <w:sz w:val="19"/>
              </w:rPr>
              <w:t>37.1%</w:t>
            </w:r>
          </w:p>
        </w:tc>
      </w:tr>
      <w:tr>
        <w:tc>
          <w:tcPr>
            <w:tcW w:type="dxa" w:w="3443"/>
          </w:tcPr>
          <w:p>
            <w:pPr>
              <w:spacing w:after="0" w:before="0"/>
            </w:pPr>
            <w:r>
              <w:rPr>
                <w:sz w:val="19"/>
              </w:rPr>
              <w:t>Raw Game Value, zero-sum</w:t>
            </w:r>
          </w:p>
        </w:tc>
        <w:tc>
          <w:tcPr>
            <w:tcW w:type="dxa" w:w="1183"/>
          </w:tcPr>
          <w:p>
            <w:pPr>
              <w:spacing w:after="0" w:before="0"/>
              <w:jc w:val="center"/>
            </w:pPr>
            <w:r>
              <w:rPr>
                <w:sz w:val="19"/>
              </w:rPr>
              <w:t>0.564</w:t>
            </w:r>
          </w:p>
        </w:tc>
        <w:tc>
          <w:tcPr>
            <w:tcW w:type="dxa" w:w="1721"/>
          </w:tcPr>
          <w:p>
            <w:pPr>
              <w:spacing w:after="0" w:before="0"/>
              <w:jc w:val="center"/>
            </w:pPr>
            <w:r>
              <w:rPr>
                <w:sz w:val="19"/>
              </w:rPr>
              <w:t>0.461</w:t>
            </w:r>
          </w:p>
        </w:tc>
        <w:tc>
          <w:tcPr>
            <w:tcW w:type="dxa" w:w="3012"/>
          </w:tcPr>
          <w:p>
            <w:pPr>
              <w:spacing w:after="0" w:before="0"/>
              <w:jc w:val="center"/>
            </w:pPr>
            <w:r>
              <w:rPr>
                <w:sz w:val="19"/>
              </w:rPr>
              <w:t>31.8%</w:t>
            </w:r>
          </w:p>
        </w:tc>
      </w:tr>
    </w:tbl>
    <w:p>
      <w:pPr/>
    </w:p>
    <w:p>
      <w:pPr/>
      <w:r>
        <w:t>The primary correlation of 0.576 ranged from 0.55 to 0.61 across the nine seasons, so no single season drives it. Against GV-adj one season further ahead, the correlation was 0.538. The two raw versions give 0.609 and 0.564, and each weakens slightly one season further ahead. The result does not depend on the GV-adj adjustments.</w:t>
      </w:r>
    </w:p>
    <w:p>
      <w:pPr/>
      <w:r>
        <w:t>The check is much stronger for forwards than for defencemen. The primary correlation is 0.648 for forwards and 0.302 for defencemen. The above-replacement raw version gives defencemen 0.442, but the replacement baseline is known to favour offensive defencemen, so that figure overstates the agreement. The other two versions put defencemen at 0.28 to 0.30. This is the same weakness on defence that Section 5 found, seen from the outcome side.</w:t>
      </w:r>
    </w:p>
    <w:p>
      <w:pPr>
        <w:pStyle w:val="Heading1"/>
      </w:pPr>
      <w:r>
        <w:t>7. What the Check Shows, and What It Does Not</w:t>
      </w:r>
    </w:p>
    <w:p>
      <w:pPr/>
      <w:r>
        <w:t>Players with higher trailing production went on to produce more Game Value, clearly for forwards and partly for defencemen. An independent measure moves with the model's production estimate. This is convergent validity, and it supports the starting point of each valuation.</w:t>
      </w:r>
    </w:p>
    <w:p>
      <w:pPr/>
      <w:r>
        <w:t>The check has four limits.</w:t>
      </w:r>
    </w:p>
    <w:p>
      <w:pPr>
        <w:pStyle w:val="ListParagraph"/>
        <w:numPr>
          <w:ilvl w:val="0"/>
          <w:numId w:val="1"/>
        </w:numPr>
      </w:pPr>
      <w:r>
        <w:t>It runs in wins. It tests the production estimate, not whether the dollar price of a win is right.</w:t>
      </w:r>
    </w:p>
    <w:p>
      <w:pPr>
        <w:pStyle w:val="ListParagraph"/>
        <w:numPr>
          <w:ilvl w:val="0"/>
          <w:numId w:val="1"/>
        </w:numPr>
      </w:pPr>
      <w:r>
        <w:t>It tests the starting estimate, not the aging projection built on it or the contract values that follow.</w:t>
      </w:r>
    </w:p>
    <w:p>
      <w:pPr>
        <w:pStyle w:val="ListParagraph"/>
        <w:numPr>
          <w:ilvl w:val="0"/>
          <w:numId w:val="1"/>
        </w:numPr>
      </w:pPr>
      <w:r>
        <w:t>Game Value shares no inputs or model with Bacon WAR, but both describe the same games. Some agreement is expected because they measure the same players' performances.</w:t>
      </w:r>
    </w:p>
    <w:p>
      <w:pPr>
        <w:pStyle w:val="ListParagraph"/>
        <w:numPr>
          <w:ilvl w:val="0"/>
          <w:numId w:val="1"/>
        </w:numPr>
      </w:pPr>
      <w:r>
        <w:t>The shot model's final fit includes the seasons it scores, so the outcome side has seen its own season's shots. This touches only the outcome measure, not trailing production.</w:t>
      </w:r>
    </w:p>
    <w:p>
      <w:pPr/>
      <w:r>
        <w:t>No pass mark was set before the check, and none was added afterward. The result is descriptive.</w:t>
      </w:r>
    </w:p>
    <w:p>
      <w:pPr>
        <w:pStyle w:val="Heading1"/>
      </w:pPr>
      <w:r>
        <w:t>8. A Second Use: Dividing a Traded Player's Season</w:t>
      </w:r>
    </w:p>
    <w:p>
      <w:pPr/>
      <w:r>
        <w:t>A player traded during the season produced value for two clubs, and the trade comparison needs each club's share. Bacon WAR gives only his season total. A split by games played assumes he contributed equally in each game, even if his play changed after the trade. A split by points captures only part of what WAR measures, because defensive play and on-ice contributions produce value without a point. Game Value counts shot quality for and against, and penalties, game by game, so it captures a broader share of that performance.</w:t>
      </w:r>
    </w:p>
    <w:p>
      <w:pPr/>
      <w:r>
        <w:t>The rule is to total the player's Game Value with each club and divide his Bacon WAR in those proportions. One problem remains before the rule can be used. Game Value can be negative. A season total near zero makes the shares extreme, and stints of opposite sign produce a negative share or a share above 100%. The rule needs an explicit treatment of those cases, and the division is not yet implemented.</w:t>
      </w:r>
    </w:p>
    <w:sectPr w:rsidR="001563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57D42"/>
    <w:multiLevelType w:val="hybridMultilevel"/>
    <w:tmpl w:val="82EAC7BE"/>
    <w:lvl w:ilvl="0" w:tplc="6E483434">
      <w:start w:val="1"/>
      <w:numFmt w:val="bullet"/>
      <w:lvlText w:val="●"/>
      <w:lvlJc w:val="left"/>
      <w:pPr>
        <w:ind w:left="720" w:hanging="360"/>
      </w:pPr>
    </w:lvl>
    <w:lvl w:ilvl="1" w:tplc="27CE91DC">
      <w:start w:val="1"/>
      <w:numFmt w:val="bullet"/>
      <w:lvlText w:val="○"/>
      <w:lvlJc w:val="left"/>
      <w:pPr>
        <w:ind w:left="1440" w:hanging="360"/>
      </w:pPr>
    </w:lvl>
    <w:lvl w:ilvl="2" w:tplc="528A0F14">
      <w:start w:val="1"/>
      <w:numFmt w:val="bullet"/>
      <w:lvlText w:val="■"/>
      <w:lvlJc w:val="left"/>
      <w:pPr>
        <w:ind w:left="2160" w:hanging="360"/>
      </w:pPr>
    </w:lvl>
    <w:lvl w:ilvl="3" w:tplc="C7A81564">
      <w:start w:val="1"/>
      <w:numFmt w:val="bullet"/>
      <w:lvlText w:val="●"/>
      <w:lvlJc w:val="left"/>
      <w:pPr>
        <w:ind w:left="2880" w:hanging="360"/>
      </w:pPr>
    </w:lvl>
    <w:lvl w:ilvl="4" w:tplc="07801C96">
      <w:start w:val="1"/>
      <w:numFmt w:val="bullet"/>
      <w:lvlText w:val="○"/>
      <w:lvlJc w:val="left"/>
      <w:pPr>
        <w:ind w:left="3600" w:hanging="360"/>
      </w:pPr>
    </w:lvl>
    <w:lvl w:ilvl="5" w:tplc="0A04A61A">
      <w:start w:val="1"/>
      <w:numFmt w:val="bullet"/>
      <w:lvlText w:val="■"/>
      <w:lvlJc w:val="left"/>
      <w:pPr>
        <w:ind w:left="4320" w:hanging="360"/>
      </w:pPr>
    </w:lvl>
    <w:lvl w:ilvl="6" w:tplc="B5CCD43C">
      <w:start w:val="1"/>
      <w:numFmt w:val="bullet"/>
      <w:lvlText w:val="●"/>
      <w:lvlJc w:val="left"/>
      <w:pPr>
        <w:ind w:left="5040" w:hanging="360"/>
      </w:pPr>
    </w:lvl>
    <w:lvl w:ilvl="7" w:tplc="A7F61D20">
      <w:start w:val="1"/>
      <w:numFmt w:val="bullet"/>
      <w:lvlText w:val="●"/>
      <w:lvlJc w:val="left"/>
      <w:pPr>
        <w:ind w:left="5760" w:hanging="360"/>
      </w:pPr>
    </w:lvl>
    <w:lvl w:ilvl="8" w:tplc="C89A7370">
      <w:start w:val="1"/>
      <w:numFmt w:val="bullet"/>
      <w:lvlText w:val="●"/>
      <w:lvlJc w:val="left"/>
      <w:pPr>
        <w:ind w:left="6480" w:hanging="360"/>
      </w:pPr>
    </w:lvl>
  </w:abstractNum>
  <w:num w:numId="1" w16cid:durableId="1136751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3E0"/>
    <w:rsid w:val="00055567"/>
    <w:rsid w:val="001563E0"/>
    <w:rsid w:val="001C4B9B"/>
    <w:rsid w:val="002829EB"/>
    <w:rsid w:val="005C426F"/>
    <w:rsid w:val="00742F04"/>
    <w:rsid w:val="00966533"/>
    <w:rsid w:val="00B20CF5"/>
    <w:rsid w:val="00C27954"/>
    <w:rsid w:val="00C97EEA"/>
    <w:rsid w:val="00D43B40"/>
    <w:rsid w:val="00D83A03"/>
    <w:rsid w:val="00E14ADC"/>
    <w:rsid w:val="00EF2B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CED1"/>
  <w15:docId w15:val="{94585D73-DCC9-4C56-A65B-3476D468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customStyle="1" w:styleId="Normal1">
    <w:name w:val="Normal1"/>
    <w:rPr>
      <w:color w:val="000000"/>
    </w:rPr>
  </w:style>
  <w:style w:type="paragraph" w:default="1" w:styleId="Normal">
    <w:name w:val="Normal"/>
    <w:qFormat/>
    <w:pPr>
      <w:spacing w:after="200" w:line="276" w:lineRule="auto"/>
    </w:pPr>
    <w:rPr>
      <w:color w:val="000000"/>
      <w:sz w:val="22"/>
      <w:szCs w:val="22"/>
    </w:rPr>
  </w:style>
  <w:style w:type="paragraph" w:styleId="Heading1">
    <w:name w:val="heading 1"/>
    <w:uiPriority w:val="9"/>
    <w:qFormat/>
    <w:pPr>
      <w:keepNext/>
      <w:keepLines/>
      <w:spacing w:before="280" w:after="140" w:line="276" w:lineRule="auto"/>
      <w:outlineLvl w:val="0"/>
    </w:pPr>
    <w:rPr>
      <w:b/>
      <w:color w:val="2E74B5"/>
      <w:sz w:val="26"/>
      <w:szCs w:val="26"/>
    </w:rPr>
  </w:style>
  <w:style w:type="paragraph" w:styleId="Heading2">
    <w:name w:val="heading 2"/>
    <w:uiPriority w:val="9"/>
    <w:unhideWhenUsed/>
    <w:qFormat/>
    <w:pPr>
      <w:keepNext/>
      <w:keepLines/>
      <w:spacing w:before="200" w:after="140" w:line="276" w:lineRule="auto"/>
      <w:outlineLvl w:val="1"/>
    </w:pPr>
    <w:rPr>
      <w:b/>
      <w:color w:val="1F4D78"/>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pPr>
    <w:rPr>
      <w:b/>
      <w:color w:val="000000"/>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Circularity and Game Value</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Circularity and Game Value</dc:title>
  <dc:creator>Un-named</dc:creator>
  <cp:lastModifiedBy>Thomas Mihaljevic</cp:lastModifiedBy>
  <cp:revision>11</cp:revision>
  <dcterms:created xsi:type="dcterms:W3CDTF">2026-09-09T18:49:00Z</dcterms:created>
  <dcterms:modified xsi:type="dcterms:W3CDTF">2026-09-11T13:02:00Z</dcterms:modified>
</cp:coreProperties>
</file>