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Draft Picks, Prospects, and the Remaining Trade Model</w:t>
      </w:r>
    </w:p>
    <w:p>
      <w:pPr/>
      <w:r>
        <w:t>This document accompanies the first version of the player model (xNPV 0) and prices draft picks with the same price of a win. It explains how the project values draft picks, what remains to be built for non-roster prospects, and what the trade comparison still needs.</w:t>
      </w:r>
    </w:p>
    <w:p>
      <w:pPr>
        <w:pStyle w:val="Heading1"/>
      </w:pPr>
      <w:r>
        <w:t>1. The Problem: Three Assets on One Scale</w:t>
      </w:r>
    </w:p>
    <w:p>
      <w:pPr/>
      <w:r>
        <w:t>An NHL trade can exchange a rostered player for a draft pick and a prospect. To ask whether one side got the better of the deal, all three must be valued in one currency. The project's currency is expected surplus in dollars, which is the market value of a player's NHL production minus the cost of obtaining it. The player model already values contracts this way.</w:t>
      </w:r>
    </w:p>
    <w:p>
      <w:pPr/>
      <w:r>
        <w:t>The other two assets are at different stages.</w:t>
      </w:r>
    </w:p>
    <w:p>
      <w:pPr>
        <w:pStyle w:val="ListParagraph"/>
        <w:numPr>
          <w:ilvl w:val="0"/>
          <w:numId w:val="1"/>
        </w:numPr>
      </w:pPr>
      <w:r>
        <w:t>Draft picks. The project has linked each pick to the NHL career that followed and measured the historical return by draft position (Sections 2 to 4). Turning those returns into values on past trade dates is partly built (Section 5).</w:t>
      </w:r>
    </w:p>
    <w:p>
      <w:pPr>
        <w:pStyle w:val="ListParagraph"/>
        <w:numPr>
          <w:ilvl w:val="0"/>
          <w:numId w:val="1"/>
        </w:numPr>
      </w:pPr>
      <w:r>
        <w:t>Non-roster prospects. The inputs are gathered, and the model is not built (Section 6).</w:t>
      </w:r>
    </w:p>
    <w:p>
      <w:pPr>
        <w:pStyle w:val="ListParagraph"/>
        <w:numPr>
          <w:ilvl w:val="0"/>
          <w:numId w:val="1"/>
        </w:numPr>
      </w:pPr>
      <w:r>
        <w:t>The trade comparison. It needs the two valuations above plus three pieces of trade accounting (Section 7).</w:t>
      </w:r>
    </w:p>
    <w:p>
      <w:pPr>
        <w:pStyle w:val="Heading1"/>
      </w:pPr>
      <w:r>
        <w:t>2. Measuring the Return from a Draft Pick</w:t>
      </w:r>
    </w:p>
    <w:p>
      <w:pPr>
        <w:pStyle w:val="Heading2"/>
      </w:pPr>
      <w:r>
        <w:t>The idea</w:t>
      </w:r>
    </w:p>
    <w:p>
      <w:pPr/>
      <w:r>
        <w:t>The draft curve asks how much surplus a pick at each draft position has produced in the past. It follows each pick from the 2007-2017 drafts through the nine seasons after the draft, prices each NHL season the player produced, and averages the totals by draft position. The average is the expected return from making a pick in that range.</w:t>
      </w:r>
    </w:p>
    <w:p>
      <w:pPr>
        <w:pStyle w:val="Heading2"/>
      </w:pPr>
      <w:r>
        <w:t>The window</w:t>
      </w:r>
    </w:p>
    <w:p>
      <w:pPr/>
      <w:r>
        <w:t>Each pick is followed for nine seasons, starting with the season after the draft. For the 2017 class, that is 2017-18 through 2025-26. Nine seasons give college and European players time to arrive, and the same window for each class keeps the follow-up equal. The classes stop at 2017 because a later class has not yet had nine seasons, and they start at 2007 because the WAR data begin in 2007-08. Production after year nine is excluded, so the curve does not measure full career value.</w:t>
      </w:r>
    </w:p>
    <w:p>
      <w:pPr>
        <w:pStyle w:val="Heading2"/>
      </w:pPr>
      <w:r>
        <w:t>Each pick counts</w:t>
      </w:r>
    </w:p>
    <w:p>
      <w:pPr/>
      <w:r>
        <w:t>Picks who never played in the NHL stay in the average. Counting only players who reached the league would overstate the return from making a pick. This makes accurate career matching essential, because a player whose record fails to match gets zero production, the same as a player who never arrives.</w:t>
      </w:r>
    </w:p>
    <w:p>
      <w:pPr/>
      <w:r>
        <w:t>The matching first uses NHL player identifiers and checks that the names agree. Some identifiers in the WAR data point to the wrong person (one career carries a brother's identifier), so an identifier match counts only when the name agrees as well. Where identifiers are missing, the matching uses exact names with three safeguards. It rejects a career that began before the draft, it does not resolve a name drafted twice by name alone, and it uses a hand-checked list of name variants instead of fuzzy matching. Fuzzy matching was tried and matched brothers and near-namesakes. Names that the WAR data merge across two different players are excluded until they can be separated.</w:t>
      </w:r>
    </w:p>
    <w:p>
      <w:pPr>
        <w:pStyle w:val="Heading2"/>
      </w:pPr>
      <w:r>
        <w:t>From NHL seasons to dollars</w:t>
      </w:r>
    </w:p>
    <w:p>
      <w:pPr/>
      <w:r>
        <w:t>The model prices each NHL season in the window with the player model's price line. A skater season is worth 1.325% of the cap plus 2.123% per win for a forward or 2.410% for a defenceman, and goaltenders use the goaltender line. Production in the shortened 2012-13, 2019-20, and 2020-21 seasons is scaled to 82 games. A skater season is raised to the league minimum if the line prices it lower. The model then subtracts an estimated cost (Section 3).</w:t>
      </w:r>
    </w:p>
    <w:p>
      <w:pPr/>
      <w:r>
        <w:t>The model divides each season's surplus by that season's salary cap and adds the cap shares across the nine seasons. Adding cap shares is the model's discounting, not an omission of it. The model grows the cap at 3% a year and discounts at 3% a year, so 1% of the cap in any future season is worth 1% of today's cap. The totals are averaged within draft-position bands and multiplied by the 2025-26 cap of $95.5 million. For example, a total surplus of 0.10 of the cap becomes $9.55 million. The result is a total return over the nine seasons, not an annual salary.</w:t>
      </w:r>
    </w:p>
    <w:p>
      <w:pPr/>
      <w:r>
        <w:t>The curve uses realized careers and historical caps. It describes what picks returned after the outcomes were known. It does not reconstruct what a club knew when it made or traded the pick. A single fixed curve, estimated on all eleven classes, is a deliberate exception to the rule that a valuation uses only information available at the time. Draft returns follow a stable institutional pattern, and clubs value picks with fixed pick-value tables in the same way.</w:t>
      </w:r>
    </w:p>
    <w:p>
      <w:pPr>
        <w:pStyle w:val="Heading1"/>
      </w:pPr>
      <w:r>
        <w:t>3. Estimating What a Drafted Player Cost</w:t>
      </w:r>
    </w:p>
    <w:p>
      <w:pPr>
        <w:pStyle w:val="Heading2"/>
      </w:pPr>
      <w:r>
        <w:t>Rule A, the main rule</w:t>
      </w:r>
    </w:p>
    <w:p>
      <w:pPr/>
      <w:r>
        <w:t>Contract records do not cover each drafted player, so the curve observes production but has to approximate its cost. The main rule, Rule A, counts surplus only during the player's estimated entry-level years. After those years it sets the cost equal to the market price of that season's production, so value and cost cancel and surplus is zero. This rests on the finding that one price line fits restricted and unrestricted free agents alike (see the pricing document). A player paid the going rate produces no expected surplus. The curve under Rule A is, therefore, a curve of entry-level surplus.</w:t>
      </w:r>
    </w:p>
    <w:p>
      <w:pPr/>
      <w:r>
        <w:t>The cost of that choice is clear. Rule A leaves out any surplus a successful pick produces on later contracts. If that surplus is positive, Rule A understates the pick's return. It can also change the curve's shape, because early and late picks need not produce the same later surplus.</w:t>
      </w:r>
    </w:p>
    <w:p>
      <w:pPr>
        <w:pStyle w:val="Heading2"/>
      </w:pPr>
      <w:r>
        <w:t>The entry-level years</w:t>
      </w:r>
    </w:p>
    <w:p>
      <w:pPr/>
      <w:r>
        <w:t>The model charges the entry-level maximum for the player's draft class rather than his actual salary: $875,000 for 2007-08, $900,000 for 2009-10, and $925,000 for 2011 through 2021. It sets the length of the entry-level contract from the player's age on September 15 of his first season with at least ten NHL games. The length is three years if he is 21 or younger, two years at 22 or 23, and one year at 24 or older. These are the collective agreement's signing-age bands. Missing age information defaults to three years. The age rule matters. A flat three-year rule priced late arrivers' large second contracts at the entry-level salary, and Kirill Kaprizov ranked above Connor McDavid until the rule was added.</w:t>
      </w:r>
    </w:p>
    <w:p>
      <w:pPr/>
      <w:r>
        <w:t>Arrival age stands in for signing age, and the ten-game threshold stands in for when a contract year is used. These rules cannot reproduce each signing date or contract slide, and they still need comparison with actual contracts, especially for late arrivers.</w:t>
      </w:r>
    </w:p>
    <w:p>
      <w:pPr/>
      <w:r>
        <w:t>Before the entry-level years run out, a season with fewer than ten NHL games does not use up a year. Its cost is prorated by games played divided by 82, and so is the league-minimum floor. The price line's intercept is not prorated, so a brief appearance can carry substantial value against a small cost. A season with no NHL games contributes neither value nor cost. After the entry-level years, Rule A assigns zero surplus whatever the games played.</w:t>
      </w:r>
    </w:p>
    <w:p>
      <w:pPr/>
      <w:r>
        <w:t>Two cost assumptions push in opposite directions. Charging the entry-level maximum lowers surplus for players who signed below it. Leaving out bonuses raises surplus where bonuses were paid. The curve, therefore, cannot be called uniformly conservative.</w:t>
      </w:r>
    </w:p>
    <w:p>
      <w:pPr>
        <w:pStyle w:val="Heading2"/>
      </w:pPr>
      <w:r>
        <w:t>Rule B, an alternative cost rule</w:t>
      </w:r>
    </w:p>
    <w:p>
      <w:pPr/>
      <w:r>
        <w:t>Rule B asks what happens if later costs follow past production instead of current production. For a skater with a usable trailing record, it prices his salary from his trailing production (60% of the previous season and 40% of the one before). It then subtracts that salary from the price of what he produced. Goaltenders, and skaters without a usable trailing record, keep zero surplus after their entry-level years.</w:t>
      </w:r>
    </w:p>
    <w:p>
      <w:pPr/>
      <w:r>
        <w:t>The source of Rule B surplus is easy to see. For a forward away from the floor, one trailing win followed by two realized wins produces surplus equal to the price of the extra win. If trailing and realized production are both two wins, the prices cancel.</w:t>
      </w:r>
    </w:p>
    <w:p>
      <w:pPr/>
      <w:r>
        <w:t>The code does not make that comparison consistently for defencemen. It prices realized production with the defence rate but prices the trailing salary with the forward rate. A defenceman can show surplus when his production has not changed. Rule B must be fixed and rerun before its difference from Rule A can be read as the effect of the alternative cost assumption. Rule A is unaffected.</w:t>
      </w:r>
    </w:p>
    <w:p>
      <w:pPr>
        <w:pStyle w:val="Heading1"/>
      </w:pPr>
      <w:r>
        <w:t>4. Reading the Curve</w:t>
      </w:r>
    </w:p>
    <w:p>
      <w:pPr>
        <w:pStyle w:val="Heading2"/>
      </w:pPr>
      <w:r>
        <w:t>Averages and typical outcomes</w:t>
      </w:r>
    </w:p>
    <w:p>
      <w:pPr/>
      <w:r>
        <w:t>The mean answers what a selection returns on average across all outcomes. It can be positive even when most picks produce nothing in the NHL, because a few successful careers raise it. For picks 151 to 224, only 26.5% have any NHL appearance within the window, and the median surplus is zero. A club that makes many selections can still care about the average, even though a single late pick most often contributes nothing.</w:t>
      </w:r>
    </w:p>
    <w:p>
      <w:pPr>
        <w:keepNext/>
      </w:pPr>
      <w:r>
        <w:rPr>
          <w:b/>
        </w:rPr>
        <w:t>Table 1.</w:t>
      </w:r>
      <w:r>
        <w:t xml:space="preserve"> Mean surplus per pick under Rule A, at the 2025-26 cap (2007-2017 drafts, nine seasons each)</w:t>
      </w:r>
    </w:p>
    <w:tbl>
      <w:tblPr>
        <w:tblW w:type="auto" w:w="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3120"/>
        <w:gridCol w:w="3120"/>
        <w:gridCol w:w="3120"/>
      </w:tblGrid>
      <w:tr>
        <w:trPr>
          <w:tblHeader w:val="true"/>
        </w:trPr>
        <w:tc>
          <w:tcPr>
            <w:tcW w:type="dxa" w:w="3047"/>
            <w:shd w:val="clear" w:color="auto" w:fill="D9E2F3"/>
          </w:tcPr>
          <w:p>
            <w:pPr>
              <w:spacing w:after="0" w:before="0"/>
            </w:pPr>
            <w:r>
              <w:rPr>
                <w:b/>
                <w:sz w:val="19"/>
              </w:rPr>
              <w:t>Draft position</w:t>
            </w:r>
          </w:p>
        </w:tc>
        <w:tc>
          <w:tcPr>
            <w:tcW w:type="dxa" w:w="2612"/>
            <w:shd w:val="clear" w:color="auto" w:fill="D9E2F3"/>
          </w:tcPr>
          <w:p>
            <w:pPr>
              <w:spacing w:after="0" w:before="0"/>
              <w:jc w:val="center"/>
            </w:pPr>
            <w:r>
              <w:rPr>
                <w:b/>
                <w:sz w:val="19"/>
              </w:rPr>
              <w:t>Mean surplus</w:t>
            </w:r>
          </w:p>
        </w:tc>
        <w:tc>
          <w:tcPr>
            <w:tcW w:type="dxa" w:w="3700"/>
            <w:shd w:val="clear" w:color="auto" w:fill="D9E2F3"/>
          </w:tcPr>
          <w:p>
            <w:pPr>
              <w:spacing w:after="0" w:before="0"/>
              <w:jc w:val="center"/>
            </w:pPr>
            <w:r>
              <w:rPr>
                <w:b/>
                <w:sz w:val="19"/>
              </w:rPr>
              <w:t>95% interval</w:t>
            </w:r>
          </w:p>
        </w:tc>
      </w:tr>
      <w:tr>
        <w:tc>
          <w:tcPr>
            <w:tcW w:type="dxa" w:w="3047"/>
          </w:tcPr>
          <w:p>
            <w:pPr>
              <w:spacing w:after="0" w:before="0"/>
            </w:pPr>
            <w:r>
              <w:rPr>
                <w:sz w:val="19"/>
              </w:rPr>
              <w:t>1</w:t>
            </w:r>
          </w:p>
        </w:tc>
        <w:tc>
          <w:tcPr>
            <w:tcW w:type="dxa" w:w="2612"/>
          </w:tcPr>
          <w:p>
            <w:pPr>
              <w:spacing w:after="0" w:before="0"/>
              <w:jc w:val="center"/>
            </w:pPr>
            <w:r>
              <w:rPr>
                <w:sz w:val="19"/>
              </w:rPr>
              <w:t>$13.65M</w:t>
            </w:r>
          </w:p>
        </w:tc>
        <w:tc>
          <w:tcPr>
            <w:tcW w:type="dxa" w:w="3700"/>
          </w:tcPr>
          <w:p>
            <w:pPr>
              <w:spacing w:after="0" w:before="0"/>
              <w:jc w:val="center"/>
            </w:pPr>
            <w:r>
              <w:rPr>
                <w:sz w:val="19"/>
              </w:rPr>
              <w:t>$9.24M to $18.61M</w:t>
            </w:r>
          </w:p>
        </w:tc>
      </w:tr>
      <w:tr>
        <w:tc>
          <w:tcPr>
            <w:tcW w:type="dxa" w:w="3047"/>
          </w:tcPr>
          <w:p>
            <w:pPr>
              <w:spacing w:after="0" w:before="0"/>
            </w:pPr>
            <w:r>
              <w:rPr>
                <w:sz w:val="19"/>
              </w:rPr>
              <w:t>2</w:t>
            </w:r>
          </w:p>
        </w:tc>
        <w:tc>
          <w:tcPr>
            <w:tcW w:type="dxa" w:w="2612"/>
          </w:tcPr>
          <w:p>
            <w:pPr>
              <w:spacing w:after="0" w:before="0"/>
              <w:jc w:val="center"/>
            </w:pPr>
            <w:r>
              <w:rPr>
                <w:sz w:val="19"/>
              </w:rPr>
              <w:t>$8.33M</w:t>
            </w:r>
          </w:p>
        </w:tc>
        <w:tc>
          <w:tcPr>
            <w:tcW w:type="dxa" w:w="3700"/>
          </w:tcPr>
          <w:p>
            <w:pPr>
              <w:spacing w:after="0" w:before="0"/>
              <w:jc w:val="center"/>
            </w:pPr>
            <w:r>
              <w:rPr>
                <w:sz w:val="19"/>
              </w:rPr>
              <w:t>$5.63M to $10.96M</w:t>
            </w:r>
          </w:p>
        </w:tc>
      </w:tr>
      <w:tr>
        <w:tc>
          <w:tcPr>
            <w:tcW w:type="dxa" w:w="3047"/>
          </w:tcPr>
          <w:p>
            <w:pPr>
              <w:spacing w:after="0" w:before="0"/>
            </w:pPr>
            <w:r>
              <w:rPr>
                <w:sz w:val="19"/>
              </w:rPr>
              <w:t>3-5</w:t>
            </w:r>
          </w:p>
        </w:tc>
        <w:tc>
          <w:tcPr>
            <w:tcW w:type="dxa" w:w="2612"/>
          </w:tcPr>
          <w:p>
            <w:pPr>
              <w:spacing w:after="0" w:before="0"/>
              <w:jc w:val="center"/>
            </w:pPr>
            <w:r>
              <w:rPr>
                <w:sz w:val="19"/>
              </w:rPr>
              <w:t>$6.83M</w:t>
            </w:r>
          </w:p>
        </w:tc>
        <w:tc>
          <w:tcPr>
            <w:tcW w:type="dxa" w:w="3700"/>
          </w:tcPr>
          <w:p>
            <w:pPr>
              <w:spacing w:after="0" w:before="0"/>
              <w:jc w:val="center"/>
            </w:pPr>
            <w:r>
              <w:rPr>
                <w:sz w:val="19"/>
              </w:rPr>
              <w:t>$4.75M to $9.19M</w:t>
            </w:r>
          </w:p>
        </w:tc>
      </w:tr>
      <w:tr>
        <w:tc>
          <w:tcPr>
            <w:tcW w:type="dxa" w:w="3047"/>
          </w:tcPr>
          <w:p>
            <w:pPr>
              <w:spacing w:after="0" w:before="0"/>
            </w:pPr>
            <w:r>
              <w:rPr>
                <w:sz w:val="19"/>
              </w:rPr>
              <w:t>6-10</w:t>
            </w:r>
          </w:p>
        </w:tc>
        <w:tc>
          <w:tcPr>
            <w:tcW w:type="dxa" w:w="2612"/>
          </w:tcPr>
          <w:p>
            <w:pPr>
              <w:spacing w:after="0" w:before="0"/>
              <w:jc w:val="center"/>
            </w:pPr>
            <w:r>
              <w:rPr>
                <w:sz w:val="19"/>
              </w:rPr>
              <w:t>$5.75M</w:t>
            </w:r>
          </w:p>
        </w:tc>
        <w:tc>
          <w:tcPr>
            <w:tcW w:type="dxa" w:w="3700"/>
          </w:tcPr>
          <w:p>
            <w:pPr>
              <w:spacing w:after="0" w:before="0"/>
              <w:jc w:val="center"/>
            </w:pPr>
            <w:r>
              <w:rPr>
                <w:sz w:val="19"/>
              </w:rPr>
              <w:t>$4.54M to $7.03M</w:t>
            </w:r>
          </w:p>
        </w:tc>
      </w:tr>
      <w:tr>
        <w:tc>
          <w:tcPr>
            <w:tcW w:type="dxa" w:w="3047"/>
          </w:tcPr>
          <w:p>
            <w:pPr>
              <w:spacing w:after="0" w:before="0"/>
            </w:pPr>
            <w:r>
              <w:rPr>
                <w:sz w:val="19"/>
              </w:rPr>
              <w:t>11-20</w:t>
            </w:r>
          </w:p>
        </w:tc>
        <w:tc>
          <w:tcPr>
            <w:tcW w:type="dxa" w:w="2612"/>
          </w:tcPr>
          <w:p>
            <w:pPr>
              <w:spacing w:after="0" w:before="0"/>
              <w:jc w:val="center"/>
            </w:pPr>
            <w:r>
              <w:rPr>
                <w:sz w:val="19"/>
              </w:rPr>
              <w:t>$4.30M</w:t>
            </w:r>
          </w:p>
        </w:tc>
        <w:tc>
          <w:tcPr>
            <w:tcW w:type="dxa" w:w="3700"/>
          </w:tcPr>
          <w:p>
            <w:pPr>
              <w:spacing w:after="0" w:before="0"/>
              <w:jc w:val="center"/>
            </w:pPr>
            <w:r>
              <w:rPr>
                <w:sz w:val="19"/>
              </w:rPr>
              <w:t>$3.46M to $5.15M</w:t>
            </w:r>
          </w:p>
        </w:tc>
      </w:tr>
      <w:tr>
        <w:tc>
          <w:tcPr>
            <w:tcW w:type="dxa" w:w="3047"/>
          </w:tcPr>
          <w:p>
            <w:pPr>
              <w:spacing w:after="0" w:before="0"/>
            </w:pPr>
            <w:r>
              <w:rPr>
                <w:sz w:val="19"/>
              </w:rPr>
              <w:t>21-32</w:t>
            </w:r>
          </w:p>
        </w:tc>
        <w:tc>
          <w:tcPr>
            <w:tcW w:type="dxa" w:w="2612"/>
          </w:tcPr>
          <w:p>
            <w:pPr>
              <w:spacing w:after="0" w:before="0"/>
              <w:jc w:val="center"/>
            </w:pPr>
            <w:r>
              <w:rPr>
                <w:sz w:val="19"/>
              </w:rPr>
              <w:t>$3.20M</w:t>
            </w:r>
          </w:p>
        </w:tc>
        <w:tc>
          <w:tcPr>
            <w:tcW w:type="dxa" w:w="3700"/>
          </w:tcPr>
          <w:p>
            <w:pPr>
              <w:spacing w:after="0" w:before="0"/>
              <w:jc w:val="center"/>
            </w:pPr>
            <w:r>
              <w:rPr>
                <w:sz w:val="19"/>
              </w:rPr>
              <w:t>$2.65M to $3.80M</w:t>
            </w:r>
          </w:p>
        </w:tc>
      </w:tr>
      <w:tr>
        <w:tc>
          <w:tcPr>
            <w:tcW w:type="dxa" w:w="3047"/>
          </w:tcPr>
          <w:p>
            <w:pPr>
              <w:spacing w:after="0" w:before="0"/>
            </w:pPr>
            <w:r>
              <w:rPr>
                <w:sz w:val="19"/>
              </w:rPr>
              <w:t>33-50</w:t>
            </w:r>
          </w:p>
        </w:tc>
        <w:tc>
          <w:tcPr>
            <w:tcW w:type="dxa" w:w="2612"/>
          </w:tcPr>
          <w:p>
            <w:pPr>
              <w:spacing w:after="0" w:before="0"/>
              <w:jc w:val="center"/>
            </w:pPr>
            <w:r>
              <w:rPr>
                <w:sz w:val="19"/>
              </w:rPr>
              <w:t>$2.44M</w:t>
            </w:r>
          </w:p>
        </w:tc>
        <w:tc>
          <w:tcPr>
            <w:tcW w:type="dxa" w:w="3700"/>
          </w:tcPr>
          <w:p>
            <w:pPr>
              <w:spacing w:after="0" w:before="0"/>
              <w:jc w:val="center"/>
            </w:pPr>
            <w:r>
              <w:rPr>
                <w:sz w:val="19"/>
              </w:rPr>
              <w:t>$1.95M to $2.98M</w:t>
            </w:r>
          </w:p>
        </w:tc>
      </w:tr>
      <w:tr>
        <w:tc>
          <w:tcPr>
            <w:tcW w:type="dxa" w:w="3047"/>
          </w:tcPr>
          <w:p>
            <w:pPr>
              <w:spacing w:after="0" w:before="0"/>
            </w:pPr>
            <w:r>
              <w:rPr>
                <w:sz w:val="19"/>
              </w:rPr>
              <w:t>51-100</w:t>
            </w:r>
          </w:p>
        </w:tc>
        <w:tc>
          <w:tcPr>
            <w:tcW w:type="dxa" w:w="2612"/>
          </w:tcPr>
          <w:p>
            <w:pPr>
              <w:spacing w:after="0" w:before="0"/>
              <w:jc w:val="center"/>
            </w:pPr>
            <w:r>
              <w:rPr>
                <w:sz w:val="19"/>
              </w:rPr>
              <w:t>$1.54M</w:t>
            </w:r>
          </w:p>
        </w:tc>
        <w:tc>
          <w:tcPr>
            <w:tcW w:type="dxa" w:w="3700"/>
          </w:tcPr>
          <w:p>
            <w:pPr>
              <w:spacing w:after="0" w:before="0"/>
              <w:jc w:val="center"/>
            </w:pPr>
            <w:r>
              <w:rPr>
                <w:sz w:val="19"/>
              </w:rPr>
              <w:t>$1.31M to $1.78M</w:t>
            </w:r>
          </w:p>
        </w:tc>
      </w:tr>
      <w:tr>
        <w:tc>
          <w:tcPr>
            <w:tcW w:type="dxa" w:w="3047"/>
          </w:tcPr>
          <w:p>
            <w:pPr>
              <w:spacing w:after="0" w:before="0"/>
            </w:pPr>
            <w:r>
              <w:rPr>
                <w:sz w:val="19"/>
              </w:rPr>
              <w:t>101-150</w:t>
            </w:r>
          </w:p>
        </w:tc>
        <w:tc>
          <w:tcPr>
            <w:tcW w:type="dxa" w:w="2612"/>
          </w:tcPr>
          <w:p>
            <w:pPr>
              <w:spacing w:after="0" w:before="0"/>
              <w:jc w:val="center"/>
            </w:pPr>
            <w:r>
              <w:rPr>
                <w:sz w:val="19"/>
              </w:rPr>
              <w:t>$1.09M</w:t>
            </w:r>
          </w:p>
        </w:tc>
        <w:tc>
          <w:tcPr>
            <w:tcW w:type="dxa" w:w="3700"/>
          </w:tcPr>
          <w:p>
            <w:pPr>
              <w:spacing w:after="0" w:before="0"/>
              <w:jc w:val="center"/>
            </w:pPr>
            <w:r>
              <w:rPr>
                <w:sz w:val="19"/>
              </w:rPr>
              <w:t>$0.88M to $1.31M</w:t>
            </w:r>
          </w:p>
        </w:tc>
      </w:tr>
      <w:tr>
        <w:tc>
          <w:tcPr>
            <w:tcW w:type="dxa" w:w="3047"/>
          </w:tcPr>
          <w:p>
            <w:pPr>
              <w:spacing w:after="0" w:before="0"/>
            </w:pPr>
            <w:r>
              <w:rPr>
                <w:sz w:val="19"/>
              </w:rPr>
              <w:t>151-224</w:t>
            </w:r>
          </w:p>
        </w:tc>
        <w:tc>
          <w:tcPr>
            <w:tcW w:type="dxa" w:w="2612"/>
          </w:tcPr>
          <w:p>
            <w:pPr>
              <w:spacing w:after="0" w:before="0"/>
              <w:jc w:val="center"/>
            </w:pPr>
            <w:r>
              <w:rPr>
                <w:sz w:val="19"/>
              </w:rPr>
              <w:t>$0.61M</w:t>
            </w:r>
          </w:p>
        </w:tc>
        <w:tc>
          <w:tcPr>
            <w:tcW w:type="dxa" w:w="3700"/>
          </w:tcPr>
          <w:p>
            <w:pPr>
              <w:spacing w:after="0" w:before="0"/>
              <w:jc w:val="center"/>
            </w:pPr>
            <w:r>
              <w:rPr>
                <w:sz w:val="19"/>
              </w:rPr>
              <w:t>$0.50M to $0.73M</w:t>
            </w:r>
          </w:p>
        </w:tc>
      </w:tr>
    </w:tbl>
    <w:p>
      <w:pPr/>
    </w:p>
    <w:p>
      <w:pPr/>
      <w:r>
        <w:t>These are returns per selection over the nine-season window, not guaranteed returns or annual salaries.</w:t>
      </w:r>
    </w:p>
    <w:p>
      <w:pPr>
        <w:pStyle w:val="Heading2"/>
      </w:pPr>
      <w:r>
        <w:t>How precise the averages are</w:t>
      </w:r>
    </w:p>
    <w:p>
      <w:pPr/>
      <w:r>
        <w:t>The early positions rest on few picks. Eleven drafts give only eleven first-overall picks. The model measures the uncertainty in each band's mean with a bootstrap. It draws a new sample of the same size from the band's picks, allowing a pick to appear more than once, and recalculates the mean. It repeats this 2,000 times. The spread of those means is the bootstrap standard error. For first overall it is 0.02412 of the cap, or about $2.30 million.</w:t>
      </w:r>
    </w:p>
    <w:p>
      <w:pPr/>
      <w:r>
        <w:t>The intervals in Table 1 come from a separate review that used 10,000 resamples per band. They are wider above the mean than below it at the top of the draft, so symmetric error bars would misstate first overall. The gap between first and second overall is $5.29 million, with a 95% interval from $0.18 million to $10.82 million. These intervals measure variation among the observed picks while holding the price line and the cost rules fixed. They do not measure uncertainty in those choices, and they cannot capture rare outcomes absent from the eleven drafts.</w:t>
      </w:r>
    </w:p>
    <w:p>
      <w:pPr>
        <w:pStyle w:val="Heading2"/>
      </w:pPr>
      <w:r>
        <w:t>The bands, and their replacement</w:t>
      </w:r>
    </w:p>
    <w:p>
      <w:pPr/>
      <w:r>
        <w:t>Grouping nearby positions adds observations, but it also gives each pick in a band the same value. Picks 51 and 100 are worth the same, so a trade between them appears to cost nothing, and crossing a band boundary creates a jump. This caused a real failure. A trade down within the 51-100 band priced at exactly zero and pushed an estimate of how clubs discount future picks to nonsense. The 151 boundary also splits the fifth round in two.</w:t>
      </w:r>
    </w:p>
    <w:p>
      <w:pPr/>
      <w:r>
        <w:t>The bands will be replaced. A structural-break test, which asks where an average steps from one level to another, will find the pick numbers where expected surplus drops to a new tier. The unit of evidence is the draft class, not the pick. The number of breaks will be chosen by leaving one class out at a time, and intervals on the break points will come from resampling whole classes. An earlier pick will never be worth less than a later one. Any step curve still prices a trade down within one step at zero. The break test will, therefore, be compared with a smooth curve that only decreases, on the same held-out classes, before one is chosen. A single formula for the whole draft was tried and overstated first overall by 112%.</w:t>
      </w:r>
    </w:p>
    <w:p>
      <w:pPr>
        <w:pStyle w:val="Heading1"/>
      </w:pPr>
      <w:r>
        <w:t>5. Valuing a Pick on a Trade Date</w:t>
      </w:r>
    </w:p>
    <w:p>
      <w:pPr>
        <w:pStyle w:val="Heading2"/>
      </w:pPr>
      <w:r>
        <w:t>A future pick has no known position</w:t>
      </w:r>
    </w:p>
    <w:p>
      <w:pPr/>
      <w:r>
        <w:t>Valuing a pick before its draft needs an estimate of where it will land. Using its eventual position from the historical record would give the model information clubs did not have on the trade date.</w:t>
      </w:r>
    </w:p>
    <w:p>
      <w:pPr/>
      <w:r>
        <w:t>The model assumes a pick lands where its original team picked in the most recent draft held before the trade. A team that picked 20th in 2025 and trades its 2026 first-round pick gives up an assumed 20th pick. The team's first-round position is applied to each round. The original team comes from the NHL's record of each pick's ownership. This matters most in the first round, where the curve is steep. A pick's actual number is used only from three days before its draft, when the order is set. Outside that window the trade data's recorded position is never read, because it was filled in later with a number nobody knew on the day. The rule is a convention, untested against how clubs forecast picks. An alternative reading, the team's position in the standings on the trade date, remains open.</w:t>
      </w:r>
    </w:p>
    <w:p>
      <w:pPr/>
      <w:r>
        <w:t>Conditional picks are valued as if their conditions are met, so each pick conveys as described in its conditional form. Of 1,112 pick rows in the trade data, 161 carry condition text that must still be coded by hand into a round and a year.</w:t>
      </w:r>
    </w:p>
    <w:p>
      <w:pPr>
        <w:pStyle w:val="Heading2"/>
      </w:pPr>
      <w:r>
        <w:t>Is a later pick worth less?</w:t>
      </w:r>
    </w:p>
    <w:p>
      <w:pPr/>
      <w:r>
        <w:t>A pick in next year's draft may be worth less on the trade date than the same pick this year, because the player arrives a year later and the club is less sure where the pick will land. The historical curve already includes the chance that a pick never reaches the NHL. Any further discount must, therefore, cover only the wait and the uncertainty about position. Reducing the average again for failure would count that risk twice.</w:t>
      </w:r>
    </w:p>
    <w:p>
      <w:pPr/>
      <w:r>
        <w:t>Trades of picks for picks were the first place to look. The trade data hold 119 such trades, and 56 involve picks from more than one draft. Of those 56, 39 are one-for-one swaps, 35 of them within the same round, and those carry almost no information. That leaves 17 bundle trades as the whole sample. Clubs cannot trade cash, so the smallest unit they can add is a late pick. A trade that closes a gap smaller than that pick gives an inequality, not a price. The 17 trades can support only bounds on the discount, not a single estimate. The estimates rebuilt from these trades do not yet reproduce earlier recorded results, and they will be re-examined on the new curve before anything is read into them.</w:t>
      </w:r>
    </w:p>
    <w:p>
      <w:pPr/>
      <w:r>
        <w:t>A second source is the same pick traded more than once. The trade data record 241 picks traded more than once, 163 of them at different times before the draft. Following one pick holds its identity fixed, so the position convention drops out. Only 4 of the 163, however, have each trade inside pick-for-pick deals. Valuing the others needs prices for the players and prospects in those packages.</w:t>
      </w:r>
    </w:p>
    <w:p>
      <w:pPr/>
      <w:r>
        <w:t>Neither source isolates the price of waiting cleanly. Between trades, beliefs about the original team, the draft class, and the eventual position can change, and protection terms also affect value. A late pick can also close a deal as a small addition rather than as a statement of its standalone worth. The project has not yet chosen among three options: no premium beyond the model's own discounting, bounds from the pick-for-pick trades, or the repeated-trade estimate once prospects are priced.</w:t>
      </w:r>
    </w:p>
    <w:p>
      <w:pPr>
        <w:pStyle w:val="Heading1"/>
      </w:pPr>
      <w:r>
        <w:t>6. Building the Non-Roster Prospect Model</w:t>
      </w:r>
    </w:p>
    <w:p>
      <w:pPr>
        <w:pStyle w:val="Heading2"/>
      </w:pPr>
      <w:r>
        <w:t>What a prospect valuation needs</w:t>
      </w:r>
    </w:p>
    <w:p>
      <w:pPr/>
      <w:r>
        <w:t>A prospect valuation needs two forecasts: the chance he reaches the NHL, and the production he can be expected to give if he gets there. Draft position gives a starting expectation. His age and his performance after the draft should update it as evidence builds.</w:t>
      </w:r>
    </w:p>
    <w:p>
      <w:pPr/>
      <w:r>
        <w:t>The forecasts stay in wins and probabilities, and dollars enter only at the last step. A later change to the price of a win then changes prospect values without refitting the prospect model.</w:t>
      </w:r>
    </w:p>
    <w:p>
      <w:pPr/>
      <w:r>
        <w:t>For example, suppose a prospect has a 20% chance of producing two NHL wins in a season and otherwise produces nothing in the NHL. His expected production is 0.20 × 2 = 0.4 wins. A full forecast must also cover when he arrives and the range of production after arrival.</w:t>
      </w:r>
    </w:p>
    <w:p>
      <w:pPr/>
      <w:r>
        <w:t>Pricing needs the same split between arriving and not arriving. The price line gives an NHL player a positive value at zero WAR, about $1.27 million at the 2025-26 cap. That amount must be weighted by the chance he plays in the NHL. Applying it to each prospect would give salary value to seasons in which he never reaches the league.</w:t>
      </w:r>
    </w:p>
    <w:p>
      <w:pPr>
        <w:pStyle w:val="Heading2"/>
      </w:pPr>
      <w:r>
        <w:t>The plan</w:t>
      </w:r>
    </w:p>
    <w:p>
      <w:pPr/>
      <w:r>
        <w:t>The model will start from the expectation attached to draft position and give later performance more weight as it becomes informative. How much evidence is needed, how the information differs across leagues, and whether draft position eventually loses all influence are still to be estimated, on the finished careers of the 2007-2017 drafts.</w:t>
      </w:r>
    </w:p>
    <w:p>
      <w:pPr/>
      <w:r>
        <w:t>The validation will test the two forecasts separately on players left out of the fit. Did predicted NHL participation match actual participation, and did predicted production match later production? Dollars come after those forecasts. Draft position is an input, so it cannot also serve as an independent check of their accuracy.</w:t>
      </w:r>
    </w:p>
    <w:p>
      <w:pPr/>
      <w:r>
        <w:t>The training sample must include the paths that failed. Prospects with professional records differ from those without them, and players who move to stronger leagues have already cleared a hurdle. A model that learned only from successful moves would overstate the whole pool. Each update must use information available on the valuation date and allow for which players are observed.</w:t>
      </w:r>
    </w:p>
    <w:p>
      <w:pPr>
        <w:pStyle w:val="Heading2"/>
      </w:pPr>
      <w:r>
        <w:t>Where it stands</w:t>
      </w:r>
    </w:p>
    <w:p>
      <w:pPr/>
      <w:r>
        <w:t>Draft records, ages, and conversion factors for scoring between leagues are gathered. The scoring conversions translate a point total in one league into its equivalent in another, given the leagues' strength. They still need a verified link to NHL participation and wins before they can value anyone. The pull of prospect statistics covers 34 leagues from 2006-07. They are the leagues that have conversion factors and are regular routes to the draft or the NHL between ages 16 and 22. The draft-season leagues of 3,912 of the 4,098 players drafted from 2007 to 2025 (95.5%) are among them. The pull has not yet been run.</w:t>
      </w:r>
    </w:p>
    <w:p>
      <w:pPr/>
      <w:r>
        <w:t>The trade data contain 73 traded rows, in 70 trades, for prospects who were unsigned on the trade date. These are the assets the prospect model must price. Another 224 rows are signed players with no NHL games, and whether the prospect model should price them too is still to be decided.</w:t>
      </w:r>
    </w:p>
    <w:p>
      <w:pPr>
        <w:pStyle w:val="Heading1"/>
      </w:pPr>
      <w:r>
        <w:t>7. Completing the Trade Comparison</w:t>
      </w:r>
    </w:p>
    <w:p>
      <w:pPr>
        <w:pStyle w:val="Heading2"/>
      </w:pPr>
      <w:r>
        <w:t>Salary retention</w:t>
      </w:r>
    </w:p>
    <w:p>
      <w:pPr/>
      <w:r>
        <w:t>A club can retain part of a traded player's salary. That lowers the acquiring club's cap cost and leaves the retaining club paying part of the charge. A third club can provide the same service for an asset. The trade calculation must assign the retained costs and the assets received to the right clubs, so that one pick is not counted as payment for both the player and the retention. Diagnostics exist, but the service's own market price has not been estimated.</w:t>
      </w:r>
    </w:p>
    <w:p>
      <w:pPr/>
      <w:r>
        <w:t>Trades with an intermediary club are the proposed evidence. A pick received by that club can reveal the price of retention when the club supplies nothing else of substance. Roughly fifty candidate deals have been identified. Their retained amounts, durations, compensation, and structures still need checking. The estimate must separate carrying a larger charge from carrying it longer. It must also compare deals made under the same rules, because a 2025-26 amendment restricts retaining salary again on a contract within 75 days.</w:t>
      </w:r>
    </w:p>
    <w:p>
      <w:pPr>
        <w:pStyle w:val="Heading2"/>
      </w:pPr>
      <w:r>
        <w:t>Trade protection</w:t>
      </w:r>
    </w:p>
    <w:p>
      <w:pPr/>
      <w:r>
        <w:t>A no-trade or no-move clause can narrow the seller's options and change bargaining power. Players who receive protection also differ in quality, age, contract length, and bargaining position. A salary difference between players with and without clauses, therefore, cannot be credited to the clause alone.</w:t>
      </w:r>
    </w:p>
    <w:p>
      <w:pPr/>
      <w:r>
        <w:t>The clause data are assembled. The planned comparison relates pay to projected production and to the presence and type of protection, holding those other differences fixed. It cannot yet give a causal price for protection. A completed trade may have gone to an allowed destination or followed a waiver, and the project does not observe blocked offers or whether the clause restricted the deal.</w:t>
      </w:r>
    </w:p>
    <w:p>
      <w:pPr>
        <w:pStyle w:val="Heading2"/>
      </w:pPr>
      <w:r>
        <w:t>Comparing trade-date values with later outcomes</w:t>
      </w:r>
    </w:p>
    <w:p>
      <w:pPr/>
      <w:r>
        <w:t>The back-test will value each package with information available on the trade date, then compare those values with what happened. It needs the unfinished pick and prospect valuations, correct retention accounting, and a defined measure of the difference between packages.</w:t>
      </w:r>
    </w:p>
    <w:p>
      <w:pPr/>
      <w:r>
        <w:t>Trades involving only players give a first sample of 205 events among 946 trade groups. Of these, 153 require splitting a player's season around a mid-season trade, which is not yet implemented. About 69% of all trade groups include a draft pick (654 of 946), so results from player-only trades would describe a selected minority of the market.</w:t>
      </w:r>
    </w:p>
    <w:p>
      <w:pPr/>
      <w:r>
        <w:t>The split will use Game Value to divide a season's value at the trade date (see the Circularity and Game Value document). Game Value can be negative, so ordinary percentage shares can fail. A season total near zero produces extreme ratios, and stints of opposite sign produce negative shares or shares above 100%. Those cases need an explicit rule before the method enters the back-test.</w:t>
      </w:r>
    </w:p>
    <w:p>
      <w:pPr/>
      <w:r>
        <w:t>The study will compare trades by asset class, contract length, player age, and team competitive position, to test for systematic differences in estimated value. Its ability to detect those differences depends on the usable sample and the number of comparisons. The earlier power analysis, which asks how large a difference the study can reliably detect, counted only 14 fully priceable trades. It must be rerun once picks and prospects have values. A test with little power that finds no difference would not show efficient pricing.</w:t>
      </w:r>
    </w:p>
    <w:sectPr w:rsidR="00A45950" w:rsidRPr="00122F8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9E0761"/>
    <w:multiLevelType w:val="hybridMultilevel"/>
    <w:tmpl w:val="4A842726"/>
    <w:lvl w:ilvl="0" w:tplc="56C09BFC">
      <w:start w:val="1"/>
      <w:numFmt w:val="bullet"/>
      <w:lvlText w:val="●"/>
      <w:lvlJc w:val="left"/>
      <w:pPr>
        <w:ind w:left="720" w:hanging="360"/>
      </w:pPr>
    </w:lvl>
    <w:lvl w:ilvl="1" w:tplc="A78AC8D8">
      <w:start w:val="1"/>
      <w:numFmt w:val="bullet"/>
      <w:lvlText w:val="○"/>
      <w:lvlJc w:val="left"/>
      <w:pPr>
        <w:ind w:left="1440" w:hanging="360"/>
      </w:pPr>
    </w:lvl>
    <w:lvl w:ilvl="2" w:tplc="AFDAB022">
      <w:start w:val="1"/>
      <w:numFmt w:val="bullet"/>
      <w:lvlText w:val="■"/>
      <w:lvlJc w:val="left"/>
      <w:pPr>
        <w:ind w:left="2160" w:hanging="360"/>
      </w:pPr>
    </w:lvl>
    <w:lvl w:ilvl="3" w:tplc="A664C3AC">
      <w:start w:val="1"/>
      <w:numFmt w:val="bullet"/>
      <w:lvlText w:val="●"/>
      <w:lvlJc w:val="left"/>
      <w:pPr>
        <w:ind w:left="2880" w:hanging="360"/>
      </w:pPr>
    </w:lvl>
    <w:lvl w:ilvl="4" w:tplc="26B43ECE">
      <w:start w:val="1"/>
      <w:numFmt w:val="bullet"/>
      <w:lvlText w:val="○"/>
      <w:lvlJc w:val="left"/>
      <w:pPr>
        <w:ind w:left="3600" w:hanging="360"/>
      </w:pPr>
    </w:lvl>
    <w:lvl w:ilvl="5" w:tplc="CD224704">
      <w:start w:val="1"/>
      <w:numFmt w:val="bullet"/>
      <w:lvlText w:val="■"/>
      <w:lvlJc w:val="left"/>
      <w:pPr>
        <w:ind w:left="4320" w:hanging="360"/>
      </w:pPr>
    </w:lvl>
    <w:lvl w:ilvl="6" w:tplc="B546D15E">
      <w:start w:val="1"/>
      <w:numFmt w:val="bullet"/>
      <w:lvlText w:val="●"/>
      <w:lvlJc w:val="left"/>
      <w:pPr>
        <w:ind w:left="5040" w:hanging="360"/>
      </w:pPr>
    </w:lvl>
    <w:lvl w:ilvl="7" w:tplc="ABF8CE32">
      <w:start w:val="1"/>
      <w:numFmt w:val="bullet"/>
      <w:lvlText w:val="●"/>
      <w:lvlJc w:val="left"/>
      <w:pPr>
        <w:ind w:left="5760" w:hanging="360"/>
      </w:pPr>
    </w:lvl>
    <w:lvl w:ilvl="8" w:tplc="D2CA3600">
      <w:start w:val="1"/>
      <w:numFmt w:val="bullet"/>
      <w:lvlText w:val="●"/>
      <w:lvlJc w:val="left"/>
      <w:pPr>
        <w:ind w:left="6480" w:hanging="360"/>
      </w:pPr>
    </w:lvl>
  </w:abstractNum>
  <w:num w:numId="1" w16cid:durableId="101634995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10A4"/>
    <w:rsid w:val="0009126F"/>
    <w:rsid w:val="00122F8F"/>
    <w:rsid w:val="00240904"/>
    <w:rsid w:val="002F0D96"/>
    <w:rsid w:val="004341A2"/>
    <w:rsid w:val="004F5377"/>
    <w:rsid w:val="00500129"/>
    <w:rsid w:val="00563F95"/>
    <w:rsid w:val="00590D4F"/>
    <w:rsid w:val="005C0F74"/>
    <w:rsid w:val="006034F5"/>
    <w:rsid w:val="00636594"/>
    <w:rsid w:val="006406F0"/>
    <w:rsid w:val="00660853"/>
    <w:rsid w:val="00775321"/>
    <w:rsid w:val="007E751A"/>
    <w:rsid w:val="00831EFC"/>
    <w:rsid w:val="0091049F"/>
    <w:rsid w:val="009105B3"/>
    <w:rsid w:val="00A45950"/>
    <w:rsid w:val="00B229B1"/>
    <w:rsid w:val="00C444E1"/>
    <w:rsid w:val="00C97F34"/>
    <w:rsid w:val="00CD25AD"/>
    <w:rsid w:val="00E20E0A"/>
    <w:rsid w:val="00E23368"/>
    <w:rsid w:val="00FD10A4"/>
    <w:rsid w:val="00FE2E9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6B7774"/>
  <w15:docId w15:val="{173A5462-0475-469F-8A75-9FA89289B7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color w:val="000000"/>
      <w:sz w:val="22"/>
      <w:szCs w:val="22"/>
    </w:rPr>
  </w:style>
  <w:style w:type="paragraph" w:styleId="Heading1">
    <w:name w:val="heading 1"/>
    <w:uiPriority w:val="9"/>
    <w:qFormat/>
    <w:pPr>
      <w:keepNext/>
      <w:keepLines/>
      <w:spacing w:before="280" w:after="140" w:line="276" w:lineRule="auto"/>
      <w:outlineLvl w:val="0"/>
    </w:pPr>
    <w:rPr>
      <w:b/>
      <w:color w:val="2E74B5"/>
      <w:sz w:val="26"/>
      <w:szCs w:val="26"/>
    </w:rPr>
  </w:style>
  <w:style w:type="paragraph" w:styleId="Heading2">
    <w:name w:val="heading 2"/>
    <w:uiPriority w:val="9"/>
    <w:unhideWhenUsed/>
    <w:qFormat/>
    <w:pPr>
      <w:keepNext/>
      <w:keepLines/>
      <w:spacing w:before="200" w:after="140" w:line="276" w:lineRule="auto"/>
      <w:outlineLvl w:val="1"/>
    </w:pPr>
    <w:rPr>
      <w:b/>
      <w:color w:val="1F4D78"/>
      <w:sz w:val="24"/>
      <w:szCs w:val="24"/>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40" w:line="276" w:lineRule="auto"/>
    </w:pPr>
    <w:rPr>
      <w:b/>
      <w:color w:val="000000"/>
      <w:sz w:val="30"/>
      <w:szCs w:val="3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92</TotalTime>
  <Pages>6</Pages>
  <Words>2433</Words>
  <Characters>13874</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Thomas Mihaljevic</cp:lastModifiedBy>
  <cp:revision>18</cp:revision>
  <dcterms:created xsi:type="dcterms:W3CDTF">2026-09-09T20:55:00Z</dcterms:created>
  <dcterms:modified xsi:type="dcterms:W3CDTF">2026-09-11T19:27:00Z</dcterms:modified>
  <dc:title>Draft Picks, Prospects, and the Remaining Trade Model</dc:title>
</cp:coreProperties>
</file>