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Pricing, Control Years, and Contract Value</w:t>
      </w:r>
    </w:p>
    <w:p>
      <w:pPr/>
      <w:r>
        <w:t>This document covers the first version of the player model (xNPV 0). It explains how the model turns a skater's projected production into dollars, and how it adds those dollars up over a contract and the restricted years that follow it.</w:t>
      </w:r>
    </w:p>
    <w:p>
      <w:pPr>
        <w:pStyle w:val="Heading1"/>
      </w:pPr>
      <w:r>
        <w:t>1. The Problem and the Approach</w:t>
      </w:r>
    </w:p>
    <w:p>
      <w:pPr/>
      <w:r>
        <w:t>A club that acquires a player acquires the seasons left on his contract. Those seasons have not been played, so the club cannot observe what they are worth. What it needs is an estimate of their surplus, which is the market value of the player's production minus the cap hit the club pays for him. If the contract ends with the player still a restricted free agent, the club also keeps his rights for a few more years, and those years carry surplus too.</w:t>
      </w:r>
    </w:p>
    <w:p>
      <w:pPr/>
      <w:r>
        <w:t>The model builds that estimate season by season. The Data, Production, and Aging document projects the player's wins above replacement (WAR) for each remaining season. This document picks up from there, in the order the code works:</w:t>
      </w:r>
    </w:p>
    <w:p>
      <w:pPr>
        <w:ind w:left="720" w:hanging="360"/>
      </w:pPr>
      <w:r>
        <w:t>1.</w:t>
        <w:tab/>
        <w:t>It prices each projected season with a price line fitted on real contracts (Section 2).</w:t>
      </w:r>
    </w:p>
    <w:p>
      <w:pPr>
        <w:ind w:left="720" w:hanging="360"/>
      </w:pPr>
      <w:r>
        <w:t>2.</w:t>
        <w:tab/>
        <w:t>It allows for the league-minimum salary and for uncertainty in the projection (Section 3).</w:t>
      </w:r>
    </w:p>
    <w:p>
      <w:pPr>
        <w:ind w:left="720" w:hanging="360"/>
      </w:pPr>
      <w:r>
        <w:t>3.</w:t>
        <w:tab/>
        <w:t>It weights each future season by the chance the player is still in the NHL to play it (Section 4).</w:t>
      </w:r>
    </w:p>
    <w:p>
      <w:pPr>
        <w:ind w:left="720" w:hanging="360"/>
      </w:pPr>
      <w:r>
        <w:t>4.</w:t>
        <w:tab/>
        <w:t>It discounts each season's surplus and adds the seasons up (Section 5).</w:t>
      </w:r>
    </w:p>
    <w:p>
      <w:pPr>
        <w:ind w:left="720" w:hanging="360"/>
      </w:pPr>
      <w:r>
        <w:t>5.</w:t>
        <w:tab/>
        <w:t>It adds the surplus from the restricted years after the contract ends (Section 6).</w:t>
      </w:r>
    </w:p>
    <w:p>
      <w:pPr/>
      <w:r>
        <w:t>Section 7 walks one contract through each step. Goaltenders use a simpler version of the same chain (Section 8).</w:t>
      </w:r>
    </w:p>
    <w:p>
      <w:pPr>
        <w:pStyle w:val="Heading1"/>
      </w:pPr>
      <w:r>
        <w:t>2. Turning Wins into Dollars</w:t>
      </w:r>
    </w:p>
    <w:p>
      <w:pPr>
        <w:pStyle w:val="Heading2"/>
      </w:pPr>
      <w:r>
        <w:t>The price line</w:t>
      </w:r>
    </w:p>
    <w:p>
      <w:pPr/>
      <w:r>
        <w:t>The model needs a dollar value for a win, and it takes that value from what clubs pay. It fits a price line, which is the relationship between a skater's trailing production and his cap hit, on 2,349 skater contracts that started from 2018 through 2025. Trailing production is the weighted average of a player's Bacon WAR in the two seasons before the contract, 60% on the more recent season and 40% on the one before. It is the same quantity the model later prices, so the line and the inputs it is applied to are in the same units.</w:t>
      </w:r>
    </w:p>
    <w:p>
      <w:pPr/>
      <w:r>
        <w:t>Both salary and the league minimum are measured as shares of that season's salary cap. A $5 million contract meant more under a $79.5 million cap than under a $95.5 million one, and cap shares put contracts from different seasons on one scale.</w:t>
      </w:r>
    </w:p>
    <w:p>
      <w:pPr/>
      <w:r>
        <w:t>The fitted line is:</w:t>
      </w:r>
    </w:p>
    <w:p>
      <w:pPr>
        <w:ind w:left="720"/>
      </w:pPr>
      <w:r>
        <w:rPr>
          <w:rFonts w:ascii="Cambria Math" w:hAnsi="Cambria Math"/>
        </w:rPr>
        <w:t>cap share = 0.0132478 + 0.0212323 × WAR, for a forward</w:t>
      </w:r>
    </w:p>
    <w:p>
      <w:pPr>
        <w:ind w:left="720"/>
      </w:pPr>
      <w:r>
        <w:rPr>
          <w:rFonts w:ascii="Cambria Math" w:hAnsi="Cambria Math"/>
        </w:rPr>
        <w:t>cap share = 0.0132478 + 0.0241026 × WAR, for a defenceman</w:t>
      </w:r>
    </w:p>
    <w:p>
      <w:pPr/>
      <w:r>
        <w:t>At the 2025-26 cap of $95.5 million, a player at zero WAR is priced at $1.265 million. Each projected win adds $2.028 million for a forward and $2.302 million for a defenceman. A two-win forward is priced at $1.265 million plus two wins at $2.028 million, about $5.32 million. A two-win defenceman is priced at about $5.87 million. The two positions share one intercept because, at zero trailing wins, forwards and defencemen are paid the same median salary, $0.886 million.</w:t>
      </w:r>
    </w:p>
    <w:p>
      <w:pPr>
        <w:pStyle w:val="Heading2"/>
      </w:pPr>
      <w:r>
        <w:t>Why a censored regression</w:t>
      </w:r>
    </w:p>
    <w:p>
      <w:pPr/>
      <w:r>
        <w:t>Of the 2,349 contracts, 529 pay exactly the league minimum. A player cannot be paid less, even if his production would command less, so those salaries are a floor and not a negotiated price. An ordinary regression would treat them as market prices and flatten the line. The model instead uses a censored regression, also called a Tobit model. For a salary above the minimum, it asks how close the line comes to the observed pay. For a minimum salary, it asks how likely the line is to place the player at or below the minimum. This keeps those 529 contracts in the fit without treating the floor as a price. The method assumes that the price rises in a straight line with production and that the unexplained differences around the line follow a bell-shaped distribution.</w:t>
      </w:r>
    </w:p>
    <w:p>
      <w:pPr>
        <w:pStyle w:val="Heading2"/>
      </w:pPr>
      <w:r>
        <w:t>What else was tried</w:t>
      </w:r>
    </w:p>
    <w:p>
      <w:pPr/>
      <w:r>
        <w:t>Each choice in the price line was tested against an alternative.</w:t>
      </w:r>
    </w:p>
    <w:p>
      <w:pPr>
        <w:pStyle w:val="ListParagraph"/>
        <w:numPr>
          <w:ilvl w:val="0"/>
          <w:numId w:val="1"/>
        </w:numPr>
      </w:pPr>
      <w:r>
        <w:t>Shape. A line that let the price per win change with production fitted the observed salaries better but predicted held-out salaries less accurately. The straight line was kept.</w:t>
      </w:r>
    </w:p>
    <w:p>
      <w:pPr>
        <w:pStyle w:val="ListParagraph"/>
        <w:numPr>
          <w:ilvl w:val="0"/>
          <w:numId w:val="1"/>
        </w:numPr>
      </w:pPr>
      <w:r>
        <w:t>Contract length. A longer contract might signal that a club expects more than recent production shows. The test asked whether term predicts later production after accounting for trailing production. Production was measured as average annual GV-adj, converted to wins, over the three seasons after signing, for 1,781 contracts. GV-adj contains no Bacon input (see the Circularity and Game Value document). Each extra contract year went with -0.0135 wins a season, with a 95% interval from -0.0360 to +0.0089. The interval includes zero, so length is left out of the price line. For forwards alone, the estimate was +0.0273, with an interval from +0.0028 to +0.0518. That subgroup result has not been adopted.</w:t>
      </w:r>
    </w:p>
    <w:p>
      <w:pPr>
        <w:pStyle w:val="ListParagraph"/>
        <w:numPr>
          <w:ilvl w:val="0"/>
          <w:numId w:val="1"/>
        </w:numPr>
      </w:pPr>
      <w:r>
        <w:t>Restricted and unrestricted free agents. One price line or two? The difference between the two markets was not detectable (F = 0.12, p = 0.887), so one line prices both.</w:t>
      </w:r>
    </w:p>
    <w:p>
      <w:pPr>
        <w:pStyle w:val="ListParagraph"/>
        <w:numPr>
          <w:ilvl w:val="0"/>
          <w:numId w:val="1"/>
        </w:numPr>
      </w:pPr>
      <w:r>
        <w:t>Stability over time. The line holds the relationship between production and cap share fixed across the sample. Cap shares remove the cap's size but do not prove that the relationship is stable. A test comparing 2018-19 with the flat-cap seasons found no detectable break (p = 0.75). A marginal cheapening after 2023 (p = 0.044) is treated as noise.</w:t>
      </w:r>
    </w:p>
    <w:p>
      <w:pPr>
        <w:pStyle w:val="ListParagraph"/>
        <w:numPr>
          <w:ilvl w:val="0"/>
          <w:numId w:val="1"/>
        </w:numPr>
      </w:pPr>
      <w:r>
        <w:t>Sample window. The sample starts in 2018 because earlier coverage is thin and selected: 63, 223, and 452 contracts start in 2015, 2016, and 2017, against roughly 700 a year afterward.</w:t>
      </w:r>
    </w:p>
    <w:p>
      <w:pPr/>
      <w:r>
        <w:t>The take-away is that the model prices a win at what clubs paid for one from 2018 to 2025, and the price line survives each test of its shape.</w:t>
      </w:r>
    </w:p>
    <w:p>
      <w:pPr>
        <w:pStyle w:val="Heading1"/>
      </w:pPr>
      <w:r>
        <w:t>3. The League Minimum and Forecast Uncertainty</w:t>
      </w:r>
    </w:p>
    <w:p>
      <w:pPr>
        <w:pStyle w:val="Heading2"/>
      </w:pPr>
      <w:r>
        <w:t>The floor</w:t>
      </w:r>
    </w:p>
    <w:p>
      <w:pPr/>
      <w:r>
        <w:t>A replacement-level player can always be signed at the league minimum, so no season is valued below it. The valuation season is priced on trailing production itself, and its value is raised to the minimum if the price line puts it lower. At the 2025-26 cap, the line reaches the minimum ($775,000) only below about -0.24 wins, so the floor binds only on players whose trailing production is about a quarter of a win below replacement or worse.</w:t>
      </w:r>
    </w:p>
    <w:p>
      <w:pPr>
        <w:pStyle w:val="Heading2"/>
      </w:pPr>
      <w:r>
        <w:t>Pricing the range of outcomes in future seasons</w:t>
      </w:r>
    </w:p>
    <w:p>
      <w:pPr/>
      <w:r>
        <w:t>A projection is a best guess, and the actual season can land above or below it. If the price were a straight line all the way down, pricing the best guess would give the same answer as pricing each possible outcome and averaging. The floor breaks that. It cuts off the bad outcomes and leaves the good ones, so for a player near the floor the average outcome is worth more than the best guess.</w:t>
      </w:r>
    </w:p>
    <w:p>
      <w:pPr/>
      <w:r>
        <w:t>To capture that, the model applies the floor to each outcome in a bell-shaped range around the projection and values the season at the average. The width of the range comes from the projection's own record. Its mean absolute error in a backcast was 0.522 wins one season out, 0.735 two seasons out, and 0.803 three seasons out. For a bell-shaped distribution, the standard deviation is about 1.2533 times the mean absolute error. Beyond three seasons the three-season figure is held flat, a placeholder and not an estimate. The valuation season has no spread, because its production is observed. The average has an exact formula, so no simulation is needed:</w:t>
      </w:r>
    </w:p>
    <w:p>
      <w:pPr>
        <w:ind w:left="720"/>
      </w:pPr>
      <w:r>
        <w:rPr>
          <w:rFonts w:ascii="Cambria Math" w:hAnsi="Cambria Math"/>
        </w:rPr>
        <w:t>expected value = F × Φ(d) + μ × (1 − Φ(d)) + σ × φ(d),   with d = (F − μ) / σ</w:t>
      </w:r>
    </w:p>
    <w:p>
      <w:pPr/>
      <w:r>
        <w:t>Here F is the floor, μ is the price of the projection, σ is the standard deviation of value in dollars, Φ is the share of a bell curve below d, and φ is its height at d.</w:t>
      </w:r>
    </w:p>
    <w:p>
      <w:pPr>
        <w:keepNext/>
      </w:pPr>
      <w:r>
        <w:rPr>
          <w:b/>
        </w:rPr>
        <w:t>Table 1.</w:t>
      </w:r>
      <w:r>
        <w:t xml:space="preserve"> A forward's value one season out (2026-27, from a 2025 valuation)</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340"/>
        <w:gridCol w:w="2340"/>
        <w:gridCol w:w="2340"/>
        <w:gridCol w:w="2340"/>
      </w:tblGrid>
      <w:tr>
        <w:trPr>
          <w:tblHeader w:val="true"/>
        </w:trPr>
        <w:tc>
          <w:tcPr>
            <w:tcW w:type="dxa" w:w="1560"/>
            <w:shd w:val="clear" w:color="auto" w:fill="D9E2F3"/>
          </w:tcPr>
          <w:p>
            <w:pPr>
              <w:spacing w:after="0" w:before="0"/>
            </w:pPr>
            <w:r>
              <w:rPr>
                <w:b/>
                <w:sz w:val="19"/>
              </w:rPr>
              <w:t>Projected WAR</w:t>
            </w:r>
          </w:p>
        </w:tc>
        <w:tc>
          <w:tcPr>
            <w:tcW w:type="dxa" w:w="2760"/>
            <w:shd w:val="clear" w:color="auto" w:fill="D9E2F3"/>
          </w:tcPr>
          <w:p>
            <w:pPr>
              <w:spacing w:after="0" w:before="0"/>
              <w:jc w:val="center"/>
            </w:pPr>
            <w:r>
              <w:rPr>
                <w:b/>
                <w:sz w:val="19"/>
              </w:rPr>
              <w:t>Price of the projection</w:t>
            </w:r>
          </w:p>
        </w:tc>
        <w:tc>
          <w:tcPr>
            <w:tcW w:type="dxa" w:w="3840"/>
            <w:shd w:val="clear" w:color="auto" w:fill="D9E2F3"/>
          </w:tcPr>
          <w:p>
            <w:pPr>
              <w:spacing w:after="0" w:before="0"/>
              <w:jc w:val="center"/>
            </w:pPr>
            <w:r>
              <w:rPr>
                <w:b/>
                <w:sz w:val="19"/>
              </w:rPr>
              <w:t>Value over the range of outcomes</w:t>
            </w:r>
          </w:p>
        </w:tc>
        <w:tc>
          <w:tcPr>
            <w:tcW w:type="dxa" w:w="1200"/>
            <w:shd w:val="clear" w:color="auto" w:fill="D9E2F3"/>
          </w:tcPr>
          <w:p>
            <w:pPr>
              <w:spacing w:after="0" w:before="0"/>
              <w:jc w:val="center"/>
            </w:pPr>
            <w:r>
              <w:rPr>
                <w:b/>
                <w:sz w:val="19"/>
              </w:rPr>
              <w:t>Difference</w:t>
            </w:r>
          </w:p>
        </w:tc>
      </w:tr>
      <w:tr>
        <w:tc>
          <w:tcPr>
            <w:tcW w:type="dxa" w:w="1560"/>
          </w:tcPr>
          <w:p>
            <w:pPr>
              <w:spacing w:after="0" w:before="0"/>
            </w:pPr>
            <w:r>
              <w:rPr>
                <w:sz w:val="19"/>
              </w:rPr>
              <w:t>0.00</w:t>
            </w:r>
          </w:p>
        </w:tc>
        <w:tc>
          <w:tcPr>
            <w:tcW w:type="dxa" w:w="2760"/>
          </w:tcPr>
          <w:p>
            <w:pPr>
              <w:spacing w:after="0" w:before="0"/>
              <w:jc w:val="center"/>
            </w:pPr>
            <w:r>
              <w:rPr>
                <w:sz w:val="19"/>
              </w:rPr>
              <w:t>$1.303M</w:t>
            </w:r>
          </w:p>
        </w:tc>
        <w:tc>
          <w:tcPr>
            <w:tcW w:type="dxa" w:w="3840"/>
          </w:tcPr>
          <w:p>
            <w:pPr>
              <w:spacing w:after="0" w:before="0"/>
              <w:jc w:val="center"/>
            </w:pPr>
            <w:r>
              <w:rPr>
                <w:sz w:val="19"/>
              </w:rPr>
              <w:t>$1.651M</w:t>
            </w:r>
          </w:p>
        </w:tc>
        <w:tc>
          <w:tcPr>
            <w:tcW w:type="dxa" w:w="1200"/>
          </w:tcPr>
          <w:p>
            <w:pPr>
              <w:spacing w:after="0" w:before="0"/>
              <w:jc w:val="center"/>
            </w:pPr>
            <w:r>
              <w:rPr>
                <w:sz w:val="19"/>
              </w:rPr>
              <w:t>+$348K</w:t>
            </w:r>
          </w:p>
        </w:tc>
      </w:tr>
      <w:tr>
        <w:tc>
          <w:tcPr>
            <w:tcW w:type="dxa" w:w="1560"/>
          </w:tcPr>
          <w:p>
            <w:pPr>
              <w:spacing w:after="0" w:before="0"/>
            </w:pPr>
            <w:r>
              <w:rPr>
                <w:sz w:val="19"/>
              </w:rPr>
              <w:t>0.25</w:t>
            </w:r>
          </w:p>
        </w:tc>
        <w:tc>
          <w:tcPr>
            <w:tcW w:type="dxa" w:w="2760"/>
          </w:tcPr>
          <w:p>
            <w:pPr>
              <w:spacing w:after="0" w:before="0"/>
              <w:jc w:val="center"/>
            </w:pPr>
            <w:r>
              <w:rPr>
                <w:sz w:val="19"/>
              </w:rPr>
              <w:t>$1.825M</w:t>
            </w:r>
          </w:p>
        </w:tc>
        <w:tc>
          <w:tcPr>
            <w:tcW w:type="dxa" w:w="3840"/>
          </w:tcPr>
          <w:p>
            <w:pPr>
              <w:spacing w:after="0" w:before="0"/>
              <w:jc w:val="center"/>
            </w:pPr>
            <w:r>
              <w:rPr>
                <w:sz w:val="19"/>
              </w:rPr>
              <w:t>$2.016M</w:t>
            </w:r>
          </w:p>
        </w:tc>
        <w:tc>
          <w:tcPr>
            <w:tcW w:type="dxa" w:w="1200"/>
          </w:tcPr>
          <w:p>
            <w:pPr>
              <w:spacing w:after="0" w:before="0"/>
              <w:jc w:val="center"/>
            </w:pPr>
            <w:r>
              <w:rPr>
                <w:sz w:val="19"/>
              </w:rPr>
              <w:t>+$191K</w:t>
            </w:r>
          </w:p>
        </w:tc>
      </w:tr>
      <w:tr>
        <w:tc>
          <w:tcPr>
            <w:tcW w:type="dxa" w:w="1560"/>
          </w:tcPr>
          <w:p>
            <w:pPr>
              <w:spacing w:after="0" w:before="0"/>
            </w:pPr>
            <w:r>
              <w:rPr>
                <w:sz w:val="19"/>
              </w:rPr>
              <w:t>0.50</w:t>
            </w:r>
          </w:p>
        </w:tc>
        <w:tc>
          <w:tcPr>
            <w:tcW w:type="dxa" w:w="2760"/>
          </w:tcPr>
          <w:p>
            <w:pPr>
              <w:spacing w:after="0" w:before="0"/>
              <w:jc w:val="center"/>
            </w:pPr>
            <w:r>
              <w:rPr>
                <w:sz w:val="19"/>
              </w:rPr>
              <w:t>$2.347M</w:t>
            </w:r>
          </w:p>
        </w:tc>
        <w:tc>
          <w:tcPr>
            <w:tcW w:type="dxa" w:w="3840"/>
          </w:tcPr>
          <w:p>
            <w:pPr>
              <w:spacing w:after="0" w:before="0"/>
              <w:jc w:val="center"/>
            </w:pPr>
            <w:r>
              <w:rPr>
                <w:sz w:val="19"/>
              </w:rPr>
              <w:t>$2.442M</w:t>
            </w:r>
          </w:p>
        </w:tc>
        <w:tc>
          <w:tcPr>
            <w:tcW w:type="dxa" w:w="1200"/>
          </w:tcPr>
          <w:p>
            <w:pPr>
              <w:spacing w:after="0" w:before="0"/>
              <w:jc w:val="center"/>
            </w:pPr>
            <w:r>
              <w:rPr>
                <w:sz w:val="19"/>
              </w:rPr>
              <w:t>+$95K</w:t>
            </w:r>
          </w:p>
        </w:tc>
      </w:tr>
      <w:tr>
        <w:tc>
          <w:tcPr>
            <w:tcW w:type="dxa" w:w="1560"/>
          </w:tcPr>
          <w:p>
            <w:pPr>
              <w:spacing w:after="0" w:before="0"/>
            </w:pPr>
            <w:r>
              <w:rPr>
                <w:sz w:val="19"/>
              </w:rPr>
              <w:t>1.00</w:t>
            </w:r>
          </w:p>
        </w:tc>
        <w:tc>
          <w:tcPr>
            <w:tcW w:type="dxa" w:w="2760"/>
          </w:tcPr>
          <w:p>
            <w:pPr>
              <w:spacing w:after="0" w:before="0"/>
              <w:jc w:val="center"/>
            </w:pPr>
            <w:r>
              <w:rPr>
                <w:sz w:val="19"/>
              </w:rPr>
              <w:t>$3.392M</w:t>
            </w:r>
          </w:p>
        </w:tc>
        <w:tc>
          <w:tcPr>
            <w:tcW w:type="dxa" w:w="3840"/>
          </w:tcPr>
          <w:p>
            <w:pPr>
              <w:spacing w:after="0" w:before="0"/>
              <w:jc w:val="center"/>
            </w:pPr>
            <w:r>
              <w:rPr>
                <w:sz w:val="19"/>
              </w:rPr>
              <w:t>$3.408M</w:t>
            </w:r>
          </w:p>
        </w:tc>
        <w:tc>
          <w:tcPr>
            <w:tcW w:type="dxa" w:w="1200"/>
          </w:tcPr>
          <w:p>
            <w:pPr>
              <w:spacing w:after="0" w:before="0"/>
              <w:jc w:val="center"/>
            </w:pPr>
            <w:r>
              <w:rPr>
                <w:sz w:val="19"/>
              </w:rPr>
              <w:t>+$17K</w:t>
            </w:r>
          </w:p>
        </w:tc>
      </w:tr>
      <w:tr>
        <w:tc>
          <w:tcPr>
            <w:tcW w:type="dxa" w:w="1560"/>
          </w:tcPr>
          <w:p>
            <w:pPr>
              <w:spacing w:after="0" w:before="0"/>
            </w:pPr>
            <w:r>
              <w:rPr>
                <w:sz w:val="19"/>
              </w:rPr>
              <w:t>2.00</w:t>
            </w:r>
          </w:p>
        </w:tc>
        <w:tc>
          <w:tcPr>
            <w:tcW w:type="dxa" w:w="2760"/>
          </w:tcPr>
          <w:p>
            <w:pPr>
              <w:spacing w:after="0" w:before="0"/>
              <w:jc w:val="center"/>
            </w:pPr>
            <w:r>
              <w:rPr>
                <w:sz w:val="19"/>
              </w:rPr>
              <w:t>$5.480M</w:t>
            </w:r>
          </w:p>
        </w:tc>
        <w:tc>
          <w:tcPr>
            <w:tcW w:type="dxa" w:w="3840"/>
          </w:tcPr>
          <w:p>
            <w:pPr>
              <w:spacing w:after="0" w:before="0"/>
              <w:jc w:val="center"/>
            </w:pPr>
            <w:r>
              <w:rPr>
                <w:sz w:val="19"/>
              </w:rPr>
              <w:t>$5.480M</w:t>
            </w:r>
          </w:p>
        </w:tc>
        <w:tc>
          <w:tcPr>
            <w:tcW w:type="dxa" w:w="1200"/>
          </w:tcPr>
          <w:p>
            <w:pPr>
              <w:spacing w:after="0" w:before="0"/>
              <w:jc w:val="center"/>
            </w:pPr>
            <w:r>
              <w:rPr>
                <w:sz w:val="19"/>
              </w:rPr>
              <w:t>$0K</w:t>
            </w:r>
          </w:p>
        </w:tc>
      </w:tr>
    </w:tbl>
    <w:p>
      <w:pPr/>
    </w:p>
    <w:p>
      <w:pPr/>
      <w:r>
        <w:t>The ceiling is $98.365 million and the minimum $850,000. The standard deviation of value is $1.366 million.</w:t>
      </w:r>
    </w:p>
    <w:p>
      <w:pPr/>
      <w:r>
        <w:t>The correction is largest for players projected near zero wins and vanishes by two wins. Before it was adopted, it was measured at a mean of +$68,200 per contract, with a median of zero, on an earlier price line. One limit remains: projections below replacement are already set to zero wins (see the Data, Production, and Aging document), so a symmetric range around them overstates the upside. That affects about 9.5% of projected seasons.</w:t>
      </w:r>
    </w:p>
    <w:p>
      <w:pPr>
        <w:pStyle w:val="Heading1"/>
      </w:pPr>
      <w:r>
        <w:t>4. The Chance a Player Is Still in the League</w:t>
      </w:r>
    </w:p>
    <w:p>
      <w:pPr/>
      <w:r>
        <w:t>A projection assumes the player plays. Some players do not: a career-ending injury, a move to Europe, or retirement removes them from the league. The model, therefore, weights each future season by survival, which is the chance the player is still in the NHL to produce it.</w:t>
      </w:r>
    </w:p>
    <w:p>
      <w:pPr/>
      <w:r>
        <w:t>The yearly chance of leaving, the exit hazard, comes from the WAR panel. For each skater-season with at least ten games, an exit is a season with no NHL appearance the following year. A logistic regression relates exit to the player's quality and age. Quality has four groups by WAR (below 0, 0 to 1, 1 to 3, and 3 or more), and age has five (22 and under, 23-26, 27-30, 31-34, and 35 and over). Each group enters once, with no interactions, so the table has eight parameters.</w:t>
      </w:r>
    </w:p>
    <w:p>
      <w:pPr/>
      <w:r>
        <w:t>The regression replaces a simpler table. An earlier version used the raw exit rate in each of the twenty cells. Two of those cells, young stars and stars aged 31-34, had no exits, so the table claimed those players were certain to stay. The regression removes that false certainty.</w:t>
      </w:r>
    </w:p>
    <w:p>
      <w:pPr/>
      <w:r>
        <w:t>The model estimates the hazard only on seasons a club could see on the valuation date. These are exits observed from 2008-09 through the season before the valuation. An earlier table was fitted on 2018-2024 for each valuation date. Against it, the new window improved the prediction of exits (Brier score 0.2143 against 0.2275, where lower is better) and of season WAR (root mean squared error 0.8591 against 0.8619). Both improvements held in 2,000 of 2,000 resamples of players.</w:t>
      </w:r>
    </w:p>
    <w:p>
      <w:pPr/>
      <w:r>
        <w:t>Survival compounds. To reach season k, a player must stay through each season before it, so survival in season k is the product of one minus the hazard for each earlier season. The hazard for the step into season k is read from the player's projected quality and age in season k − 1, the season he is leaving. The valuation season has survival 1.</w:t>
      </w:r>
    </w:p>
    <w:p>
      <w:pPr/>
      <w:r>
        <w:t>In the 2018-2024 transitions, established players rarely left, at about 1% a year for stars and regulars. Fringe and below-replacement players left at 10.3% and 19.4% a year, and the rates rose steeply with age. Some exits are temporary: 18.4% of players who left returned within two years, so the hazard overstates permanent loss somewhat.</w:t>
      </w:r>
    </w:p>
    <w:p>
      <w:pPr/>
      <w:r>
        <w:t>The hazard does not double-count the aging curve. The aging curve is built from players who appear in consecutive seasons, so it describes decline among players who keep playing. The hazard covers the one event the curve cannot see, a player leaving the league entirely.</w:t>
      </w:r>
    </w:p>
    <w:p>
      <w:pPr>
        <w:pStyle w:val="Heading1"/>
      </w:pPr>
      <w:r>
        <w:t>5. Adding Up the Contract</w:t>
      </w:r>
    </w:p>
    <w:p>
      <w:pPr>
        <w:pStyle w:val="Heading2"/>
      </w:pPr>
      <w:r>
        <w:t>Which contracts count</w:t>
      </w:r>
    </w:p>
    <w:p>
      <w:pPr/>
      <w:r>
        <w:t>The valuation covers the contract the player is playing in the valuation season plus each extension he signed by the valuation date. The default valuation date is July 1 of the valuation season, and any date up to the following June 30 is allowed. An extension joins only if its signing date is on file and falls on or before that date, so the model never values an extension before it was agreed. Extension seasons are priced like any other contract season, against their real cap hit.</w:t>
      </w:r>
    </w:p>
    <w:p>
      <w:pPr>
        <w:pStyle w:val="Heading2"/>
      </w:pPr>
      <w:r>
        <w:t>The formula</w:t>
      </w:r>
    </w:p>
    <w:p>
      <w:pPr/>
      <w:r>
        <w:t>For each remaining season k, counted in years after the valuation season, the model computes:</w:t>
      </w:r>
    </w:p>
    <w:p>
      <w:pPr>
        <w:ind w:left="720"/>
      </w:pPr>
      <w:r>
        <w:rPr>
          <w:rFonts w:ascii="Cambria Math" w:hAnsi="Cambria Math"/>
        </w:rPr>
        <w:t>present value of season k = (S_k × V_k − C_k) / 1.03^k</w:t>
      </w:r>
    </w:p>
    <w:p>
      <w:pPr/>
      <w:r>
        <w:t>Here V_k is the value of projected production in dollars (Sections 2 and 3), S_k is survival (Section 4), and C_k is the cap hit. The model sums these seasons and adds the present value of any restricted control years (Section 6). In the valuation season, k is zero and survival is one, so neither survival nor discounting reduces that season.</w:t>
      </w:r>
    </w:p>
    <w:p>
      <w:pPr>
        <w:pStyle w:val="Heading2"/>
      </w:pPr>
      <w:r>
        <w:t>Survival scales value, not cost</w:t>
      </w:r>
    </w:p>
    <w:p>
      <w:pPr/>
      <w:r>
        <w:t>Survival multiplies production value only. A player who leaves stops producing, but his cap hit does not automatically disappear, because injured and buried players still count against the cap. For example, $5 million of production value with 90% survival contributes $4.5 million. Against a $4 million cap hit, the surplus is $500,000, or about $485,000 if the season is one year away. Multiplying the net $1 million by 90% would give $900,000 and would wrongly reduce the cost along with the production. The model keeps the full cap hit even when the player leaves. It does not calculate the relief that retirement can bring, so it overstates the cost where that relief applies.</w:t>
      </w:r>
    </w:p>
    <w:p>
      <w:pPr>
        <w:pStyle w:val="Heading2"/>
      </w:pPr>
      <w:r>
        <w:t>The 3% rate</w:t>
      </w:r>
    </w:p>
    <w:p>
      <w:pPr/>
      <w:r>
        <w:t>Future cap ceilings are the ceiling known on the valuation date, grown at 3% a year. The model never uses a later, observed ceiling, so a 2019 valuation does not know the cap froze in 2020. Future surplus is discounted at the same 3%. The two uses fit together. A season's value grows with the projected ceiling, so it holds constant as a share of the cap, while a fixed cap hit becomes relatively cheaper each year. Discounting at the same rate expresses each future dollar in valuation-date cap terms. The 3% figure is a planning assumption.</w:t>
      </w:r>
    </w:p>
    <w:p>
      <w:pPr/>
      <w:r>
        <w:t>The model adds no discount for managerial impatience. The trade study exists to measure that behaviour, and building it into the rate would assume the answer. A preference for near-term production would not on its own show impatience either, because competitive position, uncertainty, and private information can explain it.</w:t>
      </w:r>
    </w:p>
    <w:p>
      <w:pPr/>
      <w:r>
        <w:t>A negative total means the contract costs more than the market price of its expected production. Team fit, private information, or avoiding a future negotiation may explain why a club accepts one. The model also leaves out the cost of losing cap flexibility through a long commitment. Adding it would lower the value of long contracts further.</w:t>
      </w:r>
    </w:p>
    <w:p>
      <w:pPr>
        <w:pStyle w:val="Heading1"/>
      </w:pPr>
      <w:r>
        <w:t>6. Value after a Restricted Contract Expires</w:t>
      </w:r>
    </w:p>
    <w:p>
      <w:pPr>
        <w:pStyle w:val="Heading2"/>
      </w:pPr>
      <w:r>
        <w:t>Why control years have value</w:t>
      </w:r>
    </w:p>
    <w:p>
      <w:pPr/>
      <w:r>
        <w:t>When a contract expires into unrestricted free agency, the club keeps nothing, so the model assigns zero. When it expires into restricted free agency, the club keeps the player's rights until he becomes eligible for unrestricted free agency. It can retain him with a qualifying offer, a one-year offer set by a formula in the collective agreement, which is usually well below what his production is worth. The surplus from those control years is the terminal value.</w:t>
      </w:r>
    </w:p>
    <w:p>
      <w:pPr/>
      <w:r>
        <w:t>The value side continues the same projection through the control years, with the same price line and floor. The floor is applied directly here, without the range of outcomes used during the contract.</w:t>
      </w:r>
    </w:p>
    <w:p>
      <w:pPr>
        <w:pStyle w:val="Heading2"/>
      </w:pPr>
      <w:r>
        <w:t>The cost of keeping the player</w:t>
      </w:r>
    </w:p>
    <w:p>
      <w:pPr/>
      <w:r>
        <w:t>The model assumes the club keeps the player on successive one-year qualifying offers, each built from the one before:</w:t>
      </w:r>
    </w:p>
    <w:p>
      <w:pPr>
        <w:pStyle w:val="ListParagraph"/>
        <w:numPr>
          <w:ilvl w:val="0"/>
          <w:numId w:val="1"/>
        </w:numPr>
      </w:pPr>
      <w:r>
        <w:t>For offseasons through 2025, a base salary up to $660,000 rises by 10%. A salary between $660,000 and $1 million rises by 5%, capped at $1 million. A salary of $1 million or more is repeated. For contracts signed after July 2020, the offer cannot exceed 120% of the contract's cap hit.</w:t>
      </w:r>
    </w:p>
    <w:p>
      <w:pPr>
        <w:pStyle w:val="ListParagraph"/>
        <w:numPr>
          <w:ilvl w:val="0"/>
          <w:numId w:val="1"/>
        </w:numPr>
      </w:pPr>
      <w:r>
        <w:t>For offseasons from 2026, the bands move to $1.25 million and $1.75 million, and the 120% cap applies to salaries above $1.75 million.</w:t>
      </w:r>
    </w:p>
    <w:p>
      <w:pPr>
        <w:pStyle w:val="ListParagraph"/>
        <w:numPr>
          <w:ilvl w:val="0"/>
          <w:numId w:val="1"/>
        </w:numPr>
      </w:pPr>
      <w:r>
        <w:t>Each offer is raised to that season's league minimum.</w:t>
      </w:r>
    </w:p>
    <w:p>
      <w:pPr/>
      <w:r>
        <w:t>For example, a $900,000 base salary produces a $945,000 offer. The next offer is calculated from $945,000.</w:t>
      </w:r>
    </w:p>
    <w:p>
      <w:pPr/>
      <w:r>
        <w:t>Two inputs are approximated. The spine has no signing dates, so the model uses the contract's first season in place of its signing date when it decides whether the 120% cap applies. If the final-year base salary is missing, it uses the highest base salary recorded on the same contract, and the average annual value only if the contract carries no salary. Substitutes were needed for 355 of 1,439 expiring deals checked.</w:t>
      </w:r>
    </w:p>
    <w:p>
      <w:pPr/>
      <w:r>
        <w:t>Real renewals can involve arbitration or negotiated salaries and terms. Among 1,439 restricted expiries with an observed next contract, the next cap hit equalled or exceeded the modelled first offer in 48.3% of cases. The median difference was -$10,000 and the mean was +$690,000: the typical renewal costs about the offer, but the expensive renewals raise the average a great deal. Where retention costs more than the offer, the model overstates surplus.</w:t>
      </w:r>
    </w:p>
    <w:p>
      <w:pPr>
        <w:pStyle w:val="Heading2"/>
      </w:pPr>
      <w:r>
        <w:t>Accounting for players who are not kept</w:t>
      </w:r>
    </w:p>
    <w:p>
      <w:pPr/>
      <w:r>
        <w:t>Control is a right, not an obligation. The club qualifies the player while he is worth more than the offer and walks away when he is not. Once it walks away, the rights are gone. The model, therefore, stops counting control-year surplus at the first year in which projected value falls below the offer, and a later rebound cannot restore it.</w:t>
      </w:r>
    </w:p>
    <w:p>
      <w:pPr/>
      <w:r>
        <w:t>Positive surplus on paper does not guarantee that clubs keep a player. On the price line, a player at zero wins is still worth more than a typical offer, so nearly any control year looks worth keeping. In practice clubs walk away from many marginal players. To allow for that, the model weights each control year by the observed qualification rate for players of similar projected quality. The rates come from each qualify-or-walk decision on contracts ending 2018-2024 and are re-estimated on each run.</w:t>
      </w:r>
    </w:p>
    <w:p>
      <w:pPr>
        <w:keepNext/>
      </w:pPr>
      <w:r>
        <w:rPr>
          <w:b/>
        </w:rPr>
        <w:t>Table 2.</w:t>
      </w:r>
      <w:r>
        <w:t xml:space="preserve"> Observed qualification rates</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120"/>
        <w:gridCol w:w="3120"/>
        <w:gridCol w:w="3120"/>
      </w:tblGrid>
      <w:tr>
        <w:trPr>
          <w:tblHeader w:val="true"/>
        </w:trPr>
        <w:tc>
          <w:tcPr>
            <w:tcW w:type="dxa" w:w="6918"/>
            <w:shd w:val="clear" w:color="auto" w:fill="D9E2F3"/>
          </w:tcPr>
          <w:p>
            <w:pPr>
              <w:spacing w:after="0" w:before="0"/>
            </w:pPr>
            <w:r>
              <w:rPr>
                <w:b/>
                <w:sz w:val="19"/>
              </w:rPr>
              <w:t>Quality (WAR)</w:t>
            </w:r>
          </w:p>
        </w:tc>
        <w:tc>
          <w:tcPr>
            <w:tcW w:type="dxa" w:w="1221"/>
            <w:shd w:val="clear" w:color="auto" w:fill="D9E2F3"/>
          </w:tcPr>
          <w:p>
            <w:pPr>
              <w:spacing w:after="0" w:before="0"/>
              <w:jc w:val="center"/>
            </w:pPr>
            <w:r>
              <w:rPr>
                <w:b/>
                <w:sz w:val="19"/>
              </w:rPr>
              <w:t>Qualified</w:t>
            </w:r>
          </w:p>
        </w:tc>
        <w:tc>
          <w:tcPr>
            <w:tcW w:type="dxa" w:w="1221"/>
            <w:shd w:val="clear" w:color="auto" w:fill="D9E2F3"/>
          </w:tcPr>
          <w:p>
            <w:pPr>
              <w:spacing w:after="0" w:before="0"/>
              <w:jc w:val="center"/>
            </w:pPr>
            <w:r>
              <w:rPr>
                <w:b/>
                <w:sz w:val="19"/>
              </w:rPr>
              <w:t>Decisions</w:t>
            </w:r>
          </w:p>
        </w:tc>
      </w:tr>
      <w:tr>
        <w:tc>
          <w:tcPr>
            <w:tcW w:type="dxa" w:w="6918"/>
          </w:tcPr>
          <w:p>
            <w:pPr>
              <w:spacing w:after="0" w:before="0"/>
            </w:pPr>
            <w:r>
              <w:rPr>
                <w:sz w:val="19"/>
              </w:rPr>
              <w:t>Star (3 or more)</w:t>
            </w:r>
          </w:p>
        </w:tc>
        <w:tc>
          <w:tcPr>
            <w:tcW w:type="dxa" w:w="1221"/>
          </w:tcPr>
          <w:p>
            <w:pPr>
              <w:spacing w:after="0" w:before="0"/>
              <w:jc w:val="center"/>
            </w:pPr>
            <w:r>
              <w:rPr>
                <w:sz w:val="19"/>
              </w:rPr>
              <w:t>100.0%</w:t>
            </w:r>
          </w:p>
        </w:tc>
        <w:tc>
          <w:tcPr>
            <w:tcW w:type="dxa" w:w="1221"/>
          </w:tcPr>
          <w:p>
            <w:pPr>
              <w:spacing w:after="0" w:before="0"/>
              <w:jc w:val="center"/>
            </w:pPr>
            <w:r>
              <w:rPr>
                <w:sz w:val="19"/>
              </w:rPr>
              <w:t>22</w:t>
            </w:r>
          </w:p>
        </w:tc>
      </w:tr>
      <w:tr>
        <w:tc>
          <w:tcPr>
            <w:tcW w:type="dxa" w:w="6918"/>
          </w:tcPr>
          <w:p>
            <w:pPr>
              <w:spacing w:after="0" w:before="0"/>
            </w:pPr>
            <w:r>
              <w:rPr>
                <w:sz w:val="19"/>
              </w:rPr>
              <w:t>Regular (1 to 3)</w:t>
            </w:r>
          </w:p>
        </w:tc>
        <w:tc>
          <w:tcPr>
            <w:tcW w:type="dxa" w:w="1221"/>
          </w:tcPr>
          <w:p>
            <w:pPr>
              <w:spacing w:after="0" w:before="0"/>
              <w:jc w:val="center"/>
            </w:pPr>
            <w:r>
              <w:rPr>
                <w:sz w:val="19"/>
              </w:rPr>
              <w:t>93.2%</w:t>
            </w:r>
          </w:p>
        </w:tc>
        <w:tc>
          <w:tcPr>
            <w:tcW w:type="dxa" w:w="1221"/>
          </w:tcPr>
          <w:p>
            <w:pPr>
              <w:spacing w:after="0" w:before="0"/>
              <w:jc w:val="center"/>
            </w:pPr>
            <w:r>
              <w:rPr>
                <w:sz w:val="19"/>
              </w:rPr>
              <w:t>190</w:t>
            </w:r>
          </w:p>
        </w:tc>
      </w:tr>
      <w:tr>
        <w:tc>
          <w:tcPr>
            <w:tcW w:type="dxa" w:w="6918"/>
          </w:tcPr>
          <w:p>
            <w:pPr>
              <w:spacing w:after="0" w:before="0"/>
            </w:pPr>
            <w:r>
              <w:rPr>
                <w:sz w:val="19"/>
              </w:rPr>
              <w:t>Fringe (0 to 1)</w:t>
            </w:r>
          </w:p>
        </w:tc>
        <w:tc>
          <w:tcPr>
            <w:tcW w:type="dxa" w:w="1221"/>
          </w:tcPr>
          <w:p>
            <w:pPr>
              <w:spacing w:after="0" w:before="0"/>
              <w:jc w:val="center"/>
            </w:pPr>
            <w:r>
              <w:rPr>
                <w:sz w:val="19"/>
              </w:rPr>
              <w:t>79.3%</w:t>
            </w:r>
          </w:p>
        </w:tc>
        <w:tc>
          <w:tcPr>
            <w:tcW w:type="dxa" w:w="1221"/>
          </w:tcPr>
          <w:p>
            <w:pPr>
              <w:spacing w:after="0" w:before="0"/>
              <w:jc w:val="center"/>
            </w:pPr>
            <w:r>
              <w:rPr>
                <w:sz w:val="19"/>
              </w:rPr>
              <w:t>595</w:t>
            </w:r>
          </w:p>
        </w:tc>
      </w:tr>
      <w:tr>
        <w:tc>
          <w:tcPr>
            <w:tcW w:type="dxa" w:w="6918"/>
          </w:tcPr>
          <w:p>
            <w:pPr>
              <w:spacing w:after="0" w:before="0"/>
            </w:pPr>
            <w:r>
              <w:rPr>
                <w:sz w:val="19"/>
              </w:rPr>
              <w:t>Below replacement (below 0, or no recent NHL games)</w:t>
            </w:r>
          </w:p>
        </w:tc>
        <w:tc>
          <w:tcPr>
            <w:tcW w:type="dxa" w:w="1221"/>
          </w:tcPr>
          <w:p>
            <w:pPr>
              <w:spacing w:after="0" w:before="0"/>
              <w:jc w:val="center"/>
            </w:pPr>
            <w:r>
              <w:rPr>
                <w:sz w:val="19"/>
              </w:rPr>
              <w:t>67.3%</w:t>
            </w:r>
          </w:p>
        </w:tc>
        <w:tc>
          <w:tcPr>
            <w:tcW w:type="dxa" w:w="1221"/>
          </w:tcPr>
          <w:p>
            <w:pPr>
              <w:spacing w:after="0" w:before="0"/>
              <w:jc w:val="center"/>
            </w:pPr>
            <w:r>
              <w:rPr>
                <w:sz w:val="19"/>
              </w:rPr>
              <w:t>1,463</w:t>
            </w:r>
          </w:p>
        </w:tc>
      </w:tr>
      <w:tr>
        <w:tc>
          <w:tcPr>
            <w:tcW w:type="dxa" w:w="6918"/>
          </w:tcPr>
          <w:p>
            <w:pPr>
              <w:spacing w:after="0" w:before="0"/>
            </w:pPr>
            <w:r>
              <w:rPr>
                <w:sz w:val="19"/>
              </w:rPr>
              <w:t>All</w:t>
            </w:r>
          </w:p>
        </w:tc>
        <w:tc>
          <w:tcPr>
            <w:tcW w:type="dxa" w:w="1221"/>
          </w:tcPr>
          <w:p>
            <w:pPr>
              <w:spacing w:after="0" w:before="0"/>
              <w:jc w:val="center"/>
            </w:pPr>
            <w:r>
              <w:rPr>
                <w:sz w:val="19"/>
              </w:rPr>
              <w:t>73.0%</w:t>
            </w:r>
          </w:p>
        </w:tc>
        <w:tc>
          <w:tcPr>
            <w:tcW w:type="dxa" w:w="1221"/>
          </w:tcPr>
          <w:p>
            <w:pPr>
              <w:spacing w:after="0" w:before="0"/>
              <w:jc w:val="center"/>
            </w:pPr>
            <w:r>
              <w:rPr>
                <w:sz w:val="19"/>
              </w:rPr>
              <w:t>2,270</w:t>
            </w:r>
          </w:p>
        </w:tc>
      </w:tr>
    </w:tbl>
    <w:p>
      <w:pPr/>
    </w:p>
    <w:p>
      <w:pPr/>
      <w:r>
        <w:t>The rates are estimated by each player's trailing WAR at the time of the decision and applied to each control year's projected WAR. Players with no recent NHL production have no trailing WAR to sort them by. An earlier version dropped them, but they are exactly the players clubs let go, so they now count as below replacement. This raised the sample from 1,231 to 2,270 decisions and the walk-away rate from 21.3% to 27.0%, and it left the star, regular, and fringe rates unchanged. The 100% star rate rests on 22 decisions and treats that small sample's outcome as certain.</w:t>
      </w:r>
    </w:p>
    <w:p>
      <w:pPr/>
      <w:r>
        <w:t>The rates compound, because a player let go in year two cannot be qualified in year three. With $1 million of surplus a year and an 80% qualification rate, the model counts $800,000 in the first control year and $640,000 in the second, before discounting.</w:t>
      </w:r>
    </w:p>
    <w:p>
      <w:pPr/>
      <w:r>
        <w:t>The qualification rates replace the exit hazard during control years. They come from real decisions, which already include players who left, so applying both would count the same risk twice. Two gaps remain. The qualification chain starts at 1 when the contract expires, so it does not carry the chance the player left before expiry. It also asks only whether the club qualifies the player, not whether a qualified player then plays. A qualified player still leaves the league at about 13.1% a year, and that is not counted.</w:t>
      </w:r>
    </w:p>
    <w:p>
      <w:pPr>
        <w:pStyle w:val="Heading1"/>
      </w:pPr>
      <w:r>
        <w:t>7. A Worked Contract</w:t>
      </w:r>
    </w:p>
    <w:p>
      <w:pPr/>
      <w:r>
        <w:t>The example below shows each quantity in the order the code multiplies them. It is an illustration, not a real player. The price line, cap path, minimum, and spread are the model's own. The aging ratios and exit rates are typical values chosen for the example.</w:t>
      </w:r>
    </w:p>
    <w:p>
      <w:pPr/>
      <w:r>
        <w:t>The player is a forward valued on July 1, 2025, with four seasons left at a $4 million cap hit, expiring into unrestricted free agency. He produced 2.2 WAR in 2024-25 and 1.7 in 2023-24, so his trailing production is 0.6 × 2.2 + 0.4 × 1.7 = 2.00 wins. The aging curve lowers it by 3%, 7%, and 12% over the next three seasons.</w:t>
      </w:r>
    </w:p>
    <w:p>
      <w:pPr>
        <w:keepNext/>
      </w:pPr>
      <w:r>
        <w:rPr>
          <w:b/>
        </w:rPr>
        <w:t>Table 3.</w:t>
      </w:r>
      <w:r>
        <w:t xml:space="preserve"> An illustrative four-year contract</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trPr>
        <w:tc>
          <w:tcPr>
            <w:tcW w:type="dxa" w:w="819"/>
            <w:shd w:val="clear" w:color="auto" w:fill="D9E2F3"/>
          </w:tcPr>
          <w:p>
            <w:pPr>
              <w:spacing w:after="0" w:before="0"/>
            </w:pPr>
            <w:r>
              <w:rPr>
                <w:b/>
                <w:sz w:val="19"/>
              </w:rPr>
              <w:t>Season</w:t>
            </w:r>
          </w:p>
        </w:tc>
        <w:tc>
          <w:tcPr>
            <w:tcW w:type="dxa" w:w="702"/>
            <w:shd w:val="clear" w:color="auto" w:fill="D9E2F3"/>
          </w:tcPr>
          <w:p>
            <w:pPr>
              <w:spacing w:after="0" w:before="0"/>
              <w:jc w:val="center"/>
            </w:pPr>
            <w:r>
              <w:rPr>
                <w:b/>
                <w:sz w:val="19"/>
              </w:rPr>
              <w:t>k</w:t>
            </w:r>
          </w:p>
        </w:tc>
        <w:tc>
          <w:tcPr>
            <w:tcW w:type="dxa" w:w="1287"/>
            <w:shd w:val="clear" w:color="auto" w:fill="D9E2F3"/>
          </w:tcPr>
          <w:p>
            <w:pPr>
              <w:spacing w:after="0" w:before="0"/>
              <w:jc w:val="center"/>
            </w:pPr>
            <w:r>
              <w:rPr>
                <w:b/>
                <w:sz w:val="19"/>
              </w:rPr>
              <w:t>Cap ceiling</w:t>
            </w:r>
          </w:p>
        </w:tc>
        <w:tc>
          <w:tcPr>
            <w:tcW w:type="dxa" w:w="1521"/>
            <w:shd w:val="clear" w:color="auto" w:fill="D9E2F3"/>
          </w:tcPr>
          <w:p>
            <w:pPr>
              <w:spacing w:after="0" w:before="0"/>
              <w:jc w:val="center"/>
            </w:pPr>
            <w:r>
              <w:rPr>
                <w:b/>
                <w:sz w:val="19"/>
              </w:rPr>
              <w:t>Projected WAR</w:t>
            </w:r>
          </w:p>
        </w:tc>
        <w:tc>
          <w:tcPr>
            <w:tcW w:type="dxa" w:w="819"/>
            <w:shd w:val="clear" w:color="auto" w:fill="D9E2F3"/>
          </w:tcPr>
          <w:p>
            <w:pPr>
              <w:spacing w:after="0" w:before="0"/>
              <w:jc w:val="center"/>
            </w:pPr>
            <w:r>
              <w:rPr>
                <w:b/>
                <w:sz w:val="19"/>
              </w:rPr>
              <w:t>Value</w:t>
            </w:r>
          </w:p>
        </w:tc>
        <w:tc>
          <w:tcPr>
            <w:tcW w:type="dxa" w:w="936"/>
            <w:shd w:val="clear" w:color="auto" w:fill="D9E2F3"/>
          </w:tcPr>
          <w:p>
            <w:pPr>
              <w:spacing w:after="0" w:before="0"/>
              <w:jc w:val="center"/>
            </w:pPr>
            <w:r>
              <w:rPr>
                <w:b/>
                <w:sz w:val="19"/>
              </w:rPr>
              <w:t>Survival</w:t>
            </w:r>
          </w:p>
        </w:tc>
        <w:tc>
          <w:tcPr>
            <w:tcW w:type="dxa" w:w="936"/>
            <w:shd w:val="clear" w:color="auto" w:fill="D9E2F3"/>
          </w:tcPr>
          <w:p>
            <w:pPr>
              <w:spacing w:after="0" w:before="0"/>
              <w:jc w:val="center"/>
            </w:pPr>
            <w:r>
              <w:rPr>
                <w:b/>
                <w:sz w:val="19"/>
              </w:rPr>
              <w:t>Discount</w:t>
            </w:r>
          </w:p>
        </w:tc>
        <w:tc>
          <w:tcPr>
            <w:tcW w:type="dxa" w:w="819"/>
            <w:shd w:val="clear" w:color="auto" w:fill="D9E2F3"/>
          </w:tcPr>
          <w:p>
            <w:pPr>
              <w:spacing w:after="0" w:before="0"/>
              <w:jc w:val="center"/>
            </w:pPr>
            <w:r>
              <w:rPr>
                <w:b/>
                <w:sz w:val="19"/>
              </w:rPr>
              <w:t>Cap hit</w:t>
            </w:r>
          </w:p>
        </w:tc>
        <w:tc>
          <w:tcPr>
            <w:tcW w:type="dxa" w:w="1521"/>
            <w:shd w:val="clear" w:color="auto" w:fill="D9E2F3"/>
          </w:tcPr>
          <w:p>
            <w:pPr>
              <w:spacing w:after="0" w:before="0"/>
              <w:jc w:val="center"/>
            </w:pPr>
            <w:r>
              <w:rPr>
                <w:b/>
                <w:sz w:val="19"/>
              </w:rPr>
              <w:t>Present value</w:t>
            </w:r>
          </w:p>
        </w:tc>
      </w:tr>
      <w:tr>
        <w:tc>
          <w:tcPr>
            <w:tcW w:type="dxa" w:w="819"/>
          </w:tcPr>
          <w:p>
            <w:pPr>
              <w:spacing w:after="0" w:before="0"/>
            </w:pPr>
            <w:r>
              <w:rPr>
                <w:sz w:val="19"/>
              </w:rPr>
              <w:t>2025-26</w:t>
            </w:r>
          </w:p>
        </w:tc>
        <w:tc>
          <w:tcPr>
            <w:tcW w:type="dxa" w:w="702"/>
          </w:tcPr>
          <w:p>
            <w:pPr>
              <w:spacing w:after="0" w:before="0"/>
              <w:jc w:val="center"/>
            </w:pPr>
            <w:r>
              <w:rPr>
                <w:sz w:val="19"/>
              </w:rPr>
              <w:t>0</w:t>
            </w:r>
          </w:p>
        </w:tc>
        <w:tc>
          <w:tcPr>
            <w:tcW w:type="dxa" w:w="1287"/>
          </w:tcPr>
          <w:p>
            <w:pPr>
              <w:spacing w:after="0" w:before="0"/>
              <w:jc w:val="center"/>
            </w:pPr>
            <w:r>
              <w:rPr>
                <w:sz w:val="19"/>
              </w:rPr>
              <w:t>$95.50M</w:t>
            </w:r>
          </w:p>
        </w:tc>
        <w:tc>
          <w:tcPr>
            <w:tcW w:type="dxa" w:w="1521"/>
          </w:tcPr>
          <w:p>
            <w:pPr>
              <w:spacing w:after="0" w:before="0"/>
              <w:jc w:val="center"/>
            </w:pPr>
            <w:r>
              <w:rPr>
                <w:sz w:val="19"/>
              </w:rPr>
              <w:t>2.00</w:t>
            </w:r>
          </w:p>
        </w:tc>
        <w:tc>
          <w:tcPr>
            <w:tcW w:type="dxa" w:w="819"/>
          </w:tcPr>
          <w:p>
            <w:pPr>
              <w:spacing w:after="0" w:before="0"/>
              <w:jc w:val="center"/>
            </w:pPr>
            <w:r>
              <w:rPr>
                <w:sz w:val="19"/>
              </w:rPr>
              <w:t>$5.321M</w:t>
            </w:r>
          </w:p>
        </w:tc>
        <w:tc>
          <w:tcPr>
            <w:tcW w:type="dxa" w:w="936"/>
          </w:tcPr>
          <w:p>
            <w:pPr>
              <w:spacing w:after="0" w:before="0"/>
              <w:jc w:val="center"/>
            </w:pPr>
            <w:r>
              <w:rPr>
                <w:sz w:val="19"/>
              </w:rPr>
              <w:t>1.000</w:t>
            </w:r>
          </w:p>
        </w:tc>
        <w:tc>
          <w:tcPr>
            <w:tcW w:type="dxa" w:w="936"/>
          </w:tcPr>
          <w:p>
            <w:pPr>
              <w:spacing w:after="0" w:before="0"/>
              <w:jc w:val="center"/>
            </w:pPr>
            <w:r>
              <w:rPr>
                <w:sz w:val="19"/>
              </w:rPr>
              <w:t>1.000</w:t>
            </w:r>
          </w:p>
        </w:tc>
        <w:tc>
          <w:tcPr>
            <w:tcW w:type="dxa" w:w="819"/>
          </w:tcPr>
          <w:p>
            <w:pPr>
              <w:spacing w:after="0" w:before="0"/>
              <w:jc w:val="center"/>
            </w:pPr>
            <w:r>
              <w:rPr>
                <w:sz w:val="19"/>
              </w:rPr>
              <w:t>$4.00M</w:t>
            </w:r>
          </w:p>
        </w:tc>
        <w:tc>
          <w:tcPr>
            <w:tcW w:type="dxa" w:w="1521"/>
          </w:tcPr>
          <w:p>
            <w:pPr>
              <w:spacing w:after="0" w:before="0"/>
              <w:jc w:val="center"/>
            </w:pPr>
            <w:r>
              <w:rPr>
                <w:sz w:val="19"/>
              </w:rPr>
              <w:t>$1.321M</w:t>
            </w:r>
          </w:p>
        </w:tc>
      </w:tr>
      <w:tr>
        <w:tc>
          <w:tcPr>
            <w:tcW w:type="dxa" w:w="819"/>
          </w:tcPr>
          <w:p>
            <w:pPr>
              <w:spacing w:after="0" w:before="0"/>
            </w:pPr>
            <w:r>
              <w:rPr>
                <w:sz w:val="19"/>
              </w:rPr>
              <w:t>2026-27</w:t>
            </w:r>
          </w:p>
        </w:tc>
        <w:tc>
          <w:tcPr>
            <w:tcW w:type="dxa" w:w="702"/>
          </w:tcPr>
          <w:p>
            <w:pPr>
              <w:spacing w:after="0" w:before="0"/>
              <w:jc w:val="center"/>
            </w:pPr>
            <w:r>
              <w:rPr>
                <w:sz w:val="19"/>
              </w:rPr>
              <w:t>1</w:t>
            </w:r>
          </w:p>
        </w:tc>
        <w:tc>
          <w:tcPr>
            <w:tcW w:type="dxa" w:w="1287"/>
          </w:tcPr>
          <w:p>
            <w:pPr>
              <w:spacing w:after="0" w:before="0"/>
              <w:jc w:val="center"/>
            </w:pPr>
            <w:r>
              <w:rPr>
                <w:sz w:val="19"/>
              </w:rPr>
              <w:t>$98.37M</w:t>
            </w:r>
          </w:p>
        </w:tc>
        <w:tc>
          <w:tcPr>
            <w:tcW w:type="dxa" w:w="1521"/>
          </w:tcPr>
          <w:p>
            <w:pPr>
              <w:spacing w:after="0" w:before="0"/>
              <w:jc w:val="center"/>
            </w:pPr>
            <w:r>
              <w:rPr>
                <w:sz w:val="19"/>
              </w:rPr>
              <w:t>1.94</w:t>
            </w:r>
          </w:p>
        </w:tc>
        <w:tc>
          <w:tcPr>
            <w:tcW w:type="dxa" w:w="819"/>
          </w:tcPr>
          <w:p>
            <w:pPr>
              <w:spacing w:after="0" w:before="0"/>
              <w:jc w:val="center"/>
            </w:pPr>
            <w:r>
              <w:rPr>
                <w:sz w:val="19"/>
              </w:rPr>
              <w:t>$5.355M</w:t>
            </w:r>
          </w:p>
        </w:tc>
        <w:tc>
          <w:tcPr>
            <w:tcW w:type="dxa" w:w="936"/>
          </w:tcPr>
          <w:p>
            <w:pPr>
              <w:spacing w:after="0" w:before="0"/>
              <w:jc w:val="center"/>
            </w:pPr>
            <w:r>
              <w:rPr>
                <w:sz w:val="19"/>
              </w:rPr>
              <w:t>0.990</w:t>
            </w:r>
          </w:p>
        </w:tc>
        <w:tc>
          <w:tcPr>
            <w:tcW w:type="dxa" w:w="936"/>
          </w:tcPr>
          <w:p>
            <w:pPr>
              <w:spacing w:after="0" w:before="0"/>
              <w:jc w:val="center"/>
            </w:pPr>
            <w:r>
              <w:rPr>
                <w:sz w:val="19"/>
              </w:rPr>
              <w:t>0.971</w:t>
            </w:r>
          </w:p>
        </w:tc>
        <w:tc>
          <w:tcPr>
            <w:tcW w:type="dxa" w:w="819"/>
          </w:tcPr>
          <w:p>
            <w:pPr>
              <w:spacing w:after="0" w:before="0"/>
              <w:jc w:val="center"/>
            </w:pPr>
            <w:r>
              <w:rPr>
                <w:sz w:val="19"/>
              </w:rPr>
              <w:t>$4.00M</w:t>
            </w:r>
          </w:p>
        </w:tc>
        <w:tc>
          <w:tcPr>
            <w:tcW w:type="dxa" w:w="1521"/>
          </w:tcPr>
          <w:p>
            <w:pPr>
              <w:spacing w:after="0" w:before="0"/>
              <w:jc w:val="center"/>
            </w:pPr>
            <w:r>
              <w:rPr>
                <w:sz w:val="19"/>
              </w:rPr>
              <w:t>$1.264M</w:t>
            </w:r>
          </w:p>
        </w:tc>
      </w:tr>
      <w:tr>
        <w:tc>
          <w:tcPr>
            <w:tcW w:type="dxa" w:w="819"/>
          </w:tcPr>
          <w:p>
            <w:pPr>
              <w:spacing w:after="0" w:before="0"/>
            </w:pPr>
            <w:r>
              <w:rPr>
                <w:sz w:val="19"/>
              </w:rPr>
              <w:t>2027-28</w:t>
            </w:r>
          </w:p>
        </w:tc>
        <w:tc>
          <w:tcPr>
            <w:tcW w:type="dxa" w:w="702"/>
          </w:tcPr>
          <w:p>
            <w:pPr>
              <w:spacing w:after="0" w:before="0"/>
              <w:jc w:val="center"/>
            </w:pPr>
            <w:r>
              <w:rPr>
                <w:sz w:val="19"/>
              </w:rPr>
              <w:t>2</w:t>
            </w:r>
          </w:p>
        </w:tc>
        <w:tc>
          <w:tcPr>
            <w:tcW w:type="dxa" w:w="1287"/>
          </w:tcPr>
          <w:p>
            <w:pPr>
              <w:spacing w:after="0" w:before="0"/>
              <w:jc w:val="center"/>
            </w:pPr>
            <w:r>
              <w:rPr>
                <w:sz w:val="19"/>
              </w:rPr>
              <w:t>$101.32M</w:t>
            </w:r>
          </w:p>
        </w:tc>
        <w:tc>
          <w:tcPr>
            <w:tcW w:type="dxa" w:w="1521"/>
          </w:tcPr>
          <w:p>
            <w:pPr>
              <w:spacing w:after="0" w:before="0"/>
              <w:jc w:val="center"/>
            </w:pPr>
            <w:r>
              <w:rPr>
                <w:sz w:val="19"/>
              </w:rPr>
              <w:t>1.86</w:t>
            </w:r>
          </w:p>
        </w:tc>
        <w:tc>
          <w:tcPr>
            <w:tcW w:type="dxa" w:w="819"/>
          </w:tcPr>
          <w:p>
            <w:pPr>
              <w:spacing w:after="0" w:before="0"/>
              <w:jc w:val="center"/>
            </w:pPr>
            <w:r>
              <w:rPr>
                <w:sz w:val="19"/>
              </w:rPr>
              <w:t>$5.352M</w:t>
            </w:r>
          </w:p>
        </w:tc>
        <w:tc>
          <w:tcPr>
            <w:tcW w:type="dxa" w:w="936"/>
          </w:tcPr>
          <w:p>
            <w:pPr>
              <w:spacing w:after="0" w:before="0"/>
              <w:jc w:val="center"/>
            </w:pPr>
            <w:r>
              <w:rPr>
                <w:sz w:val="19"/>
              </w:rPr>
              <w:t>0.980</w:t>
            </w:r>
          </w:p>
        </w:tc>
        <w:tc>
          <w:tcPr>
            <w:tcW w:type="dxa" w:w="936"/>
          </w:tcPr>
          <w:p>
            <w:pPr>
              <w:spacing w:after="0" w:before="0"/>
              <w:jc w:val="center"/>
            </w:pPr>
            <w:r>
              <w:rPr>
                <w:sz w:val="19"/>
              </w:rPr>
              <w:t>0.943</w:t>
            </w:r>
          </w:p>
        </w:tc>
        <w:tc>
          <w:tcPr>
            <w:tcW w:type="dxa" w:w="819"/>
          </w:tcPr>
          <w:p>
            <w:pPr>
              <w:spacing w:after="0" w:before="0"/>
              <w:jc w:val="center"/>
            </w:pPr>
            <w:r>
              <w:rPr>
                <w:sz w:val="19"/>
              </w:rPr>
              <w:t>$4.00M</w:t>
            </w:r>
          </w:p>
        </w:tc>
        <w:tc>
          <w:tcPr>
            <w:tcW w:type="dxa" w:w="1521"/>
          </w:tcPr>
          <w:p>
            <w:pPr>
              <w:spacing w:after="0" w:before="0"/>
              <w:jc w:val="center"/>
            </w:pPr>
            <w:r>
              <w:rPr>
                <w:sz w:val="19"/>
              </w:rPr>
              <w:t>$1.174M</w:t>
            </w:r>
          </w:p>
        </w:tc>
      </w:tr>
      <w:tr>
        <w:tc>
          <w:tcPr>
            <w:tcW w:type="dxa" w:w="819"/>
          </w:tcPr>
          <w:p>
            <w:pPr>
              <w:spacing w:after="0" w:before="0"/>
            </w:pPr>
            <w:r>
              <w:rPr>
                <w:sz w:val="19"/>
              </w:rPr>
              <w:t>2028-29</w:t>
            </w:r>
          </w:p>
        </w:tc>
        <w:tc>
          <w:tcPr>
            <w:tcW w:type="dxa" w:w="702"/>
          </w:tcPr>
          <w:p>
            <w:pPr>
              <w:spacing w:after="0" w:before="0"/>
              <w:jc w:val="center"/>
            </w:pPr>
            <w:r>
              <w:rPr>
                <w:sz w:val="19"/>
              </w:rPr>
              <w:t>3</w:t>
            </w:r>
          </w:p>
        </w:tc>
        <w:tc>
          <w:tcPr>
            <w:tcW w:type="dxa" w:w="1287"/>
          </w:tcPr>
          <w:p>
            <w:pPr>
              <w:spacing w:after="0" w:before="0"/>
              <w:jc w:val="center"/>
            </w:pPr>
            <w:r>
              <w:rPr>
                <w:sz w:val="19"/>
              </w:rPr>
              <w:t>$104.36M</w:t>
            </w:r>
          </w:p>
        </w:tc>
        <w:tc>
          <w:tcPr>
            <w:tcW w:type="dxa" w:w="1521"/>
          </w:tcPr>
          <w:p>
            <w:pPr>
              <w:spacing w:after="0" w:before="0"/>
              <w:jc w:val="center"/>
            </w:pPr>
            <w:r>
              <w:rPr>
                <w:sz w:val="19"/>
              </w:rPr>
              <w:t>1.76</w:t>
            </w:r>
          </w:p>
        </w:tc>
        <w:tc>
          <w:tcPr>
            <w:tcW w:type="dxa" w:w="819"/>
          </w:tcPr>
          <w:p>
            <w:pPr>
              <w:spacing w:after="0" w:before="0"/>
              <w:jc w:val="center"/>
            </w:pPr>
            <w:r>
              <w:rPr>
                <w:sz w:val="19"/>
              </w:rPr>
              <w:t>$5.304M</w:t>
            </w:r>
          </w:p>
        </w:tc>
        <w:tc>
          <w:tcPr>
            <w:tcW w:type="dxa" w:w="936"/>
          </w:tcPr>
          <w:p>
            <w:pPr>
              <w:spacing w:after="0" w:before="0"/>
              <w:jc w:val="center"/>
            </w:pPr>
            <w:r>
              <w:rPr>
                <w:sz w:val="19"/>
              </w:rPr>
              <w:t>0.965</w:t>
            </w:r>
          </w:p>
        </w:tc>
        <w:tc>
          <w:tcPr>
            <w:tcW w:type="dxa" w:w="936"/>
          </w:tcPr>
          <w:p>
            <w:pPr>
              <w:spacing w:after="0" w:before="0"/>
              <w:jc w:val="center"/>
            </w:pPr>
            <w:r>
              <w:rPr>
                <w:sz w:val="19"/>
              </w:rPr>
              <w:t>0.915</w:t>
            </w:r>
          </w:p>
        </w:tc>
        <w:tc>
          <w:tcPr>
            <w:tcW w:type="dxa" w:w="819"/>
          </w:tcPr>
          <w:p>
            <w:pPr>
              <w:spacing w:after="0" w:before="0"/>
              <w:jc w:val="center"/>
            </w:pPr>
            <w:r>
              <w:rPr>
                <w:sz w:val="19"/>
              </w:rPr>
              <w:t>$4.00M</w:t>
            </w:r>
          </w:p>
        </w:tc>
        <w:tc>
          <w:tcPr>
            <w:tcW w:type="dxa" w:w="1521"/>
          </w:tcPr>
          <w:p>
            <w:pPr>
              <w:spacing w:after="0" w:before="0"/>
              <w:jc w:val="center"/>
            </w:pPr>
            <w:r>
              <w:rPr>
                <w:sz w:val="19"/>
              </w:rPr>
              <w:t>$1.026M</w:t>
            </w:r>
          </w:p>
        </w:tc>
      </w:tr>
      <w:tr>
        <w:tc>
          <w:tcPr>
            <w:tcW w:type="dxa" w:w="819"/>
          </w:tcPr>
          <w:p>
            <w:pPr>
              <w:spacing w:after="0" w:before="0"/>
            </w:pPr>
            <w:r>
              <w:rPr>
                <w:b/>
                <w:sz w:val="19"/>
              </w:rPr>
              <w:t>Total</w:t>
            </w:r>
          </w:p>
        </w:tc>
        <w:tc>
          <w:tcPr>
            <w:tcW w:type="dxa" w:w="702"/>
          </w:tcPr>
          <w:p>
            <w:pPr>
              <w:spacing w:after="0" w:before="0"/>
              <w:jc w:val="center"/>
            </w:pPr>
            <w:r>
              <w:rPr>
                <w:b/>
                <w:sz w:val="19"/>
              </w:rPr>
            </w:r>
          </w:p>
        </w:tc>
        <w:tc>
          <w:tcPr>
            <w:tcW w:type="dxa" w:w="1287"/>
          </w:tcPr>
          <w:p>
            <w:pPr>
              <w:spacing w:after="0" w:before="0"/>
              <w:jc w:val="center"/>
            </w:pPr>
            <w:r>
              <w:rPr>
                <w:b/>
                <w:sz w:val="19"/>
              </w:rPr>
            </w:r>
          </w:p>
        </w:tc>
        <w:tc>
          <w:tcPr>
            <w:tcW w:type="dxa" w:w="1521"/>
          </w:tcPr>
          <w:p>
            <w:pPr>
              <w:spacing w:after="0" w:before="0"/>
              <w:jc w:val="center"/>
            </w:pPr>
            <w:r>
              <w:rPr>
                <w:b/>
                <w:sz w:val="19"/>
              </w:rPr>
            </w:r>
          </w:p>
        </w:tc>
        <w:tc>
          <w:tcPr>
            <w:tcW w:type="dxa" w:w="819"/>
          </w:tcPr>
          <w:p>
            <w:pPr>
              <w:spacing w:after="0" w:before="0"/>
              <w:jc w:val="center"/>
            </w:pPr>
            <w:r>
              <w:rPr>
                <w:b/>
                <w:sz w:val="19"/>
              </w:rPr>
            </w:r>
          </w:p>
        </w:tc>
        <w:tc>
          <w:tcPr>
            <w:tcW w:type="dxa" w:w="936"/>
          </w:tcPr>
          <w:p>
            <w:pPr>
              <w:spacing w:after="0" w:before="0"/>
              <w:jc w:val="center"/>
            </w:pPr>
            <w:r>
              <w:rPr>
                <w:b/>
                <w:sz w:val="19"/>
              </w:rPr>
            </w:r>
          </w:p>
        </w:tc>
        <w:tc>
          <w:tcPr>
            <w:tcW w:type="dxa" w:w="936"/>
          </w:tcPr>
          <w:p>
            <w:pPr>
              <w:spacing w:after="0" w:before="0"/>
              <w:jc w:val="center"/>
            </w:pPr>
            <w:r>
              <w:rPr>
                <w:b/>
                <w:sz w:val="19"/>
              </w:rPr>
            </w:r>
          </w:p>
        </w:tc>
        <w:tc>
          <w:tcPr>
            <w:tcW w:type="dxa" w:w="819"/>
          </w:tcPr>
          <w:p>
            <w:pPr>
              <w:spacing w:after="0" w:before="0"/>
              <w:jc w:val="center"/>
            </w:pPr>
            <w:r>
              <w:rPr>
                <w:b/>
                <w:sz w:val="19"/>
              </w:rPr>
            </w:r>
          </w:p>
        </w:tc>
        <w:tc>
          <w:tcPr>
            <w:tcW w:type="dxa" w:w="1521"/>
          </w:tcPr>
          <w:p>
            <w:pPr>
              <w:spacing w:after="0" w:before="0"/>
              <w:jc w:val="center"/>
            </w:pPr>
            <w:r>
              <w:rPr>
                <w:b/>
                <w:sz w:val="19"/>
              </w:rPr>
              <w:t>$4.784M</w:t>
            </w:r>
          </w:p>
        </w:tc>
      </w:tr>
    </w:tbl>
    <w:p>
      <w:pPr/>
    </w:p>
    <w:p>
      <w:pPr/>
      <w:r>
        <w:t>Value is (0.0132478 + 0.0212323 × projected WAR) × ceiling, averaged over the range of outcomes. For a two-win forward the floor is far away, so the range adds only $8,600 in 2027-28 and $22,000 in 2028-29. Survival assumes exit rates of 1.0%, 1.0%, and 1.5% for the three steps. Present value is (survival × value − cap hit) × discount. A restricted expiry would add the control years of Section 6 after 2028-29.</w:t>
      </w:r>
    </w:p>
    <w:p>
      <w:pPr>
        <w:pStyle w:val="Heading1"/>
      </w:pPr>
      <w:r>
        <w:t>8. Goaltenders</w:t>
      </w:r>
    </w:p>
    <w:p>
      <w:pPr/>
      <w:r>
        <w:t>Goaltending results are much less stable from year to year than skater results. The model, therefore, leans less on a goaltender's own record and more on the league average, and goaltenders have their own price line and exit hazard.</w:t>
      </w:r>
    </w:p>
    <w:p>
      <w:pPr>
        <w:pStyle w:val="Heading2"/>
      </w:pPr>
      <w:r>
        <w:t>The projection</w:t>
      </w:r>
    </w:p>
    <w:p>
      <w:pPr/>
      <w:r>
        <w:t>The projection starts from a weighted average of the goaltender's last three seasons: 50% on the most recent, 30% on the second, and 20% on the third. With two seasons the weights are 60% and 40%, and with one season that season alone is the baseline. The skater requirement of ten games does not apply. Seasons shortened by the schedule are scaled to 82 games first.</w:t>
      </w:r>
    </w:p>
    <w:p>
      <w:pPr/>
      <w:r>
        <w:t>The projection then keeps 35% of the goaltender's own baseline and takes 65% from the league average of about 2.19 WAR. For example, a goaltender with a baseline of 4.0 wins is projected at 0.35 × 4.0 + 0.65 × 2.19 = 2.82 wins. The 65% weight was chosen by five-fold cross-validation that kept each goaltender's seasons together, and it held after the shortened seasons were scaled. In a direct comparison on 645 goaltender-seasons, keeping 35% predicted next-season WAR better than keeping 65% (mean absolute error 2.084 against 2.131).</w:t>
      </w:r>
    </w:p>
    <w:p>
      <w:pPr/>
      <w:r>
        <w:t>The projection stays flat through the contract, because the model has no fitted aging curve for goaltenders. The pull toward the league average is the model's only allowance for a goaltender drifting back toward the average. Validation supports the blend, not the choice to hold production flat.</w:t>
      </w:r>
    </w:p>
    <w:p>
      <w:pPr/>
      <w:r>
        <w:t>A goaltender with no season in the previous year but a usable older record is priced from that record, reaching back up to three seasons. He is pulled toward 0.650 WAR, the average of such goaltenders when they do play, rather than toward the league average. Each of his seasons is also weighted by 0.312, the share of such seasons that were played (29 of 93). A goaltender with no usable NHL history is not priced by this model.</w:t>
      </w:r>
    </w:p>
    <w:p>
      <w:pPr>
        <w:pStyle w:val="Heading2"/>
      </w:pPr>
      <w:r>
        <w:t>Price, survival, and control years</w:t>
      </w:r>
    </w:p>
    <w:p>
      <w:pPr/>
      <w:r>
        <w:t>The goaltender price line assigns 1.391% of the cap at zero WAR plus 1.059% of the cap per WAR. It comes from an ordinary least-squares regression, which does not treat minimum-salary contracts the way the skater line does. Goaltender seasons are floored at the league minimum without the range of outcomes. A separate exit hazard, estimated from the goaltender panel, reduces future seasons as the chance of leaving accumulates.</w:t>
      </w:r>
    </w:p>
    <w:p>
      <w:pPr/>
      <w:r>
        <w:t>Goaltender control years use the same qualifying offers and the same stop at the first year below the offer, but no qualification rate. Each control year is counted as certain. A pooled weight for goaltenders (0.788 a year) is estimated but not yet applied. These differences limit how comparable goaltender and skater values are, even though both are in dollars of surplus.</w:t>
      </w:r>
    </w:p>
    <w:sectPr w:rsidR="00112D33" w:rsidRPr="00DB35A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761"/>
    <w:multiLevelType w:val="hybridMultilevel"/>
    <w:tmpl w:val="4A842726"/>
    <w:lvl w:ilvl="0" w:tplc="56C09BFC">
      <w:start w:val="1"/>
      <w:numFmt w:val="bullet"/>
      <w:lvlText w:val="●"/>
      <w:lvlJc w:val="left"/>
      <w:pPr>
        <w:ind w:left="720" w:hanging="360"/>
      </w:pPr>
    </w:lvl>
    <w:lvl w:ilvl="1" w:tplc="A78AC8D8">
      <w:start w:val="1"/>
      <w:numFmt w:val="bullet"/>
      <w:lvlText w:val="○"/>
      <w:lvlJc w:val="left"/>
      <w:pPr>
        <w:ind w:left="1440" w:hanging="360"/>
      </w:pPr>
    </w:lvl>
    <w:lvl w:ilvl="2" w:tplc="AFDAB022">
      <w:start w:val="1"/>
      <w:numFmt w:val="bullet"/>
      <w:lvlText w:val="■"/>
      <w:lvlJc w:val="left"/>
      <w:pPr>
        <w:ind w:left="2160" w:hanging="360"/>
      </w:pPr>
    </w:lvl>
    <w:lvl w:ilvl="3" w:tplc="A664C3AC">
      <w:start w:val="1"/>
      <w:numFmt w:val="bullet"/>
      <w:lvlText w:val="●"/>
      <w:lvlJc w:val="left"/>
      <w:pPr>
        <w:ind w:left="2880" w:hanging="360"/>
      </w:pPr>
    </w:lvl>
    <w:lvl w:ilvl="4" w:tplc="26B43ECE">
      <w:start w:val="1"/>
      <w:numFmt w:val="bullet"/>
      <w:lvlText w:val="○"/>
      <w:lvlJc w:val="left"/>
      <w:pPr>
        <w:ind w:left="3600" w:hanging="360"/>
      </w:pPr>
    </w:lvl>
    <w:lvl w:ilvl="5" w:tplc="CD224704">
      <w:start w:val="1"/>
      <w:numFmt w:val="bullet"/>
      <w:lvlText w:val="■"/>
      <w:lvlJc w:val="left"/>
      <w:pPr>
        <w:ind w:left="4320" w:hanging="360"/>
      </w:pPr>
    </w:lvl>
    <w:lvl w:ilvl="6" w:tplc="B546D15E">
      <w:start w:val="1"/>
      <w:numFmt w:val="bullet"/>
      <w:lvlText w:val="●"/>
      <w:lvlJc w:val="left"/>
      <w:pPr>
        <w:ind w:left="5040" w:hanging="360"/>
      </w:pPr>
    </w:lvl>
    <w:lvl w:ilvl="7" w:tplc="ABF8CE32">
      <w:start w:val="1"/>
      <w:numFmt w:val="bullet"/>
      <w:lvlText w:val="●"/>
      <w:lvlJc w:val="left"/>
      <w:pPr>
        <w:ind w:left="5760" w:hanging="360"/>
      </w:pPr>
    </w:lvl>
    <w:lvl w:ilvl="8" w:tplc="D2CA3600">
      <w:start w:val="1"/>
      <w:numFmt w:val="bullet"/>
      <w:lvlText w:val="●"/>
      <w:lvlJc w:val="left"/>
      <w:pPr>
        <w:ind w:left="6480" w:hanging="360"/>
      </w:pPr>
    </w:lvl>
  </w:abstractNum>
  <w:num w:numId="1" w16cid:durableId="10163499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0A4"/>
    <w:rsid w:val="0009126F"/>
    <w:rsid w:val="00112D33"/>
    <w:rsid w:val="00240904"/>
    <w:rsid w:val="002F0D96"/>
    <w:rsid w:val="004341A2"/>
    <w:rsid w:val="004F5377"/>
    <w:rsid w:val="00532929"/>
    <w:rsid w:val="00563F95"/>
    <w:rsid w:val="00590D4F"/>
    <w:rsid w:val="005C0F74"/>
    <w:rsid w:val="006034F5"/>
    <w:rsid w:val="00636594"/>
    <w:rsid w:val="006406F0"/>
    <w:rsid w:val="00660853"/>
    <w:rsid w:val="00775321"/>
    <w:rsid w:val="007E751A"/>
    <w:rsid w:val="00831EFC"/>
    <w:rsid w:val="0091049F"/>
    <w:rsid w:val="009105B3"/>
    <w:rsid w:val="00B229B1"/>
    <w:rsid w:val="00C444E1"/>
    <w:rsid w:val="00C97F34"/>
    <w:rsid w:val="00CD25AD"/>
    <w:rsid w:val="00DB35A9"/>
    <w:rsid w:val="00DE0F1A"/>
    <w:rsid w:val="00E20E0A"/>
    <w:rsid w:val="00E23368"/>
    <w:rsid w:val="00FD10A4"/>
    <w:rsid w:val="00FE2E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2F19C"/>
  <w15:docId w15:val="{173A5462-0475-469F-8A75-9FA89289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1</Pages>
  <Words>1995</Words>
  <Characters>11372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19</cp:revision>
  <dcterms:created xsi:type="dcterms:W3CDTF">2026-09-09T20:55:00Z</dcterms:created>
  <dcterms:modified xsi:type="dcterms:W3CDTF">2026-09-11T18:10:00Z</dcterms:modified>
  <dc:title>Pricing, Control Years, and Contract Value</dc:title>
</cp:coreProperties>
</file>