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Draft Picks, Prospects, and the Remaining Trade Model</w:t>
      </w:r>
    </w:p>
    <w:p>
      <w:pPr>
        <w:spacing w:after="200"/>
        <w:jc w:val="left"/>
      </w:pPr>
      <w:r>
        <w:t>The project is intended to put players, draft picks, and non-roster prospects on one scale: expected surplus dollars. The player model produces contract values. The draft linkage and historical yield curve are built, but pricing picks at historical trade dates is not complete. The prospect model and the combined trade back-test also remain unfinished.</w:t>
      </w:r>
    </w:p>
    <w:p>
      <w:pPr>
        <w:pStyle w:val="Heading2"/>
        <w:keepNext/>
        <w:spacing w:after="140" w:before="280"/>
      </w:pPr>
      <w:r>
        <w:t>1. What the Draft Curve Measures</w:t>
      </w:r>
    </w:p>
    <w:p>
      <w:pPr>
        <w:spacing w:after="200"/>
        <w:jc w:val="left"/>
      </w:pPr>
      <w:r>
        <w:t>The draft curve links selected players to their subsequent NHL production and groups the outcomes by draft position. The fitted sample uses the 2007-2017 draft classes, giving each class nine seasons of follow-up. For a player drafted in 2017, that window runs from 2017-18 through 2025-26. It does not follow every player to the end of his career.</w:t>
      </w:r>
    </w:p>
    <w:p>
      <w:pPr>
        <w:spacing w:after="200"/>
        <w:jc w:val="left"/>
      </w:pPr>
      <w:r>
        <w:t>The average includes selections with no NHL production. Removing them would describe only successful picks and overstate what a club can expect from a selection. The linkage distinguishes matched careers, unmatched records, and known contaminated names. Unmatched records need particular attention: the yield calculation assigns zero production when it finds no linked performance history, so a failed match can be mistaken for a pick that never reached the NHL.</w:t>
      </w:r>
    </w:p>
    <w:p>
      <w:pPr>
        <w:spacing w:after="200"/>
        <w:jc w:val="left"/>
      </w:pPr>
      <w:r>
        <w:t>The linkage first uses an NHL identifier with name agreement, then guarded exact names and a hand-checked alias list. It rejects a supposed match whose NHL career began before the relevant draft, and prevents ambiguous repeated names from being resolved by name alone. This matters for older players whose performance records lack an NHL identifier: an ID-only approach would turn a real career into a false zero. Unrestricted fuzzy matching is not used because similar names can belong to brothers or unrelated players.</w:t>
      </w:r>
    </w:p>
    <w:p>
      <w:pPr>
        <w:spacing w:after="200"/>
        <w:jc w:val="left"/>
      </w:pPr>
      <w:r>
        <w:t>The nine-season window allows more time for college and European arrivals than the earlier seven-season window, while giving the included draft classes equal follow-up. It excludes any production after year nine. The calculation observes NHL production during the window but approximates contract costs and control years because the historical contract data cannot reconstruct each career's agreements.</w:t>
      </w:r>
    </w:p>
    <w:p>
      <w:pPr>
        <w:spacing w:after="200"/>
        <w:jc w:val="left"/>
      </w:pPr>
      <w:r>
        <w:t>For matched players, the code adds production across team records and applies the skater or goalie price equation. Defencemen receive the current defence slope. For each season it calculates surplus as a share of that season's cap, sums those shares over nine seasons, and averages the totals within draft-position bands. Multiplying by the 2025-26 cap gives the dollar figures below. This measures historical modeled yield; valuing an unknown pick at a trade date requires further work.</w:t>
      </w:r>
    </w:p>
    <w:p>
      <w:pPr>
        <w:spacing w:after="200"/>
        <w:jc w:val="left"/>
      </w:pPr>
      <w:r>
        <w:t>The draft calculation adjusts the 2012-13, 2019-20, and 2020-21 shortened schedules to an 82-game production basis. Unlike the player pricing sample, its longer historical window reaches the lockout season. It uses the season's actual historical cap to express each observed year's value and cost as shares. The sum of those shares is the quantity carried forward to the curve, rather than a sum of unadjusted dollars from different salary environments.</w:t>
      </w:r>
    </w:p>
    <w:p>
      <w:pPr>
        <w:spacing w:after="200"/>
        <w:jc w:val="left"/>
      </w:pPr>
      <w:r>
        <w:t>Adding cap shares follows the broader model's assumption that cap growth and discounting occur at the same rate. Under that assumption, a future flow of 1% of the cap is worth 1% of the valuation-date cap before changes in its expected size. The yield calculation uses realized historical production and caps, so it does not recreate what was knowable at each draft or identify a separate market discount for future picks.</w:t>
      </w:r>
    </w:p>
    <w:p>
      <w:pPr>
        <w:pStyle w:val="Heading2"/>
        <w:keepNext/>
        <w:spacing w:after="140" w:before="280"/>
      </w:pPr>
      <w:r>
        <w:t>2. Entry-Level Costs and Later Surplus</w:t>
      </w:r>
    </w:p>
    <w:p>
      <w:pPr>
        <w:spacing w:after="200"/>
        <w:jc w:val="left"/>
      </w:pPr>
      <w:r>
        <w:t>The primary curve, Rule A, counts surplus during modeled entry-level years and assigns zero surplus afterward. Once those years are exhausted, cost is set equal to the market price of realized production. Successful picks can create real value on later contracts, but that value is excluded by construction.</w:t>
      </w:r>
    </w:p>
    <w:p>
      <w:pPr>
        <w:spacing w:after="200"/>
        <w:jc w:val="left"/>
      </w:pPr>
      <w:r>
        <w:t>If later contracts generate positive surplus, this convention understates the pick's value. It need not lower all draft positions equally: early selections and late selections can differ in the timing and amount of the surplus omitted. The shape of the curve is therefore partly a product of the cost rule.</w:t>
      </w:r>
    </w:p>
    <w:p>
      <w:pPr>
        <w:spacing w:after="200"/>
        <w:jc w:val="left"/>
      </w:pPr>
      <w:r>
        <w:t>Entry-level cost uses the maximum for the player's draft cohort, rather than his actual signed contract. The number of entry-level years is approximated using age at the first season with at least ten NHL games. That proxy cannot reproduce every signing date or contract slide.</w:t>
      </w:r>
    </w:p>
    <w:p>
      <w:pPr>
        <w:spacing w:after="200"/>
        <w:jc w:val="left"/>
      </w:pPr>
      <w:r>
        <w:t>The approximation assigns three entry-level years to a player arriving through age 21, two at ages 22-23, and one at age 24 or older. It measures age on September 15 in the first season with at least ten NHL games. If usable age information is missing, the code defaults to three years. This uses arrival age as a substitute for signing age; it needs comparison with actual contracts, especially for late arrivals and contract slides.</w:t>
      </w:r>
    </w:p>
    <w:p>
      <w:pPr>
        <w:spacing w:after="200"/>
        <w:jc w:val="left"/>
      </w:pPr>
      <w:r>
        <w:t>Before the modeled entry-level years are exhausted, a season with fewer than ten games does not use up one of those years. Its cost and, for skaters, minimum-value floor are multiplied by games played divided by 82. The price equation's intercept is left intact, which can give a short appearance generous value relative to its assigned cost. After the modeled entry-level period, Rule A assigns zero surplus regardless of games played. A season with no NHL appearance contributes neither value nor cost.</w:t>
      </w:r>
    </w:p>
    <w:p>
      <w:pPr>
        <w:spacing w:after="200"/>
        <w:jc w:val="left"/>
      </w:pPr>
      <w:r>
        <w:t>Using the maximum entry-level cost lowers surplus for players who signed below it, while omitting bonus costs raises surplus where those bonuses were paid. The effects point in different directions, so the cost assumptions do not support describing the whole curve as conservative.</w:t>
      </w:r>
    </w:p>
    <w:p>
      <w:pPr>
        <w:spacing w:after="200"/>
        <w:jc w:val="left"/>
      </w:pPr>
      <w:r>
        <w:t>Rule B tests the post-entry-level cost assumption. Rule A sets cost equal to the price of realized production, producing zero surplus. Rule B instead estimates a skater's cost from trailing production and compares it with the price of his realized production. Goalies retain Rule A, and skaters without a usable trailing baseline also contribute zero post-entry-level surplus.</w:t>
      </w:r>
    </w:p>
    <w:p>
      <w:pPr>
        <w:spacing w:after="200"/>
        <w:jc w:val="left"/>
      </w:pPr>
      <w:r>
        <w:t>The implemented Rule B has a pricing mismatch for defencemen: realized production uses the defence slope, while trailing cost uses the forward slope. For a forward away from the salary floor, one trailing win followed by two realized wins produces surplus equal to the price of the extra win. If both are two wins, the prices cancel. A defenceman with unchanged two-win production can still show apparent surplus because the two sides use different prices per win.</w:t>
      </w:r>
    </w:p>
    <w:p>
      <w:pPr>
        <w:spacing w:after="200"/>
        <w:jc w:val="left"/>
      </w:pPr>
      <w:r>
        <w:t>Rule A is unaffected by that mismatch. Rule B needs correction and a rerun before its difference from Rule A can be attributed to the post-entry-level cost assumption.</w:t>
      </w:r>
    </w:p>
    <w:p>
      <w:pPr>
        <w:pStyle w:val="Heading2"/>
        <w:keepNext/>
        <w:spacing w:after="140" w:before="280"/>
      </w:pPr>
      <w:r>
        <w:t>3. Uncertainty and Future Picks</w:t>
      </w:r>
    </w:p>
    <w:p>
      <w:pPr>
        <w:spacing w:after="200"/>
        <w:jc w:val="left"/>
      </w:pPr>
      <w:r>
        <w:t>The mean value of a late pick can be positive even when most selections produce no NHL value. A few successful careers raise the average. The code therefore reports the mean, median, and proportion with any NHL appearance: together, these distinguish the average return from the outcome of a typical selection.</w:t>
      </w:r>
    </w:p>
    <w:p>
      <w:pPr>
        <w:spacing w:after="200"/>
        <w:jc w:val="left"/>
      </w:pPr>
      <w:r>
        <w:t>The early bands have few observations. Eleven draft classes supply only eleven first-overall selections. Combining nearby positions increases the sample but gives all picks in that band the same fitted value. Uncertainty about the mean remains even when the curve looks smooth.</w:t>
      </w:r>
    </w:p>
    <w:p>
      <w:pPr>
        <w:spacing w:after="200"/>
        <w:jc w:val="left"/>
      </w:pPr>
      <w:r>
        <w:t>The current Rule A output averages about $13.65 million at first overall, $8.33 million at second, $6.83 million for picks 3-5, and $3.20 million for picks 21-32, expressed at the $95.5 million cap. The corresponding values are about $1.54 million for picks 51-100, $1.09 million for 101-150, and $0.61 million for 151-224. These are expected modeled surpluses per selection, not annual salaries or guaranteed returns.</w:t>
      </w:r>
    </w:p>
    <w:p>
      <w:pPr>
        <w:spacing w:after="200"/>
        <w:jc w:val="left"/>
      </w:pPr>
      <w:r>
        <w:t>In the last band, only about 26.5% of picks have any NHL appearance within the window, and median surplus is zero. The positive mean comes from successful outcomes in the same average as the zeros. A club making many such selections can reasonably care about that mean even though a single pick's most common result is no NHL contribution.</w:t>
      </w:r>
    </w:p>
    <w:p>
      <w:pPr>
        <w:spacing w:after="200"/>
        <w:jc w:val="left"/>
      </w:pPr>
      <w:r>
        <w:t>The yield script measures sampling uncertainty by repeatedly drawing picks from each band, allowing the same pick to be drawn more than once, and recalculating the mean. Across 2,000 draws, it reports the standard deviation of those means, called a bootstrap standard error. For first overall, this is 0.02412 of the cap, or about $2.30 million at the presentation cap.</w:t>
      </w:r>
    </w:p>
    <w:p>
      <w:pPr>
        <w:spacing w:after="200"/>
        <w:jc w:val="left"/>
      </w:pPr>
      <w:r>
        <w:t>A separate review used 10,000 draws per band to form 95% intervals. The recorded first-overall interval is $9.24 million to $18.61 million around the $13.65 million mean. These intervals reflect variation among the observed picks while holding the price equation and cost rules fixed. They do not include uncertainty about those model choices or recover rare outcomes absent from the eleven draft classes.</w:t>
      </w:r>
    </w:p>
    <w:p>
      <w:pPr>
        <w:spacing w:after="200"/>
        <w:jc w:val="left"/>
      </w:pPr>
      <w:r>
        <w:t>Fixed bands can hide value differences within a trade. Picks 51 and 100 receive the same estimate, so trading down between them appears to surrender no draft value. Crossing a band boundary produces a jump. A proposed smoother curve would allow value to decline within these ranges, but has not been fitted for use in the model.</w:t>
      </w:r>
    </w:p>
    <w:p>
      <w:pPr>
        <w:spacing w:after="200"/>
        <w:jc w:val="left"/>
      </w:pPr>
      <w:r>
        <w:t>A pick traded before its draft needs two further estimates: where it might land and how to value the wait. The eventual overall selection is known in the historical data, but it was not necessarily known to either club when the trade occurred. Using it directly would give the valuation future information.</w:t>
      </w:r>
    </w:p>
    <w:p>
      <w:pPr>
        <w:spacing w:after="200"/>
        <w:jc w:val="left"/>
      </w:pPr>
      <w:r>
        <w:t>Pure-pick trades and picks traded more than once provide evidence about market exchange rates. They do not isolate a discount for waiting by themselves. Expected draft position, protection terms, and beliefs about the draft class can change between trades. A late pick may also be used as a small addition to complete a deal, which complicates reading every exchange as an exact statement of fundamental value.</w:t>
      </w:r>
    </w:p>
    <w:p>
      <w:pPr>
        <w:spacing w:after="200"/>
        <w:jc w:val="left"/>
      </w:pPr>
      <w:r>
        <w:t>The inventory contains 119 pure pick-for-pick trades, including 56 across draft years. Of those 56, 39 are one-for-one swaps, including 35 same-round exchanges; the other seventeen are bundles. Assigning all unknown picks a round-average value makes many same-round swaps equal by construction. Estimates based on the originating team's position could distinguish them, but those estimates would need their own validation.</w:t>
      </w:r>
    </w:p>
    <w:p>
      <w:pPr>
        <w:spacing w:after="200"/>
        <w:jc w:val="left"/>
      </w:pPr>
      <w:r>
        <w:t>Repeat trades offer a larger potential sample: the inventory records 241 picks traded more than once, including 163 at more than one horizon before their slot was known. Only four have their relevant trade histories entirely within pure-pick transactions. Pricing the other exchanges requires the player and prospect values in their packages. Holding the pick's identity fixed removes one source of variation, but changed beliefs about its eventual position still prevent the observed price change from being read as time preference alone.</w:t>
      </w:r>
    </w:p>
    <w:p>
      <w:pPr>
        <w:spacing w:after="200"/>
        <w:jc w:val="left"/>
      </w:pPr>
      <w:r>
        <w:t>The historical yield average already includes picks that fail to reach the NHL. Any additional discount must address a separate feature, such as the time until production arrives or a modeled preference for risk. Applying another reduction for the same failure probability would count it twice.</w:t>
      </w:r>
    </w:p>
    <w:p>
      <w:pPr>
        <w:pStyle w:val="Heading2"/>
        <w:keepNext/>
        <w:spacing w:after="140" w:before="280"/>
      </w:pPr>
      <w:r>
        <w:t>4. Non-Roster Prospects</w:t>
      </w:r>
    </w:p>
    <w:p>
      <w:pPr>
        <w:spacing w:after="200"/>
        <w:jc w:val="left"/>
      </w:pPr>
      <w:r>
        <w:t>A prospect needs both a chance of reaching the NHL and an estimate of production if he gets there. Draft position supplies a starting expectation. Age and subsequent performance should update it, with evidence from different leagues translated onto a comparable scale.</w:t>
      </w:r>
    </w:p>
    <w:p>
      <w:pPr>
        <w:spacing w:after="200"/>
        <w:jc w:val="left"/>
      </w:pPr>
      <w:r>
        <w:t>Draft baselines, ages, and league-performance inputs have been gathered, but the steps connecting them to expected NHL wins and surplus dollars are unfinished. NHL-equivalent scoring adjusts points for league strength. It still needs a link to NHL participation and wins above replacement before it can enter this valuation framework.</w:t>
      </w:r>
    </w:p>
    <w:p>
      <w:pPr>
        <w:spacing w:after="200"/>
        <w:jc w:val="left"/>
      </w:pPr>
      <w:r>
        <w:t>The planned model begins with an expectation based on draft position, then updates it using the prospect's subsequent performance. More informative evidence should give that performance greater weight. How quickly this happens, and whether draft position eventually loses all influence, remain to be estimated. Games in different leagues may provide different amounts of information.</w:t>
      </w:r>
    </w:p>
    <w:p>
      <w:pPr>
        <w:spacing w:after="200"/>
        <w:jc w:val="left"/>
      </w:pPr>
      <w:r>
        <w:t>For example, a 20% chance of producing two wins in an NHL season gives 0.4 expected wins if the other outcome is no NHL production. Arrival time and other possible performance levels would extend this simple example. The model must estimate both the chance of playing and production conditional on playing. It must also apply the salary equation's intercept only to NHL participation; applying that positive amount to all prospects would price seasons in which some never reach the league.</w:t>
      </w:r>
    </w:p>
    <w:p>
      <w:pPr>
        <w:spacing w:after="200"/>
        <w:jc w:val="left"/>
      </w:pPr>
      <w:r>
        <w:t>Validation should compare predicted NHL participation with actual participation and predicted production with subsequent production, using players excluded from fitting. Dollars enter after those forecasts. Draft position cannot also serve as an independent check if it was already used to make the prediction. The league-translation crosswalk still needs verification before it supports this process.</w:t>
      </w:r>
    </w:p>
    <w:p>
      <w:pPr>
        <w:spacing w:after="200"/>
        <w:jc w:val="left"/>
      </w:pPr>
      <w:r>
        <w:t>Selection also matters. Prospects with usable professional records differ from those without them, and players who reach a stronger league are already a selected group. A model trained only on successful transitions would overstate the prospects of the full pool. Updates must use information available by the valuation date and account for which players enter the observed sample.</w:t>
      </w:r>
    </w:p>
    <w:p>
      <w:pPr>
        <w:pStyle w:val="Heading2"/>
        <w:keepNext/>
        <w:spacing w:after="140" w:before="280"/>
      </w:pPr>
      <w:r>
        <w:t>5. Retention, Clauses, and the Back-Test</w:t>
      </w:r>
    </w:p>
    <w:p>
      <w:pPr>
        <w:spacing w:after="200"/>
        <w:jc w:val="left"/>
      </w:pPr>
      <w:r>
        <w:t>Salary retention reduces the acquiring club's cap cost and can be a service supplied by a third club. The trade calculation needs to assign each club's retained cost and received assets correctly, so it does not count a pick as payment for both the player and the retention service. Diagnostics exist, but a separate estimate of the service's market price is unfinished.</w:t>
      </w:r>
    </w:p>
    <w:p>
      <w:pPr>
        <w:spacing w:after="200"/>
        <w:jc w:val="left"/>
      </w:pPr>
      <w:r>
        <w:t>Facilitated trades are the proposed evidence for that estimate. A pick received by a middle club can reveal the price of retention when that club supplies no other material asset or service. The candidate inventory contains roughly fifty deals. Their retained amounts, durations, consideration, and transaction structures still need checking. The eventual estimate should distinguish the cost of carrying more salary from the cost of carrying it for longer, within a consistent rules period.</w:t>
      </w:r>
    </w:p>
    <w:p>
      <w:pPr>
        <w:spacing w:after="200"/>
        <w:jc w:val="left"/>
      </w:pPr>
      <w:r>
        <w:t>Trade protection can restrict the seller's possible destinations and alter bargaining power. It also tends to appear on contracts for particular kinds of players. A pay difference associated with a clause therefore cannot automatically be read as the price of restricted movement. The clause data are assembled, but a separate causal estimate remains to be built.</w:t>
      </w:r>
    </w:p>
    <w:p>
      <w:pPr>
        <w:spacing w:after="200"/>
        <w:jc w:val="left"/>
      </w:pPr>
      <w:r>
        <w:t>The planned clause comparison relates contract pay to projected production and the presence and type of trade protection. Player quality, age, term, and bargaining conditions can influence both pay and protection, so they also need to enter the comparison. A completed trade involving a clause-holder may reflect a permitted destination or the player's agreement to waive protection. The project does not yet observe whether a restriction bound or an offer was blocked, limiting a causal interpretation of any pay difference.</w:t>
      </w:r>
    </w:p>
    <w:p>
      <w:pPr>
        <w:spacing w:after="200"/>
        <w:jc w:val="left"/>
      </w:pPr>
      <w:r>
        <w:t>The combined back-test will value the assets exchanged using the information available at the trade date, then compare those estimates with subsequent outcomes. That requires the unfinished pick and prospect components, a treatment of retained costs, and a workable statistic for comparing packages.</w:t>
      </w:r>
    </w:p>
    <w:p>
      <w:pPr>
        <w:spacing w:after="200"/>
        <w:jc w:val="left"/>
      </w:pPr>
      <w:r>
        <w:t>The inventory contains 205 player-only events, of which 153 require a mid-season allocation. These offer an initial test group once that allocation is implemented. About 69% of all events include a pick, so a player-only study would cover a selected minority of the trade market.</w:t>
      </w:r>
    </w:p>
    <w:p>
      <w:pPr>
        <w:spacing w:after="200"/>
        <w:jc w:val="left"/>
      </w:pPr>
      <w:r>
        <w:t>The proposed comparisons group trades by asset class, contract length, player age, and team competitive position. The question is whether estimated imbalances show systematic patterns beyond sampling variation. The usable sample and number of comparisons will determine how large a difference the study can detect. The earlier power analysis needs updating for that sample; a weak test that finds no difference would provide little evidence of efficient pricing.</w:t>
      </w:r>
    </w:p>
    <w:p>
      <w:pPr>
        <w:spacing w:after="200"/>
        <w:jc w:val="left"/>
      </w:pPr>
      <w:r>
        <w:t>Mid-season player allocation is also pending. The intended method divides season value using Game Value shares at trade dates; it has not yet been applied to the back-test. Because Game Value can be negative, the division needs a rule for a near-zero season total and for team stints with opposite signs. Those cases cannot safely be treated as ordinary percentage shares.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2026-09-09T19:02:20.698Z</dcterms:created>
  <dcterms:modified xsi:type="dcterms:W3CDTF">2026-09-09T19:02:20.698Z</dcterms:modified>
</cp:coreProperties>
</file>

<file path=docProps/custom.xml><?xml version="1.0" encoding="utf-8"?>
<Properties xmlns="http://schemas.openxmlformats.org/officeDocument/2006/custom-properties" xmlns:vt="http://schemas.openxmlformats.org/officeDocument/2006/docPropsVTypes"/>
</file>