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t xml:space="preserve">Player Pillar I: Data, Baseline, and Projection</w:t>
      </w:r>
    </w:p>
    <w:p>
      <w:pPr>
        <w:spacing w:after="200"/>
        <w:jc w:val="left"/>
      </w:pPr>
      <w:r>
        <w:t xml:space="preserve">This document covers how a player's future gets built: the data behind each valuation, the trailing baseline, the aging curve, and the exit hazard.</w:t>
      </w:r>
    </w:p>
    <w:p>
      <w:pPr>
        <w:pStyle w:val="Heading2"/>
        <w:spacing w:after="140" w:before="280"/>
      </w:pPr>
      <w:r>
        <w:t xml:space="preserve">Data foundations, entity resolution, and the trade ledger</w:t>
      </w:r>
    </w:p>
    <w:p>
      <w:pPr>
        <w:spacing w:after="200"/>
        <w:jc w:val="left"/>
      </w:pPr>
      <w:r>
        <w:t xml:space="preserve">Four source datasets feed the model. A commercial contract database (PuckPedia) supplies each NHL contract's terms and a trade ledger. Player production comes from one published wins-above-replacement model (Patrick Bacon, hockeystats.com), used as the model's single value provider throughout. Trade-protection clause status, absent from the contract database, comes from a separate scrape. A self-built game-level database, covering 11,870 games from 2017-18 through 2025-26, supplies the independent Game Value metric described in the circularity document.</w:t>
      </w:r>
    </w:p>
    <w:p>
      <w:pPr>
        <w:spacing w:after="200"/>
        <w:jc w:val="left"/>
      </w:pPr>
      <w:r>
        <w:t xml:space="preserve">Three identifiers thread these sources together, and each does a different job. PuckPedia's </w:t>
      </w:r>
      <w:r>
        <w:rPr>
          <w:i/>
          <w:iCs/>
        </w:rPr>
        <w:t xml:space="preserve">player_id</w:t>
      </w:r>
      <w:r>
        <w:t xml:space="preserve"> is the canonical entity spine, the identifier each other table resolves to. </w:t>
      </w:r>
      <w:r>
        <w:rPr>
          <w:i/>
          <w:iCs/>
        </w:rPr>
        <w:t xml:space="preserve">puckpedia_ep_id</w:t>
      </w:r>
      <w:r>
        <w:t xml:space="preserve"> is the cross-source join key used to attach clause data. </w:t>
      </w:r>
      <w:r>
        <w:rPr>
          <w:i/>
          <w:iCs/>
        </w:rPr>
        <w:t xml:space="preserve">nhl_id</w:t>
      </w:r>
      <w:r>
        <w:t xml:space="preserve"> routes a player into the Game Value tables, which key on the NHL's own identifiers rather than PuckPedia's. The sources were never built to talk to each other, so three keys exist instead of one: each key is whichever identifier the two sources being joined actually share.</w:t>
      </w:r>
    </w:p>
    <w:p>
      <w:pPr>
        <w:spacing w:after="200"/>
        <w:jc w:val="left"/>
      </w:pPr>
      <w:r>
        <w:t xml:space="preserve">Names are normalized before any join: accents stripped, case folded, punctuation removed. This matters more than it sounds. The aging curve originally grouped careers on the raw name text while the rest of the chain cleaned names first, so a player the source spells two ways became two short careers. Nick Paul was the expensive case: the projection looked up "Nicholas Paul", two seasons, instead of "Nick Paul", ten, and applied that fragment's shape to his seven-year contract. Five spellings now collapse into their real careers.</w:t>
      </w:r>
    </w:p>
    <w:p>
      <w:pPr>
        <w:spacing w:after="200"/>
        <w:jc w:val="left"/>
      </w:pPr>
      <w:r>
        <w:t xml:space="preserve">Cleaning creates the opposite risk, because it strips the markers the source uses to tell same-named players apart. Four players needed manual handling: Sebastian Aho, Elias Pettersson, Connor Murphy, and Josh Anderson. Three of them survive cleaning on their own, since the source already writes them as "Sebastian Aho Swe" and "Erik Gustafsson 88"; the two Elias Petterssons need an explicit rule, because the source distinguishes them with a "(D)" that cleaning removes. Grouping on name plus position was considered as an alternative and rejected, since it splits players who changed position mid-career, Brent Burns most of all. Where the source genuinely merges two humans under one name, those rows are excluded rather than guessed at.</w:t>
      </w:r>
    </w:p>
    <w:p>
      <w:pPr>
        <w:spacing w:after="200"/>
        <w:jc w:val="left"/>
      </w:pPr>
      <w:r>
        <w:t xml:space="preserve">The trade ledger records 980 export rows, which collapse into 946 distinct trade events. The gap is the three-team facilitation mechanic: the NHL does not permit a genuine three-team trade, so what looks like one is two paired two-team deals executed together, and the export carries a row for each leg. Time coverage starts in 2018, a data-availability limit in the source export rather than a design choice; contract counts thin sharply before it.</w:t>
      </w:r>
    </w:p>
    <w:p>
      <w:pPr>
        <w:spacing w:after="200"/>
        <w:jc w:val="left"/>
      </w:pPr>
      <w:r>
        <w:t xml:space="preserve">Clause data required its own scrape because the contract database does not carry it. The scrape used Capspace, cross-checked against Capwages, not CapFriendly, which is an unrelated contingency-trade dataset. The scrape reaches a 97.7% hit rate against target players and 93.4% agreement with the cross-check source; the remaining disagreements are outstanding for hand resolution.</w:t>
      </w:r>
    </w:p>
    <w:p>
      <w:pPr>
        <w:spacing w:after="200"/>
        <w:jc w:val="left"/>
      </w:pPr>
      <w:r>
        <w:t xml:space="preserve">Two data traps are worth stating because they are silent if you do not know about them. </w:t>
      </w:r>
      <w:r>
        <w:rPr>
          <w:i/>
          <w:iCs/>
        </w:rPr>
        <w:t xml:space="preserve">WAR_with_age.csv</w:t>
      </w:r>
      <w:r>
        <w:t xml:space="preserve"> carries a polluted </w:t>
      </w:r>
      <w:r>
        <w:rPr>
          <w:i/>
          <w:iCs/>
        </w:rPr>
        <w:t xml:space="preserve">nhl_id</w:t>
      </w:r>
      <w:r>
        <w:t xml:space="preserve"> column: the age join's fuzzy stages assigned 33 IDs to the wrong person's rows, so Rick Nash's career carries Riley Nash's ID, Todd Bertuzzi carries Tyler's, Jeff Schultz carries Justin's. Every join through that column now requires the ID and the name to agree, and a disagreement drops to a name-based fallback rather than resolving. And </w:t>
      </w:r>
      <w:r>
        <w:rPr>
          <w:i/>
          <w:iCs/>
        </w:rPr>
        <w:t xml:space="preserve">Goalies_WAR.csv</w:t>
      </w:r>
      <w:r>
        <w:t xml:space="preserve"> splits a traded goaltender into one row per team, so goalie rows must be summed within a name and season before anything downstream reads them.</w:t>
      </w:r>
    </w:p>
    <w:p>
      <w:pPr>
        <w:spacing w:after="200"/>
        <w:jc w:val="left"/>
      </w:pPr>
      <w:r>
        <w:t xml:space="preserve">No completeness validation has been run on the trade ledger against any independent source. A contingency dataset exists that could support that spot-check and has not been used for it.</w:t>
      </w:r>
    </w:p>
    <w:p>
      <w:pPr>
        <w:pStyle w:val="Heading2"/>
        <w:spacing w:after="140" w:before="280"/>
      </w:pPr>
      <w:r>
        <w:t xml:space="preserve">Building a player's baseline: trailing production and mean reversion</w:t>
      </w:r>
    </w:p>
    <w:p>
      <w:pPr>
        <w:spacing w:after="200"/>
        <w:jc w:val="left"/>
      </w:pPr>
      <w:r>
        <w:t xml:space="preserve">Each valuation needs a starting estimate of how well a player is playing now. Raw production from a single season is not trusted on its own, because a player's output fluctuates year to year for reasons that have nothing to do with his underlying talent. The model uses a weighted average of the two seasons before the valuation date: 60% weight on the season immediately before, 40% on the season before that. If only one qualifying season exists, it is used alone. A season counts toward this average only if the player logged at least 10 games in it, which screens out brief call-ups.</w:t>
      </w:r>
    </w:p>
    <w:p>
      <w:pPr>
        <w:spacing w:after="200"/>
        <w:jc w:val="left"/>
      </w:pPr>
      <w:r>
        <w:t xml:space="preserve">That trailing figure is the number the pricing regression actually converts into dollars, and it is also the anchor the projection walks forward. Everything below is about correcting it and extending it, not replacing it.</w:t>
      </w:r>
    </w:p>
    <w:p>
      <w:pPr>
        <w:spacing w:after="200"/>
        <w:jc w:val="left"/>
      </w:pPr>
      <w:r>
        <w:t xml:space="preserve">Two seasons is a small sample, so the model builds a second, independent estimate of where a player of this type and age typically sits, and pulls the trailing figure partway toward it. That typical level comes from a comparable-player search. Each qualifying player-season is reduced to an eight-number profile: the share of production coming from each of five style components (even-strength offence, even-strength defence, power play, penalty kill, and shooting), average ice time per game, smoothed production level, and recent trend. A sixth style component, penalties, was dropped: because the shares sum to one, keeping all six made them collinear, meaning the sixth carried no information the other five did not already contain.</w:t>
      </w:r>
    </w:p>
    <w:p>
      <w:pPr>
        <w:spacing w:after="200"/>
        <w:jc w:val="left"/>
      </w:pPr>
      <w:r>
        <w:t xml:space="preserve">The four attributes carry equal weight, so usage, level, and trend take 25% each and the five style shares split the remaining 25% between them. That equal weighting is an assumption and was never varied in testing.</w:t>
      </w:r>
    </w:p>
    <w:p>
      <w:pPr>
        <w:spacing w:after="200"/>
        <w:jc w:val="left"/>
      </w:pPr>
      <w:r>
        <w:t xml:space="preserve">The comparable search has no shortlist and no cutoff. Each candidate at the same position and the same age in whole years receives a weight that decreases with distance from the target player, so a near-identical comparable counts heavily and a dissimilar one counts for almost nothing. The decay rate is not chosen by hand: it comes from the median distance between thousands of random same-position pairs, so a candidate closer than a typical pair counts a lot and one further away counts little. Forwards and defencemen never match against each other. Thin comparable sets are pulled toward the global position curve so that a player with few real comparables does not inherit a noisy estimate from three of them.</w:t>
      </w:r>
    </w:p>
    <w:p>
      <w:pPr>
        <w:spacing w:after="200"/>
        <w:jc w:val="left"/>
      </w:pPr>
      <w:r>
        <w:t xml:space="preserve">Matching happens at a single age rather than across a whole career, and this is a survivorship defence rather than a technicality. A pool built from complete career trajectories would only admit players whose careers ran long enough to profile, so a struggling 22-year-old's typical level would get pulled toward the level of 22-year-olds who went on to have long careers. Matching at a single age instead makes any player who logged a qualifying season at 22 eligible, including one out of the league by 25. The comparables pool applies a stricter games threshold than the valuation anchor does, 20 games rather than 10, since a profile built on a handful of games is mostly noise.</w:t>
      </w:r>
    </w:p>
    <w:p>
      <w:pPr>
        <w:spacing w:after="200"/>
        <w:jc w:val="left"/>
      </w:pPr>
      <w:r>
        <w:t xml:space="preserve">Four design choices were each tested on and off, in every combination, against held-out players: smoothing the anchor, matching at a single age rather than on a career-average profile, applying mean reversion, and adding a durability trait. Smoothing was the single largest safe gain and mean reversion the largest lever at long horizons. Age-conditional matching was confirmed as a real improvement by bootstrap. Durability added nothing and was dropped. A fifth candidate, a pure level-and-comparable predictor with no current-form component, produced the lowest raw error of anything tested and was rejected anyway: it is survivorship-exposed and it throws away current form, which makes it wrong for valuation regardless of its error score.</w:t>
      </w:r>
    </w:p>
    <w:p>
      <w:pPr>
        <w:spacing w:after="200"/>
        <w:jc w:val="left"/>
      </w:pPr>
      <w:r>
        <w:t xml:space="preserve">The blend is one weighted average: 0.55 on the player's own smoothed level, 0.45 on the comparable-type-and-age norm. That 0.55 was recovered by cross-validation on training players and confirmed on held-out players, with individual folds picking 0.55 to 0.60. It was re-tested rather than carried forward on trust after the curve was rebuilt: the rebuilt curve gives a mean absolute error of 1.0226 at 0.35, 1.0110 at 0.45, 1.0068 at 0.55, 1.0095 at 0.65, and 1.0192 at 0.75, so 0.55 still wins.</w:t>
      </w:r>
    </w:p>
    <w:p>
      <w:pPr>
        <w:spacing w:after="200"/>
        <w:jc w:val="left"/>
      </w:pPr>
      <w:r>
        <w:t xml:space="preserve">Two open items sit here. The 60/40 trailing weight is not cross-validated, and a 50/30/20 alternative beats it in each bootstrap resample tested without having been adopted; adopting it would require a fallback ladder for players with less history, a joint re-cross-validation of the 0.55 blend weight, and refitting the NPV spines plus the hardcoded constants in the draft-curve script. And the 0.55 blend is applied universally to each player, with no test of whether it should vary by player quality or type.</w:t>
      </w:r>
    </w:p>
    <w:p>
      <w:pPr>
        <w:pStyle w:val="Heading2"/>
        <w:spacing w:after="140" w:before="280"/>
      </w:pPr>
      <w:r>
        <w:t xml:space="preserve">Projecting forward with the aging curve</w:t>
      </w:r>
    </w:p>
    <w:p>
      <w:pPr>
        <w:spacing w:after="200"/>
        <w:jc w:val="left"/>
      </w:pPr>
      <w:r>
        <w:t xml:space="preserve">The projection does not take the mean-reverted level and walk it forward. It takes the trailing 60/40 raw figure as the anchor, and uses the aging curve only for its shape.</w:t>
      </w:r>
    </w:p>
    <w:p>
      <w:pPr>
        <w:spacing w:after="200"/>
        <w:jc w:val="left"/>
      </w:pPr>
      <w:r>
        <w:t xml:space="preserve">The curve itself projects a player's production-per-82-games trajectory from his current age, using the comparable weights from the baseline step: the model takes that same weighted set of comparable players, averages what their production actually did from each age to the next, and shrinks the result toward the broad position-and-age pattern. From that trajectory the projection keeps only the ratios, each future level divided by its own starting level, and multiplies the raw anchor by that ratio path. The mean-reversion pull and the age-conditional decline both reach the projection through those ratios, while the units stay identical to what the pricing regression expects. A unit mismatch here would misprice every contract in the file.</w:t>
      </w:r>
    </w:p>
    <w:p>
      <w:pPr>
        <w:spacing w:after="200"/>
        <w:jc w:val="left"/>
      </w:pPr>
      <w:r>
        <w:t xml:space="preserve">The curve is built from within-player change, meaning it tracks the same player's own movement from one season to the next, rather than comparing the average 25-year-old to the average 26-year-old as two separate groups. That distinction is a survivorship defence. If weaker players tend to leave the league by 26, the average 26-year-old looks better than any individual 25-year-old actually became, purely from who dropped out of the sample.</w:t>
      </w:r>
    </w:p>
    <w:p>
      <w:pPr>
        <w:spacing w:after="200"/>
        <w:jc w:val="left"/>
      </w:pPr>
      <w:r>
        <w:t xml:space="preserve">A within-player change requires the same player to appear in both seasons, so the curve is estimated entirely on players who kept playing and knows nothing about players who left. That margin is priced separately by the exit hazard below. The one case neither piece covers is a player whose production collapses but who stays in the league, covered next.</w:t>
      </w:r>
    </w:p>
    <w:p>
      <w:pPr>
        <w:spacing w:after="200"/>
        <w:jc w:val="left"/>
      </w:pPr>
      <w:r>
        <w:t xml:space="preserve">Validated on held-out careers with a player-level split, the hybrid produces a mean absolute error of 0.898 wins-per-82 one year out and 1.034 six years out. The previous global-by-position curve produced 1.048 and 1.264, so the current curve is roughly 15% better one year out and 18% better at six. Simple persistence, holding a player flat at his current level, produces 1.055 and 1.364.</w:t>
      </w:r>
    </w:p>
    <w:p>
      <w:pPr>
        <w:spacing w:after="200"/>
        <w:jc w:val="left"/>
      </w:pPr>
      <w:r>
        <w:t xml:space="preserve">Two guards sit around the ratio path. The multiplier is capped at 3.0 above, which binds on no live rows. Below, it is floored at 0.0: a declining player can be projected down to replacement level and no further. That floor was added after the curve's own per-82 level was found to turn negative at old ages, which over a positive base produces a negative ratio, so the model was projecting that 75 contract-seasons across 48 contracts would produce in the opposite direction, the worst wanting a multiplier of −3.07. Adding the floor moved 41 contracts, all upward, worth $8.4 million in total. Most of that was not the direct dollar change, since the projections involved are tiny, but the risk tier: a negative projected figure put a player in the below-replacement exit-risk tier instead of the fringe tier, and the two differ by an order of magnitude.</w:t>
      </w:r>
    </w:p>
    <w:p>
      <w:pPr>
        <w:spacing w:after="200"/>
        <w:jc w:val="left"/>
      </w:pPr>
      <w:r>
        <w:t xml:space="preserve">A review proposed a second change alongside it, raising the curve-base threshold from 0.25 to about 0.40 on the theory that the instability lives in small curve bases. Checked against the live panel, it does not: the median base among the 75 affected rows is 0.56, running to 1.58, and only 18 of the 75 sit at or below 0.40. Raising the threshold would have left 57 pathological rows in place while routing 197 rows across 70 contracts onto a flat projection they did not need. The threshold stays at 0.25, and separately from the ratio floor, a player whose curve base falls below it holds flat, because dividing by a near-zero base is numerically unstable.</w:t>
      </w:r>
    </w:p>
    <w:p>
      <w:pPr>
        <w:spacing w:after="200"/>
        <w:jc w:val="left"/>
      </w:pPr>
      <w:r>
        <w:t xml:space="preserve">### Players currently below replacement level</w:t>
      </w:r>
    </w:p>
    <w:p>
      <w:pPr>
        <w:spacing w:after="200"/>
        <w:jc w:val="left"/>
      </w:pPr>
      <w:r>
        <w:t xml:space="preserve">One population needed its own design decision: players whose trailing anchor sits below replacement level, meaning below what a freely available call-up would provide. A standard multiplier is unstable here, because multiplying an already-negative number by a decay factor pushes the projection in whichever direction the arithmetic happens to point. Take a player with a −0.5-win anchor: if the curve says players his age decline to 90% of their prior level, multiplying gives −0.45, which reads as an improvement.</w:t>
      </w:r>
    </w:p>
    <w:p>
      <w:pPr>
        <w:spacing w:after="200"/>
        <w:jc w:val="left"/>
      </w:pPr>
      <w:r>
        <w:t xml:space="preserve">Three approaches were tested. The first held any weak anchor flat, and was rejected for throwing away curve information for players with small positive production. The second reflected the curve, applying the multiplier in reverse for negative anchors so that decline pushed a struggling player further down. That is theoretically coherent and it beat hold-flat by 1.8% one year out, but it inverted at longer horizons, running 4.1% worse at two years and 8.3% worse at three. The diagnosis is that a negative trailing figure is mostly noise: among below-replacement players who kept playing, 93% improved the next season and 81% finished back above replacement, with the group average moving from roughly −0.22 to +0.32 wins.</w:t>
      </w:r>
    </w:p>
    <w:p>
      <w:pPr>
        <w:spacing w:after="200"/>
        <w:jc w:val="left"/>
      </w:pPr>
      <w:r>
        <w:t xml:space="preserve">The rule in force is reversion to replacement. The valuation season itself keeps the player's actual measured anchor, preserving consistency with the observed-season valuation, and each projected future season is set to exactly replacement level rather than extrapolated from a negative number. It has zero free parameters, so nothing was tuned to the test set, and it beat every alternative at every horizon in a 2018-2022 backcast, with mean absolute errors of 0.364, 0.569, and 0.562 at one, two, and three years out against hold-flat's 0.551, 0.733, and 0.662. It is also robust to that backcast's survivorship conditioning: players who wash out of the league produce roughly zero NHL production anyway, which is what the rule predicts for them.</w:t>
      </w:r>
    </w:p>
    <w:p>
      <w:pPr>
        <w:spacing w:after="200"/>
        <w:jc w:val="left"/>
      </w:pPr>
      <w:r>
        <w:t xml:space="preserve">One documented exposure remains. The comparable bank and the aging deltas are estimated on the full 2007-2025 panel, so a projection dated 2019 uses aging parameters estimated partly from seasons after 2019. No individual player's own future reaches his own valuation, and the projection explicitly excludes a player's own later seasons from his comparable set, but the population-level regularity does cross the line. This is picked up again in the identification document, where the stability check built to test it is reported.</w:t>
      </w:r>
    </w:p>
    <w:p>
      <w:pPr>
        <w:pStyle w:val="Heading2"/>
        <w:spacing w:after="140" w:before="280"/>
      </w:pPr>
      <w:r>
        <w:t xml:space="preserve">Exit hazard: pricing the chance a career ends</w:t>
      </w:r>
    </w:p>
    <w:p>
      <w:pPr>
        <w:spacing w:after="200"/>
        <w:jc w:val="left"/>
      </w:pPr>
      <w:r>
        <w:t xml:space="preserve">The projection assumes the player keeps playing. Sometimes he does not, through a career-ending injury, a move to Europe, or retirement. The exit hazard measures how often that happens: for a skater who played a real NHL season, the probability he has no NHL season the following year.</w:t>
      </w:r>
    </w:p>
    <w:p>
      <w:pPr>
        <w:spacing w:after="200"/>
        <w:jc w:val="left"/>
      </w:pPr>
      <w:r>
        <w:t xml:space="preserve">It is estimated on player-seasons with at least 10 games, the same qualifying filter the valuation anchor uses, so the hazard describes the population the model actually prices. Transitions run from 2018 to 2024, the last year for which the following season can be observed, which also matches the back-test window and the range where the age join is essentially complete; estimating on older years would undercount exits, because the players the age join misses are precisely the pre-2018 retirees. Exit is defined as having no row of any kind in the following season's production file. A player who reappears two or three years later is reported separately as a diagnostic, so a season in Europe followed by a comeback is not silently recorded as a career ending.</w:t>
      </w:r>
    </w:p>
    <w:p>
      <w:pPr>
        <w:spacing w:after="200"/>
        <w:jc w:val="left"/>
      </w:pPr>
      <w:r>
        <w:t xml:space="preserve">The hazard varies along two axes: four quality buckets defined on the season's raw production (below replacement, 0 to 1 wins, 1 to 3, and 3 or more) and five age groups (22 and under, 23 to 26, 27 to 30, 31 to 34, and 35 and over). The same four quality buckets are used for the RFA qualifying gate in the pricing document, so one definition of player quality governs both when the model expects a career to end and when it expects a club to walk away.</w:t>
      </w:r>
    </w:p>
    <w:p>
      <w:pPr>
        <w:spacing w:after="200"/>
        <w:jc w:val="left"/>
      </w:pPr>
      <w:r>
        <w:t xml:space="preserve">That 4-by-5 grid was originally read as twenty raw cell means over 5,346 skater transitions. Two of those cells contained no observed departures: stars aged 22 and under, 0 out of 26, and stars aged 31 to 34, 0 out of 40. A hazard of exactly zero is not a small number, it is a claim of certainty, and it meant the model treated a 32-year-old star as certain to appear in every remaining season of an eight-year contract. That is the tier holding the most trade value in the league. The table was also non-monotone across the boundary the zero created, with stars aged 27 to 30 at 1.2% against stars aged 31 to 34 at 0.0%, and the entire star row rested on four departures across 308 player-seasons.</w:t>
      </w:r>
    </w:p>
    <w:p>
      <w:pPr>
        <w:spacing w:after="200"/>
        <w:jc w:val="left"/>
      </w:pPr>
      <w:r>
        <w:t xml:space="preserve">The cell means were therefore replaced with a logistic model of exit on quality bucket and age group, main effects only: eight parameters where there were twenty cell means, fitted on the same transitions. Main effects are licensed by a likelihood-ratio test against the full interaction model, which returns p=0.955 for skaters, meaning quality and age act separately and the additive form is not discarding real structure. No cell asserts certainty any more. That change moved 1,450 contracts and $16.6 million.</w:t>
      </w:r>
    </w:p>
    <w:p>
      <w:pPr>
        <w:spacing w:after="200"/>
        <w:jc w:val="left"/>
      </w:pPr>
      <w:r>
        <w:t xml:space="preserve">The resulting rates differ by an order of magnitude across bucket boundaries rather than gradually. Established players sit near 1% a year. The gap at a single age group is stark: regular players aged 27 to 30 exit at 0.7%, fringe players of the same age at 9.5%. Across age groups the fringe tier runs from roughly 5% to 34% a year and the below-replacement tier from roughly 17% to 52%, with risk compounding sharply past the mid-thirties.</w:t>
      </w:r>
    </w:p>
    <w:p>
      <w:pPr>
        <w:spacing w:after="200"/>
        <w:jc w:val="left"/>
      </w:pPr>
      <w:r>
        <w:t xml:space="preserve">Three things about this are worth stating plainly. There is no statistical justification for the bucket boundaries at 0, 1, and 3 wins; if asked why not 0.5, 1.5, and 2.5, the honest answer is interpretability rather than a fitted optimum. A different star threshold, 3.5 wins, is used in the separate exploratory analysis of star players and restricted free agency, so the project currently runs two star definitions at once. And exit risk is understated for below-replacement players specifically, because the 93% recovery rate reported above is conditional on a player reappearing in the data, and exit is precisely the event that removes a player from that sample: a below-replacement player who leaves and never comes back never registers as a non-recovery.</w:t>
      </w:r>
    </w:p>
    <w:p>
      <w:pPr>
        <w:spacing w:after="200"/>
        <w:jc w:val="left"/>
      </w:pPr>
      <w:r>
        <w:t xml:space="preserve">One caveat sits in the estimation window itself. Transitions into 2020-21, with taxi squads, opt-outs, and loans to Europe, may inflate exits. The year-by-year table is reported so that any such spike is visible rather than buried in a pooled number.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2026-09-09T19:02:20.259Z</dcterms:created>
  <dcterms:modified xsi:type="dcterms:W3CDTF">2026-09-09T19:02:20.259Z</dcterms:modified>
</cp:coreProperties>
</file>

<file path=docProps/custom.xml><?xml version="1.0" encoding="utf-8"?>
<Properties xmlns="http://schemas.openxmlformats.org/officeDocument/2006/custom-properties" xmlns:vt="http://schemas.openxmlformats.org/officeDocument/2006/docPropsVTypes"/>
</file>