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Drafting, Prospects, and Unbuilt Components</w:t>
      </w:r>
    </w:p>
    <w:p>
      <w:pPr>
        <w:spacing w:after="200"/>
        <w:jc w:val="left"/>
      </w:pPr>
      <w:r>
        <w:t xml:space="preserve">This document covers everything outside the player pillar's core. The first two sections, the draft yield curve and the pricing of actual traded picks, are built and locked. The remaining four, the prospect pillar, retention pricing, trade-clause pricing, and the back-test design, are designed but not built, and those sections describe the design and its risks rather than reporting results.</w:t>
      </w:r>
    </w:p>
    <w:p>
      <w:pPr>
        <w:pStyle w:val="Heading2"/>
        <w:spacing w:after="140" w:before="280"/>
      </w:pPr>
      <w:r>
        <w:t xml:space="preserve">Draft pick linkage and the yield curve (built and locked)</w:t>
      </w:r>
    </w:p>
    <w:p>
      <w:pPr>
        <w:spacing w:after="200"/>
        <w:jc w:val="left"/>
      </w:pPr>
      <w:r>
        <w:t xml:space="preserve">A draft pick is a claim on an unknown player: it costs little up front and its payoff depends entirely on who is available and how that player develops. The model prices it by taking every pick in the fitting cohorts, adding up the surplus the drafted player actually delivered while the drafting team held his cheap years, and averaging those totals within pick-number buckets. The result is one expected-surplus figure per bucket, in the same currency as the player pillar.</w:t>
      </w:r>
    </w:p>
    <w:p>
      <w:pPr>
        <w:spacing w:after="200"/>
        <w:jc w:val="left"/>
      </w:pPr>
      <w:r>
        <w:t xml:space="preserve">### Linking a pick to a career</w:t>
      </w:r>
    </w:p>
    <w:p>
      <w:pPr>
        <w:spacing w:after="200"/>
        <w:jc w:val="left"/>
      </w:pPr>
      <w:r>
        <w:t xml:space="preserve">Before any of that can happen, each pick has to be matched to the right player's production record, and this step carries more risk than it appears to. Each pick resolves to one of five statuses: matched by NHL player ID with name agreement, matched by exact name after safety guards, matched through a hand-verified alias table, excluded because the production file merges two humans under one name, or recorded as producing no NHL career. That last category is not missing data. Those are real zeros, and they are the bust mass the curve exists to measure.</w:t>
      </w:r>
    </w:p>
    <w:p>
      <w:pPr>
        <w:spacing w:after="200"/>
        <w:jc w:val="left"/>
      </w:pPr>
      <w:r>
        <w:t xml:space="preserve">Four guards sit on the matching, and each was added after it caught a real error. The ID column in the aged production file is polluted, so an ID match resolves only to the candidate whose name also agrees; a naive ID join would have handed Rick Nash's career to a 2007 pick. The ID stage cannot run alone either, because players whose careers ended before roughly 2015 have production rows but no ID, including first-overall pick Nail Yakupov, which is why name-based fallbacks exist. Names drafted more than once are blocked from name matching entirely, since Erik Karlsson was drafted in 2008 and again in 2012, and Josh Anderson in 2012 and 2016. And a career cannot begin before its own draft year, so an exact-name match whose first production season predates the draft is rejected as a different person. Fuzzy matching is not used anywhere: a last-name-plus-initial scan also matched brothers and near-namesakes, pairing Emil with Elias Pettersson and Vincent Dunn with Vince Dunn. The roughly 19 real aliases are hand-verified and pick-specific.</w:t>
      </w:r>
    </w:p>
    <w:p>
      <w:pPr>
        <w:spacing w:after="200"/>
        <w:jc w:val="left"/>
      </w:pPr>
      <w:r>
        <w:t xml:space="preserve">### What gets counted</w:t>
      </w:r>
    </w:p>
    <w:p>
      <w:pPr>
        <w:spacing w:after="200"/>
        <w:jc w:val="left"/>
      </w:pPr>
      <w:r>
        <w:t xml:space="preserve">Value is measured over a fixed nine-season window beginning the season after the draft. That window was chosen over reconstructing each player's contract status, which is unobservable for pre-2015 cohorts, and it was widened from seven seasons so that players arriving late through college or Europe are not undercounted. A season with no NHL production contributes zero value and zero cost, since a player in junior or the minors produces nothing and costs nothing against the cap.</w:t>
      </w:r>
    </w:p>
    <w:p>
      <w:pPr>
        <w:spacing w:after="200"/>
        <w:jc w:val="left"/>
      </w:pPr>
      <w:r>
        <w:t xml:space="preserve">The fitting cohorts are 2007 through 2017, eleven complete windows. Earlier cohorts are cut off by production coverage starting in 2007-08, and later ones cannot yet have finished their nine seasons.</w:t>
      </w:r>
    </w:p>
    <w:p>
      <w:pPr>
        <w:spacing w:after="200"/>
        <w:jc w:val="left"/>
      </w:pPr>
      <w:r>
        <w:t xml:space="preserve">Value per season uses the same market rate as the player pillar, with defencemen carrying the steeper slope, floored at the league minimum as a share of that season's cap. Goaltenders use the goaltender rate and take no floor, mirroring the engines. Production in the three shortened seasons is scaled to an 82-game basis, since the curve is a structural object and mechanical schedule deflation says nothing about the quality of a draft slot. Costs are not scaled, because cap accounting charged full annual value against those seasons' caps.</w:t>
      </w:r>
    </w:p>
    <w:p>
      <w:pPr>
        <w:spacing w:after="200"/>
        <w:jc w:val="left"/>
      </w:pPr>
      <w:r>
        <w:t xml:space="preserve">Cost during the entry-level years is the slotted CBA maximum for the player's draft class, with entry-level length following the CBA's signing-age schedule: three years if the player is 21 or younger at his first counted season, two at 22 or 23, one at 24 or older. That age rule is not a refinement. Under a flat three-year rule, late arrivers from college and the KHL had their large second contracts priced at entry-level rates, which inflated exactly the mid-and-late-round slots where late arrivers cluster, and the error surfaced when Kaprizov outranked McDavid in a spot check. Seasons of fewer than ten games prorate both cost and the value floor by games played, mirroring the rule that such seasons do not burn an entry-level year.</w:t>
      </w:r>
    </w:p>
    <w:p>
      <w:pPr>
        <w:spacing w:after="200"/>
        <w:jc w:val="left"/>
      </w:pPr>
      <w:r>
        <w:t xml:space="preserve">Two cost conventions push in known directions. Using the slotted maximum for every pick overstates what late picks actually cost, which understates their surplus and errs conservative on pick value. Ignoring performance-bonus overages understates what star entry-level deals cost, which runs the other way. Both are documented and both are small.</w:t>
      </w:r>
    </w:p>
    <w:p>
      <w:pPr>
        <w:spacing w:after="200"/>
        <w:jc w:val="left"/>
      </w:pPr>
      <w:r>
        <w:t xml:space="preserve">### The zero-surplus convention</w:t>
      </w:r>
    </w:p>
    <w:p>
      <w:pPr>
        <w:spacing w:after="200"/>
        <w:jc w:val="left"/>
      </w:pPr>
      <w:r>
        <w:t xml:space="preserve">Every season after the entry-level contract is priced with cost set equal to the market-predicted value of the production actually delivered, which makes post-entry-level surplus zero by construction. This is the primary rule, and it follows from the pricing finding that the market pays restricted and unrestricted free agents at one statistically indistinguishable rate: a player paid the going rate generates no expected surplus. The curve is therefore honestly an entry-level-surplus curve rather than a full-career-surplus curve.</w:t>
      </w:r>
    </w:p>
    <w:p>
      <w:pPr>
        <w:spacing w:after="200"/>
        <w:jc w:val="left"/>
      </w:pPr>
      <w:r>
        <w:t xml:space="preserve">A sensitivity version ships alongside it, pricing post-entry-level cost on the player's trailing production instead, so that realized surplus becomes the slope times the gap between realized and trailing production. That version captures the improvement of ascending players whose clubs are paying on yesterday's numbers. Measured against the current rate it runs 7.5% higher at pick 1 and less elsewhere, so the choice between the two is empirically minor.</w:t>
      </w:r>
    </w:p>
    <w:p>
      <w:pPr>
        <w:spacing w:after="200"/>
        <w:jc w:val="left"/>
      </w:pPr>
      <w:r>
        <w:t xml:space="preserve">The convention is not independent of the price equation it prices against. If contract length carries genuine market value that the rate does not capture, successful picks generate real second-contract surplus that the curve sets to zero, and the top of the curve is understated.</w:t>
      </w:r>
    </w:p>
    <w:p>
      <w:pPr>
        <w:spacing w:after="200"/>
        <w:jc w:val="left"/>
      </w:pPr>
      <w:r>
        <w:t xml:space="preserve">### The curve and its uncertainty</w:t>
      </w:r>
    </w:p>
    <w:p>
      <w:pPr>
        <w:spacing w:after="200"/>
        <w:jc w:val="left"/>
      </w:pPr>
      <w:r>
        <w:t xml:space="preserve">There is no explicit discounting line in the curve, and its absence is deliberate rather than an omission. Future caps are grown at 3% and future flows discounted at the same 3%, so the two cancel exactly: a flow worth a given share of the cap nine years out is worth that same share in draft-day terms. The curve's primitive is therefore the plain sum of per-season cap-share surpluses, and pricing a pick in any season is one multiplication by that season's cap ceiling.</w:t>
      </w:r>
    </w:p>
    <w:p>
      <w:pPr>
        <w:spacing w:after="200"/>
        <w:jc w:val="left"/>
      </w:pPr>
      <w:r>
        <w:t xml:space="preserve">The headline curve runs from $13.65 million at pick 1 down to $0.61 million across picks 151 through 224, a ratio of about 22.4 between the top pick and the tail. Picks 1 and 2 each form their own bucket; the rest are grouped, at 3-5, 6-10, 11-20, 21-32, 33-50, 51-100, 101-150, and 151-224. The curve is denominated in the skater market rate and had to be rebuilt when that rate changed. The rebuild is one line in the fitting script re-pointed at the new coefficients, but it is a real dependency between the two pillars rather than two independent components.</w:t>
      </w:r>
    </w:p>
    <w:p>
      <w:pPr>
        <w:spacing w:after="200"/>
        <w:jc w:val="left"/>
      </w:pPr>
      <w:r>
        <w:t xml:space="preserve">Uncertainty is reported with bootstrap intervals, 2,000 resamples per bucket, chosen over analytic standard errors because those assume a symmetry the outcome distribution does not have. The skew is severe: past pick 100, roughly seven in ten picks produce no NHL value, and the best 10% of outcomes in that range carry 62% of the value.</w:t>
      </w:r>
    </w:p>
    <w:p>
      <w:pPr>
        <w:spacing w:after="200"/>
        <w:jc w:val="left"/>
      </w:pPr>
      <w:r>
        <w:t xml:space="preserve">Precision at the top is weak, and no claim about the top of the draft should travel without its interval. Eleven cohorts means eleven first-overall picks. Pick 1's interval runs from $9.24 million to $18.61 million. The gap between picks 1 and 2 is $5.29 million with an interval from $0.18 million to $10.82 million, clearing zero but barely, with a 2.0% chance the ordering reverses on resampling.</w:t>
      </w:r>
    </w:p>
    <w:p>
      <w:pPr>
        <w:spacing w:after="200"/>
        <w:jc w:val="left"/>
      </w:pPr>
      <w:r>
        <w:t xml:space="preserve">Two further limitations are live. 16.3% of the curve's value rests on a name match rather than a shared identifier, and no incorrect match has been found so far. And the buckets caused a real failure rather than a theoretical one: the 51-100 bucket carries one value across fifty slots, so a trade down inside that range priced at exactly zero surplus, and the boundary at 151 splits the fifth round across two buckets. The fix is a shape-constrained monotone fit rather than fixed buckets, and it has not been built. A global parametric form was tried and overstated pick 1 by 112%, so that approach should not be revisited without knowing why it failed.</w:t>
      </w:r>
    </w:p>
    <w:p>
      <w:pPr>
        <w:pStyle w:val="Heading2"/>
        <w:spacing w:after="140" w:before="280"/>
      </w:pPr>
      <w:r>
        <w:t xml:space="preserve">Pricing actual traded picks, and the future-pick discount (built and locked)</w:t>
      </w:r>
    </w:p>
    <w:p>
      <w:pPr>
        <w:spacing w:after="200"/>
        <w:jc w:val="left"/>
      </w:pPr>
      <w:r>
        <w:t xml:space="preserve">Reading a value off the curve is not the same problem as pricing a pick that changed hands. A traded pick often has no known slot yet, may be conditional or protected, and its final position can depend on lottery mechanics unresolved on the trade date. A future second-round pick traded before its number exists needs a convention before it can be priced; the two candidates are a round-mean slot and a standings-conditioned expectation of where it will land.</w:t>
      </w:r>
    </w:p>
    <w:p>
      <w:pPr>
        <w:spacing w:after="200"/>
        <w:jc w:val="left"/>
      </w:pPr>
      <w:r>
        <w:t xml:space="preserve">The main result here is negative, and it is a finding rather than a gap. The pure pick-for-pick sample cannot identify a future-pick discount on its own: of 119 such trades, 56 are cross-year, but 39 of those are one-for-one swaps, and 35 of those 39 are same-round swaps carrying almost no price information, since a future first for a current first is close to a wash by construction. That leaves 17 bundle trades as the entire estimation sample. This is a market-structure result about what this slice of the data can support.</w:t>
      </w:r>
    </w:p>
    <w:p>
      <w:pPr>
        <w:spacing w:after="200"/>
        <w:jc w:val="left"/>
      </w:pPr>
      <w:r>
        <w:t xml:space="preserve">A stronger design uses repeat sales. 811 distinct picks appear in the trade file, 241 traded more than once, and 163 traded at two or more different horizons before their number was known. Observing one identical asset priced twice gives the discount directly, and holding the asset fixed removes the unknown-slot convention from the comparison. That design is blocked until the prospect pillar exists: only 4 of the 163 have each leg of their trade history inside pure pick-for-pick trades.</w:t>
      </w:r>
    </w:p>
    <w:p>
      <w:pPr>
        <w:spacing w:after="200"/>
        <w:jc w:val="left"/>
      </w:pPr>
      <w:r>
        <w:t xml:space="preserve">Two hazards sit on this work. The pick data carries a back-filled field holding each pick's eventual overall position, which must never be used to price a pick as of its trade date, because it is a number nobody knew then. This is the live look-ahead threat specific to this pillar. And double-counting bust risk is the most likely place a reader finds a problem: the curve already prices bust probability into each slot, so any additional premium charged for uncertainty about a future pick's eventual quality charges that risk twice.</w:t>
      </w:r>
    </w:p>
    <w:p>
      <w:pPr>
        <w:pStyle w:val="Heading2"/>
        <w:spacing w:after="140" w:before="280"/>
      </w:pPr>
      <w:r>
        <w:t xml:space="preserve">The prospect pillar (designed, not built)</w:t>
      </w:r>
    </w:p>
    <w:p>
      <w:pPr>
        <w:spacing w:after="200"/>
        <w:jc w:val="left"/>
      </w:pPr>
      <w:r>
        <w:t xml:space="preserve">The prospect pillar is the last unbuilt piece and the largest remaining structural risk to the claim that three asset classes can be priced onto one scale. Without it, non-roster prospects are absent from the back-test.</w:t>
      </w:r>
    </w:p>
    <w:p>
      <w:pPr>
        <w:spacing w:after="200"/>
        <w:jc w:val="left"/>
      </w:pPr>
      <w:r>
        <w:t xml:space="preserve">The binding design constraint comes first because everything else depends on it: the pillar must apply the market rate, not fit against it. Value should be estimated in win or probability units throughout and converted to dollars only at the last step, so that a future change to the rate is a re-point rather than a refit.</w:t>
      </w:r>
    </w:p>
    <w:p>
      <w:pPr>
        <w:spacing w:after="200"/>
        <w:jc w:val="left"/>
      </w:pPr>
      <w:r>
        <w:t xml:space="preserve">Non-NHL production has to be translated into NHL-equivalent terms, and that translation coefficient is designed to vary by era rather than use one pooled figure, since scoring environments and feeder-league strength both shift over time. For a prospect with no professional record, a draft-slot prior stands in as the starting estimate.</w:t>
      </w:r>
    </w:p>
    <w:p>
      <w:pPr>
        <w:spacing w:after="200"/>
        <w:jc w:val="left"/>
      </w:pPr>
      <w:r>
        <w:t xml:space="preserve">The core machinery is a fading prior: a weight that moves from the draft-slot prior toward the player's own observed production as evidence accumulates. Three questions inside it are open rather than settled. What unit of evidence drives the fade, where games played is the most defensible candidate. What the fade rate should be, which needs estimating rather than assuming. And whether the prior fades to zero or keeps some permanent weight. The pillar is designed to mirror the draft pillar's zero-surplus convention so the two stay comparable.</w:t>
      </w:r>
    </w:p>
    <w:p>
      <w:pPr>
        <w:spacing w:after="200"/>
        <w:jc w:val="left"/>
      </w:pPr>
      <w:r>
        <w:t xml:space="preserve">Four risks are worth stating now rather than after it is built. The same draft-slot baselines feed both this pillar's prior and the external validation reported for the draft curve, so once they are used here the two checks are no longer independent. If the fade rate is estimated on outcomes that also feed the valuation, the circularity problem addressed in the circularity document recurs here, and the rate needs recovering from held-out prediction instead. Selection bias here has no analogue elsewhere in the model: which prospects have a professional record is not random, since a player who stays in junior or moves to an untracked European league drops out of the visible sample in a way that likely correlates with quality. And the translation crosswalk between league scoring rates was generated but never independently verified, with each downstream figure reading through it.</w:t>
      </w:r>
    </w:p>
    <w:p>
      <w:pPr>
        <w:pStyle w:val="Heading2"/>
        <w:spacing w:after="140" w:before="280"/>
      </w:pPr>
      <w:r>
        <w:t xml:space="preserve">Salary retention pricing, headline contribution two (designed, not built)</w:t>
      </w:r>
    </w:p>
    <w:p>
      <w:pPr>
        <w:spacing w:after="200"/>
        <w:jc w:val="left"/>
      </w:pPr>
      <w:r>
        <w:t xml:space="preserve">The CBA lets a club retain up to 50% of a traded player's salary and cap hit for the remainder of the contract, with a maximum of three retained contracts per team and an aggregate retained cap hit capped at 15% of the upper limit. Retention has a market price because it is a scarce, capped resource rather than something any club can supply without limit.</w:t>
      </w:r>
    </w:p>
    <w:p>
      <w:pPr>
        <w:spacing w:after="200"/>
        <w:jc w:val="left"/>
      </w:pPr>
      <w:r>
        <w:t xml:space="preserve">Three-team facilitator trades are the identification strategy: in these deals the middle team's only contribution is cap space to hold part of a retained contract, so what it receives back is close to a clean read on what retention costs. The design recovers that price from roughly 51 such deals. A 2025-26 amendment ended same-transaction double retention, which changes the window over which the price can be estimated.</w:t>
      </w:r>
    </w:p>
    <w:p>
      <w:pPr>
        <w:spacing w:after="200"/>
        <w:jc w:val="left"/>
      </w:pPr>
      <w:r>
        <w:t xml:space="preserve">The component is self-contained and could be built in parallel with anything else, and it has not been built. Roughly 51 deals is a small sample, so whatever it produces needs an interval rather than a single settled number.</w:t>
      </w:r>
    </w:p>
    <w:p>
      <w:pPr>
        <w:pStyle w:val="Heading2"/>
        <w:spacing w:after="140" w:before="280"/>
      </w:pPr>
      <w:r>
        <w:t xml:space="preserve">Trade clauses and the friction cost, headline contribution one (designed, not built)</w:t>
      </w:r>
    </w:p>
    <w:p>
      <w:pPr>
        <w:spacing w:after="200"/>
        <w:jc w:val="left"/>
      </w:pPr>
      <w:r>
        <w:t xml:space="preserve">This is the other original contribution and the only one still blocked on data rather than build time. Three clause types are in scope: a full no-trade clause, a modified or limited one carrying a list of teams the player will accept or block, and a no-movement clause, which additionally prevents assignment to the minors.</w:t>
      </w:r>
    </w:p>
    <w:p>
      <w:pPr>
        <w:spacing w:after="200"/>
        <w:jc w:val="left"/>
      </w:pPr>
      <w:r>
        <w:t xml:space="preserve">A clause has a price because it removes the acquiring club's outside options in any later negotiation, which hands the player leverage. This is a monopsony argument, a single-buyer-power argument. Roughly 100 to 130 players carry some form of protection at a given time, 10% to 15% of the league. No peer-reviewed estimate of a clause's dollar cost exists; practitioner estimates suggest 3% to 8% additional annual value or an extra year, and those are practitioner estimates, not a peer-reviewed finding. The intended design measures the cost as the residual in a model of annual value against projected player value, conditioning on clause presence.</w:t>
      </w:r>
    </w:p>
    <w:p>
      <w:pPr>
        <w:spacing w:after="200"/>
        <w:jc w:val="left"/>
      </w:pPr>
      <w:r>
        <w:t xml:space="preserve">Clause status is already attached to each contract-season, but nothing yet supports a revealed-preference estimate of what a clause costs, which is the live blocker. Forced-trade detection does not exist either: an upper bound is known, 53 of 205 clean player-only trades carry a clause-holder flag, but a clause being present is not proof it caused or blocked the trade. That detection has to exist before monopsony-driven trades can be their own back-test category rather than sitting unlabeled in the residual.</w:t>
      </w:r>
    </w:p>
    <w:p>
      <w:pPr>
        <w:spacing w:after="200"/>
        <w:jc w:val="left"/>
      </w:pPr>
      <w:r>
        <w:t xml:space="preserve">One eligibility rule that circulated early in scoping was wrong and has been corrected. The formula requiring seven accrued seasons and four years pro describes arbitration eligibility, not clause eligibility. The correct rule is Group 3 unrestricted free agent status, which requires being 27 or older, or having seven or more accrued professional seasons.</w:t>
      </w:r>
    </w:p>
    <w:p>
      <w:pPr>
        <w:pStyle w:val="Heading2"/>
        <w:spacing w:after="140" w:before="280"/>
      </w:pPr>
      <w:r>
        <w:t xml:space="preserve">The back-test design (designed, not built)</w:t>
      </w:r>
    </w:p>
    <w:p>
      <w:pPr>
        <w:spacing w:after="200"/>
        <w:jc w:val="left"/>
      </w:pPr>
      <w:r>
        <w:t xml:space="preserve">This is what everything else exists to enable. It is not built, but its design determines what each earlier pillar has to produce, so it needs to be legible first.</w:t>
      </w:r>
    </w:p>
    <w:p>
      <w:pPr>
        <w:spacing w:after="200"/>
        <w:jc w:val="left"/>
      </w:pPr>
      <w:r>
        <w:t xml:space="preserve">For each trade, the model computes the net present value of the assets sent against the assets received using only information available on the trade date, and treats the difference as its prediction of who won. Trades are compared as surplus ratios, value sent divided by value received, rather than as raw dollar differences, for the same reason surplus ratios absorb error in the market rate: both sides share the same rate, so a level error largely cancels out of the ratio.</w:t>
      </w:r>
    </w:p>
    <w:p>
      <w:pPr>
        <w:spacing w:after="200"/>
        <w:jc w:val="left"/>
      </w:pPr>
      <w:r>
        <w:t xml:space="preserve">Realized outcomes are measured with the independent Game Value metric described in the circularity document, because it is the only yardstick in the project that can break circularity for a systematic claim about mispricing. Grading a production-derived prediction with a production-derived outcome would test the model against itself. The residual is then decomposed into candidate explanations: genuine mispricing, team-fit premiums specific to one roster, private-information rents a club holds about its own player, and monopsony pricing under trade-protection clauses.</w:t>
      </w:r>
    </w:p>
    <w:p>
      <w:pPr>
        <w:spacing w:after="200"/>
        <w:jc w:val="left"/>
      </w:pPr>
      <w:r>
        <w:t xml:space="preserve">The efficient-market null is stated before the test runs: the market prices all three asset classes correctly on average, observed surplus differences are noise, and no systematic pattern exists by asset class, contract length, age, or competitive position. Stating it in advance is what makes a failure to reject it a finding rather than a result that looks like the project came up empty.</w:t>
      </w:r>
    </w:p>
    <w:p>
      <w:pPr>
        <w:spacing w:after="200"/>
        <w:jc w:val="left"/>
      </w:pPr>
      <w:r>
        <w:t xml:space="preserve">What is priceable today is itself informative. 69.1% of the 946 distinct trade events involve at least one draft pick. The cleanest fully priceable category is player-only trades, 205 events or 21.7% of the total, and 153 of those additionally need the mid-season allocation step.</w:t>
      </w:r>
    </w:p>
    <w:p>
      <w:pPr>
        <w:spacing w:after="200"/>
        <w:jc w:val="left"/>
      </w:pPr>
      <w:r>
        <w:t xml:space="preserve">Two constraints sit on the design. The power analysis behind it has not been re-run since most of the model was unbuilt, so a failure to reject the null cannot yet be read as evidence of efficiency; that has to be re-run once the pillars are further along. And selection bias here is structural rather than fixable, because a trade happens only when two clubs agree, so the trades that were not made are unobservable by construction.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2026-09-09T19:02:20.698Z</dcterms:created>
  <dcterms:modified xsi:type="dcterms:W3CDTF">2026-09-09T19:02:20.698Z</dcterms:modified>
</cp:coreProperties>
</file>

<file path=docProps/custom.xml><?xml version="1.0" encoding="utf-8"?>
<Properties xmlns="http://schemas.openxmlformats.org/officeDocument/2006/custom-properties" xmlns:vt="http://schemas.openxmlformats.org/officeDocument/2006/docPropsVTypes"/>
</file>