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keepNext/>
        <w:widowControl/>
        <w:spacing w:after="240"/>
      </w:pPr>
      <w:r>
        <w:rPr>
          <w:rFonts w:ascii="Calibri" w:hAnsi="Calibri"/>
          <w:b w:val="0"/>
          <w:color w:val="000000"/>
          <w:sz w:val="44"/>
        </w:rPr>
        <w:t>Circularity and Game Value</w:t>
      </w:r>
    </w:p>
    <w:p>
      <w:pPr>
        <w:pStyle w:val="Normal"/>
        <w:keepNext w:val="0"/>
        <w:widowControl/>
        <w:spacing w:after="200"/>
        <w:jc w:val="left"/>
      </w:pPr>
      <w:r>
        <w:rPr>
          <w:rFonts w:ascii="Calibri" w:hAnsi="Calibri"/>
          <w:b w:val="0"/>
          <w:color w:val="000000"/>
          <w:sz w:val="22"/>
        </w:rPr>
        <w:t>Game Value provides an independent check on the model's production estimates. It measures on-ice performance using NHL play-by-play and shift data, with no Bacon WAR inputs. The results support the estimates for forwards and offer more limited support for defencemen. They do not establish whether the model uses the correct dollar price of a win.</w:t>
      </w:r>
    </w:p>
    <w:p>
      <w:pPr>
        <w:pStyle w:val="Heading2"/>
        <w:keepNext/>
        <w:widowControl/>
        <w:spacing w:after="140" w:before="280"/>
      </w:pPr>
      <w:r>
        <w:rPr>
          <w:rFonts w:ascii="Calibri" w:hAnsi="Calibri"/>
          <w:b/>
          <w:color w:val="000000"/>
          <w:sz w:val="26"/>
        </w:rPr>
        <w:t>The circularity problem</w:t>
      </w:r>
    </w:p>
    <w:p>
      <w:pPr>
        <w:pStyle w:val="Normal"/>
        <w:keepNext w:val="0"/>
        <w:widowControl/>
        <w:spacing w:after="200"/>
        <w:jc w:val="left"/>
      </w:pPr>
      <w:r>
        <w:rPr>
          <w:rFonts w:ascii="Calibri" w:hAnsi="Calibri"/>
          <w:b w:val="0"/>
          <w:color w:val="000000"/>
          <w:sz w:val="22"/>
        </w:rPr>
        <w:t>The model estimates the price of a win by relating actual contract prices to players' Bacon WAR. It then uses that rate to put a dollar value on production. Checking the resulting valuations against another Bacon-based measure would leave both sides dependent on the same measure of performance. Agreement could reflect shared assumptions or errors. Game Value provides a separate benchmark for assessing the production estimate.</w:t>
      </w:r>
    </w:p>
    <w:p>
      <w:pPr>
        <w:pStyle w:val="Normal"/>
        <w:keepNext w:val="0"/>
        <w:widowControl/>
        <w:spacing w:after="200"/>
        <w:jc w:val="left"/>
      </w:pPr>
      <w:r>
        <w:rPr>
          <w:rFonts w:ascii="Calibri" w:hAnsi="Calibri"/>
          <w:b w:val="0"/>
          <w:color w:val="000000"/>
          <w:sz w:val="22"/>
        </w:rPr>
        <w:t>The distinction between trailing and projected production matters here. Trailing production is a weighted blend of a player's Bacon WAR from seasons before the valuation date, as explained in the baseline document. For future contract seasons, the model applies an aging curve to that figure, as explained in the projection document. The pricing document covers the market regression that converts production into dollars. The check here compares trailing production with subsequent performance; it does not test the dollar conversion itself.</w:t>
      </w:r>
    </w:p>
    <w:p>
      <w:pPr>
        <w:pStyle w:val="Heading2"/>
        <w:keepNext/>
        <w:widowControl/>
        <w:spacing w:after="140" w:before="280"/>
      </w:pPr>
      <w:r>
        <w:rPr>
          <w:rFonts w:ascii="Calibri" w:hAnsi="Calibri"/>
          <w:b/>
          <w:color w:val="000000"/>
          <w:sz w:val="26"/>
        </w:rPr>
        <w:t>How Game Value is calculated</w:t>
      </w:r>
    </w:p>
    <w:p>
      <w:pPr>
        <w:pStyle w:val="Normal"/>
        <w:keepNext w:val="0"/>
        <w:widowControl/>
        <w:spacing w:after="200"/>
        <w:jc w:val="left"/>
      </w:pPr>
      <w:r>
        <w:rPr>
          <w:rFonts w:ascii="Calibri" w:hAnsi="Calibri"/>
          <w:b w:val="0"/>
          <w:color w:val="000000"/>
          <w:sz w:val="22"/>
        </w:rPr>
        <w:t>Game Value uses the NHL's shot, penalty, and shift records. Shots are described by their location, type, and manpower situation. Shift records identify which skaters were on the ice when each event occurred.</w:t>
      </w:r>
    </w:p>
    <w:p>
      <w:pPr>
        <w:pStyle w:val="Normal"/>
        <w:keepNext w:val="0"/>
        <w:widowControl/>
        <w:spacing w:after="200"/>
        <w:jc w:val="left"/>
      </w:pPr>
      <w:r>
        <w:rPr>
          <w:rFonts w:ascii="Calibri" w:hAnsi="Calibri"/>
          <w:b w:val="0"/>
          <w:color w:val="000000"/>
          <w:sz w:val="22"/>
        </w:rPr>
        <w:t>Each shot receives an expected-goals value, or xG: its estimated probability of becoming a goal. A distant shot from a bad angle might have an xG of 0.03, meaning a 3% chance of scoring; a chance from the slot might have an xG of 0.25. These probabilities come from a logistic regression fitted to the play-by-play data. The model uses shot characteristics, including distance, angle, type, and manpower situation, to estimate a probability between zero and one.</w:t>
      </w:r>
    </w:p>
    <w:p>
      <w:pPr>
        <w:pStyle w:val="Normal"/>
        <w:keepNext w:val="0"/>
        <w:widowControl/>
        <w:spacing w:after="200"/>
        <w:jc w:val="left"/>
      </w:pPr>
      <w:r>
        <w:rPr>
          <w:rFonts w:ascii="Calibri" w:hAnsi="Calibri"/>
          <w:b w:val="0"/>
          <w:color w:val="000000"/>
          <w:sz w:val="22"/>
        </w:rPr>
        <w:t>The calculation also accounts for strength and score state. Strength state distinguishes even strength, power plays, and shorthanded play. Score state distinguishes teams that are leading, trailing, or tied. Trailing teams tend to press for goals and generate more shots, while leading teams tend to defend and generate fewer. At even strength, the score adjustment reduces the weight of chances created while trailing and increases it while leading, so these changes in approach do not distort the comparison.</w:t>
      </w:r>
    </w:p>
    <w:p>
      <w:pPr>
        <w:pStyle w:val="Normal"/>
        <w:keepNext w:val="0"/>
        <w:widowControl/>
        <w:spacing w:after="200"/>
        <w:jc w:val="left"/>
      </w:pPr>
      <w:r>
        <w:rPr>
          <w:rFonts w:ascii="Calibri" w:hAnsi="Calibri"/>
          <w:b w:val="0"/>
          <w:color w:val="000000"/>
          <w:sz w:val="22"/>
        </w:rPr>
        <w:t>Each adjusted chance is divided equally among the attacking skaters on the ice and charged equally to the defending skaters. The total credit and debit are equal, although the share per player differs when the teams have different numbers of skaters. Penalties are valued separately. Drawing a penalty earns the estimated net goal value of a power play; taking one incurs the same debit. That value is estimated from power-play goals minus shorthanded goals across penalties that produced a power play. A player's on-ice and penalty totals are added for each game. The result is Game Value, measured in goals.</w:t>
      </w:r>
    </w:p>
    <w:p>
      <w:pPr>
        <w:pStyle w:val="Normal"/>
        <w:keepNext w:val="0"/>
        <w:widowControl/>
        <w:spacing w:after="200"/>
        <w:jc w:val="left"/>
      </w:pPr>
      <w:r>
        <w:rPr>
          <w:rFonts w:ascii="Calibri" w:hAnsi="Calibri"/>
          <w:b w:val="0"/>
          <w:color w:val="000000"/>
          <w:sz w:val="22"/>
        </w:rPr>
        <w:t>The metric covers 11,870 games from 2017–18 through 2025–26. Two checks serve different purposes. First, the on-ice credits and debits sum to zero across the league. This checks the allocation arithmetic, but cannot establish whether the metric measures performance well. Second, team totals are compared with actual goal differential. Game Value explains 3.4% of the variation in goal differential between individual games, compared with about 7% for MoneyPuck's richer model. Individual results also depend on finishing, goaltending, and chance. Across full seasons, the relationship is stronger: Game Value explains 58.3% of the variation in team goal differential, without being fitted to those team-season results.</w:t>
      </w:r>
    </w:p>
    <w:p>
      <w:pPr>
        <w:pStyle w:val="Normal"/>
        <w:keepNext w:val="0"/>
        <w:widowControl/>
        <w:spacing w:after="200"/>
        <w:jc w:val="left"/>
      </w:pPr>
      <w:r>
        <w:rPr>
          <w:rFonts w:ascii="Calibri" w:hAnsi="Calibri"/>
          <w:b w:val="0"/>
          <w:color w:val="000000"/>
          <w:sz w:val="22"/>
        </w:rPr>
        <w:t>An equal split cannot distinguish a player who drove a shift from a linemate who contributed little. Raw Game Value therefore serves as an allocation measure and a validation benchmark, rather than a standalone estimate of individual player value.</w:t>
      </w:r>
    </w:p>
    <w:p>
      <w:pPr>
        <w:pStyle w:val="Heading2"/>
        <w:keepNext/>
        <w:widowControl/>
        <w:spacing w:after="140" w:before="280"/>
      </w:pPr>
      <w:r>
        <w:rPr>
          <w:rFonts w:ascii="Calibri" w:hAnsi="Calibri"/>
          <w:b/>
          <w:color w:val="000000"/>
          <w:sz w:val="26"/>
        </w:rPr>
        <w:t>Why the model retains Bacon WAR</w:t>
      </w:r>
    </w:p>
    <w:p>
      <w:pPr>
        <w:pStyle w:val="Normal"/>
        <w:keepNext w:val="0"/>
        <w:widowControl/>
        <w:spacing w:after="200"/>
        <w:jc w:val="left"/>
      </w:pPr>
      <w:r>
        <w:rPr>
          <w:rFonts w:ascii="Calibri" w:hAnsi="Calibri"/>
          <w:b w:val="0"/>
          <w:color w:val="000000"/>
          <w:sz w:val="22"/>
        </w:rPr>
        <w:t>An adjusted version, GV-adj, was tested as a possible replacement for Bacon WAR. It attempts to separate a player's contribution from the effects of teammates and opponents, reduce the weight given to finishing that may reflect luck, and account for deployment, such as offensive and defensive usage.</w:t>
      </w:r>
    </w:p>
    <w:p>
      <w:pPr>
        <w:pStyle w:val="Normal"/>
        <w:keepNext w:val="0"/>
        <w:widowControl/>
        <w:spacing w:after="200"/>
        <w:jc w:val="left"/>
      </w:pPr>
      <w:r>
        <w:rPr>
          <w:rFonts w:ascii="Calibri" w:hAnsi="Calibri"/>
          <w:b w:val="0"/>
          <w:color w:val="000000"/>
          <w:sz w:val="22"/>
        </w:rPr>
        <w:t>GV-adj recovered a substantial share of Bacon's explanatory power for forwards, but performed poorly for defencemen. This is consistent with a limitation of play-by-play data: much of defensive value comes from preventing chances, and an event record offers limited evidence about chances that never developed. The model therefore retains Bacon WAR for skater valuation.</w:t>
      </w:r>
    </w:p>
    <w:p>
      <w:pPr>
        <w:pStyle w:val="Heading2"/>
        <w:keepNext/>
        <w:widowControl/>
        <w:spacing w:after="140" w:before="280"/>
      </w:pPr>
      <w:r>
        <w:rPr>
          <w:rFonts w:ascii="Calibri" w:hAnsi="Calibri"/>
          <w:b/>
          <w:color w:val="000000"/>
          <w:sz w:val="26"/>
        </w:rPr>
        <w:t>Allocating value after a midseason trade</w:t>
      </w:r>
    </w:p>
    <w:p>
      <w:pPr>
        <w:pStyle w:val="Normal"/>
        <w:keepNext w:val="0"/>
        <w:widowControl/>
        <w:spacing w:after="200"/>
        <w:jc w:val="left"/>
      </w:pPr>
      <w:r>
        <w:rPr>
          <w:rFonts w:ascii="Calibri" w:hAnsi="Calibri"/>
          <w:b w:val="0"/>
          <w:color w:val="000000"/>
          <w:sz w:val="22"/>
        </w:rPr>
        <w:t>For a player traded during the season, the model must divide his full-season Bacon WAR between teams. A split based on games played assumes he contributed equally in every game, even if his performance changed after the trade.</w:t>
      </w:r>
    </w:p>
    <w:p>
      <w:pPr>
        <w:pStyle w:val="Normal"/>
        <w:keepNext w:val="0"/>
        <w:widowControl/>
        <w:spacing w:after="200"/>
        <w:jc w:val="left"/>
      </w:pPr>
      <w:r>
        <w:rPr>
          <w:rFonts w:ascii="Calibri" w:hAnsi="Calibri"/>
          <w:b w:val="0"/>
          <w:color w:val="000000"/>
          <w:sz w:val="22"/>
        </w:rPr>
        <w:t>Points offer more detail, but capture only part of what WAR measures. Defensive play and on-ice contributions can produce value without a point for the player. Dividing WAR by points would assign too much weight to games in which he scored and too little to contributions outside the scoresheet. Game Value uses shot quality and penalties to capture a broader share of that performance.</w:t>
      </w:r>
    </w:p>
    <w:p>
      <w:pPr>
        <w:pStyle w:val="Normal"/>
        <w:keepNext w:val="0"/>
        <w:widowControl/>
        <w:spacing w:after="200"/>
        <w:jc w:val="left"/>
      </w:pPr>
      <w:r>
        <w:rPr>
          <w:rFonts w:ascii="Calibri" w:hAnsi="Calibri"/>
          <w:b w:val="0"/>
          <w:color w:val="000000"/>
          <w:sz w:val="22"/>
        </w:rPr>
        <w:t>Game Value supplies a performance-based weight for the split. Its game records identify the team, allowing each stint's share of the season total to be calculated. Bacon's full-season WAR is then divided in those proportions. Game Value determines the allocation; Bacon still supplies the amount being allocated.</w:t>
      </w:r>
    </w:p>
    <w:p>
      <w:pPr>
        <w:pStyle w:val="Heading2"/>
        <w:keepNext/>
        <w:widowControl/>
        <w:spacing w:after="140" w:before="280"/>
      </w:pPr>
      <w:r>
        <w:rPr>
          <w:rFonts w:ascii="Calibri" w:hAnsi="Calibri"/>
          <w:b/>
          <w:color w:val="000000"/>
          <w:sz w:val="26"/>
        </w:rPr>
        <w:t>Results of the circularity check</w:t>
      </w:r>
    </w:p>
    <w:p>
      <w:pPr>
        <w:pStyle w:val="Normal"/>
        <w:keepNext w:val="0"/>
        <w:widowControl/>
        <w:spacing w:after="200"/>
        <w:jc w:val="left"/>
      </w:pPr>
      <w:r>
        <w:rPr>
          <w:rFonts w:ascii="Calibri" w:hAnsi="Calibri"/>
          <w:b w:val="0"/>
          <w:color w:val="000000"/>
          <w:sz w:val="22"/>
        </w:rPr>
        <w:t>The main check compares each player's trailing WAR, calculated before the season, with his performance that season according to GV-adj. Both are measured in wins, with no dollar conversion on the outcome side. Across 6,027 player-seasons, the correlation was 0.576. It ranged from 0.55 to 0.61 in each of the nine seasons, suggesting that no single season drove the result. Comparing the same trailing estimate with performance one season further ahead gave a correlation of 0.538.</w:t>
      </w:r>
    </w:p>
    <w:p>
      <w:pPr>
        <w:pStyle w:val="Normal"/>
        <w:keepNext w:val="0"/>
        <w:widowControl/>
        <w:spacing w:after="200"/>
        <w:jc w:val="left"/>
      </w:pPr>
      <w:r>
        <w:rPr>
          <w:rFonts w:ascii="Calibri" w:hAnsi="Calibri"/>
          <w:b w:val="0"/>
          <w:color w:val="000000"/>
          <w:sz w:val="22"/>
        </w:rPr>
        <w:t>Two checks used raw Game Value. One measured performance above a replacement-level baseline, the reference point used by Bacon WAR. The other retained the zero-sum allocation, in which player contributions sum to the team's total. Their correlations with trailing WAR were 0.609 and 0.564, respectively, close to the main result. Both were stable across seasons and weakened only slightly at the later horizon.</w:t>
      </w:r>
    </w:p>
    <w:p>
      <w:pPr>
        <w:pStyle w:val="Normal"/>
        <w:keepNext w:val="0"/>
        <w:widowControl/>
        <w:spacing w:after="200"/>
        <w:jc w:val="left"/>
      </w:pPr>
      <w:r>
        <w:rPr>
          <w:rFonts w:ascii="Calibri" w:hAnsi="Calibri"/>
          <w:b w:val="0"/>
          <w:color w:val="000000"/>
          <w:sz w:val="22"/>
        </w:rPr>
        <w:t>The main result was stronger for forwards, at 0.648, than for defencemen, at 0.302. That difference must accompany the pooled figure: the evidence for defencemen is limited. The replacement-based raw variant gave a higher defensive correlation, but its construction can inflate that figure, so it should not replace the main defensive result. The unrun raw Game Value extensions concern the separate contract-length test. The circularity checks described here are complete.</w:t>
      </w:r>
    </w:p>
    <w:p>
      <w:pPr>
        <w:pStyle w:val="Heading2"/>
        <w:keepNext/>
        <w:widowControl/>
        <w:spacing w:after="140" w:before="280"/>
      </w:pPr>
      <w:r>
        <w:rPr>
          <w:rFonts w:ascii="Calibri" w:hAnsi="Calibri"/>
          <w:b/>
          <w:color w:val="000000"/>
          <w:sz w:val="26"/>
        </w:rPr>
        <w:t>What the results establish</w:t>
      </w:r>
    </w:p>
    <w:p>
      <w:pPr>
        <w:pStyle w:val="Normal"/>
        <w:keepNext w:val="0"/>
        <w:widowControl/>
        <w:spacing w:after="200"/>
        <w:jc w:val="left"/>
      </w:pPr>
      <w:r>
        <w:rPr>
          <w:rFonts w:ascii="Calibri" w:hAnsi="Calibri"/>
          <w:b w:val="0"/>
          <w:color w:val="000000"/>
          <w:sz w:val="22"/>
        </w:rPr>
        <w:t>The results show that the model's trailing production estimate tracks a separately constructed measure of subsequent performance. This is evidence of convergent validity: two ways of measuring performance give broadly consistent results. No pass-or-fail threshold was set in advance, so the correlations are reported descriptively. Because the comparison is in wins, it cannot establish the correct dollar value of a win or show that contracts are mispriced.</w:t>
      </w:r>
    </w:p>
    <w:p>
      <w:pPr>
        <w:pStyle w:val="Normal"/>
        <w:keepNext w:val="0"/>
        <w:widowControl/>
        <w:spacing w:after="200"/>
        <w:jc w:val="left"/>
      </w:pPr>
      <w:r>
        <w:rPr>
          <w:rFonts w:ascii="Calibri" w:hAnsi="Calibri"/>
          <w:b w:val="0"/>
          <w:color w:val="000000"/>
          <w:sz w:val="22"/>
        </w:rPr>
        <w:t>Game Value uses no Bacon inputs and shares no valuation model with Bacon WAR. Both measures nevertheless describe the same underlying hockey games. Their agreement is useful evidence, but their separate construction does not make them independent observations of reality.</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color w:val="000000"/>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000000"/>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customStyle="1" w:styleId="Normal">
    <w:name w:val="Normal"/>
    <w:rPr>
      <w:color w:val="00000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2026-09-09T18:49:58.410Z</dcterms:created>
  <dcterms:modified xsi:type="dcterms:W3CDTF">2026-09-09T18:49:58.428Z</dcterms:modified>
  <dc:title>Circularity and Game Value</dc:title>
</cp:coreProperties>
</file>

<file path=docProps/custom.xml><?xml version="1.0" encoding="utf-8"?>
<Properties xmlns="http://schemas.openxmlformats.org/officeDocument/2006/custom-properties" xmlns:vt="http://schemas.openxmlformats.org/officeDocument/2006/docPropsVTypes"/>
</file>