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Player Pillar I: Data, Baseline, and Projection</w:t>
      </w:r>
    </w:p>
    <w:p>
      <w:pPr>
        <w:spacing w:after="200"/>
        <w:jc w:val="left"/>
      </w:pPr>
      <w:r>
        <w:t xml:space="preserve">This document covers how a player's future gets built: the data underneath every valuation, the trailing baseline that estimates current form, the aging curve that projects it forward, and the exit hazard that prices the chance a career ends before a projected season arrives. Each later document assumes what is described here.</w:t>
      </w:r>
    </w:p>
    <w:p>
      <w:pPr>
        <w:pStyle w:val="Heading2"/>
        <w:spacing w:after="140" w:before="280"/>
      </w:pPr>
      <w:r>
        <w:t xml:space="preserve">Data foundations, entity resolution, and the trade ledger</w:t>
      </w:r>
    </w:p>
    <w:p>
      <w:pPr>
        <w:spacing w:after="200"/>
        <w:jc w:val="left"/>
      </w:pPr>
      <w:r>
        <w:t xml:space="preserve">Four source datasets feed the model. A commercial contract database (PuckPedia) supplies each NHL contract's terms and a trade ledger. Player production comes from one published wins-above-replacement model (Patrick Bacon, hockeystats.com), used as the model's single value provider throughout. Trade-protection clause status, absent from the contract database, comes from a separate scrape. A self-built game-level database, covering 11,870 games from 2017-18 through 2025-26, supplies the independent Game Value metric described in Doc 1.</w:t>
      </w:r>
    </w:p>
    <w:p>
      <w:pPr>
        <w:spacing w:after="200"/>
        <w:jc w:val="left"/>
      </w:pPr>
      <w:r>
        <w:t xml:space="preserve">Three identifiers thread these sources together, and each does a different job. PuckPedia's </w:t>
      </w:r>
      <w:r>
        <w:rPr>
          <w:i/>
          <w:iCs/>
        </w:rPr>
        <w:t xml:space="preserve">player_id</w:t>
      </w:r>
      <w:r>
        <w:t xml:space="preserve"> is the canonical entity spine, the identifier each other table resolves to. </w:t>
      </w:r>
      <w:r>
        <w:rPr>
          <w:i/>
          <w:iCs/>
        </w:rPr>
        <w:t xml:space="preserve">puckpedia_ep_id</w:t>
      </w:r>
      <w:r>
        <w:t xml:space="preserve"> is the cross-source join key used specifically to attach clause data. </w:t>
      </w:r>
      <w:r>
        <w:rPr>
          <w:i/>
          <w:iCs/>
        </w:rPr>
        <w:t xml:space="preserve">nhl_id</w:t>
      </w:r>
      <w:r>
        <w:t xml:space="preserve"> routes a player into the Game Value tables, which key on the NHL's own identifiers rather than PuckPedia's. Three keys exist rather than one because the sources were never built to talk to each other; each key is the one that actually survives the join to its source.</w:t>
      </w:r>
    </w:p>
    <w:p>
      <w:pPr>
        <w:spacing w:after="200"/>
        <w:jc w:val="left"/>
      </w:pPr>
      <w:r>
        <w:t xml:space="preserve">The trade ledger records 980 export rows, which collapse into 946 distinct trade events. The gap between those two numbers is the three-team facilitation mechanic: the NHL does not permit a genuine three-team trade, so what looks like one is actually two paired two-team deals executed together, and the export carries a row for each leg. Time coverage starts in 2018, which is a data-availability limit in the source export, not a design choice; contract counts thin sharply before it (see Doc 3, §3.2).</w:t>
      </w:r>
    </w:p>
    <w:p>
      <w:pPr>
        <w:spacing w:after="200"/>
        <w:jc w:val="left"/>
      </w:pPr>
      <w:r>
        <w:t xml:space="preserve">Clause data required its own scrape because the contract database does not carry it. The scrape used Capspace, cross-checked against Capwages, not CapFriendly, which is an unrelated contingency-trade dataset and should not be confused with either. The scrape reaches a 97.7% hit rate against target players and 93.4% agreement with the cross-check source; the remaining disagreements are outstanding for hand resolution.</w:t>
      </w:r>
    </w:p>
    <w:p>
      <w:pPr>
        <w:spacing w:after="200"/>
        <w:jc w:val="left"/>
      </w:pPr>
      <w:r>
        <w:t xml:space="preserve">Name collisions required manual handling. Four players share a name with another player in the data and needed disambiguation by hand: Sebastian Aho, Elias Pettersson, Connor Murphy, and Josh Anderson. A separate problem runs the other way: two cases where distinct players merged under one name in the source data and were left unmatched rather than guessed at.</w:t>
      </w:r>
    </w:p>
    <w:p>
      <w:pPr>
        <w:spacing w:after="200"/>
        <w:jc w:val="left"/>
      </w:pPr>
      <w:r>
        <w:t xml:space="preserve">### Open and untested</w:t>
      </w:r>
    </w:p>
    <w:p>
      <w:pPr>
        <w:spacing w:after="200"/>
        <w:jc w:val="left"/>
      </w:pPr>
      <w:r>
        <w:t xml:space="preserve">No completeness validation has been run on the trade ledger against any independent source. A contingency dataset exists that could support this spot-check, and it has not yet been used for it.</w:t>
      </w:r>
    </w:p>
    <w:p>
      <w:pPr>
        <w:spacing w:after="200"/>
        <w:jc w:val="left"/>
      </w:pPr>
      <w:r>
        <w:rPr>
          <w:i/>
          <w:iCs/>
        </w:rPr>
        <w:t xml:space="preserve">WAR_with_age.csv</w:t>
      </w:r>
      <w:r>
        <w:t xml:space="preserve"> carried </w:t>
      </w:r>
      <w:r>
        <w:rPr>
          <w:i/>
          <w:iCs/>
        </w:rPr>
        <w:t xml:space="preserve">nhl_id</w:t>
      </w:r>
      <w:r>
        <w:t xml:space="preserve"> pollution: 23 IDs, 217 rows, and 47 players affected before correction. The correction is in place, and it is documented here rather than left silent.</w:t>
      </w:r>
    </w:p>
    <w:p>
      <w:pPr>
        <w:spacing w:after="200"/>
        <w:jc w:val="left"/>
      </w:pPr>
      <w:r>
        <w:rPr>
          <w:i/>
          <w:iCs/>
        </w:rPr>
        <w:t xml:space="preserve">Goalies_WAR</w:t>
      </w:r>
      <w:r>
        <w:t xml:space="preserve"> carries per-team split rows that must be summed within a name and season to get a goalie's true total. This is a live trap for anyone re-deriving goalie numbers from the raw table without knowing to sum first.</w:t>
      </w:r>
    </w:p>
    <w:p>
      <w:pPr>
        <w:pStyle w:val="Heading2"/>
        <w:spacing w:after="140" w:before="280"/>
      </w:pPr>
      <w:r>
        <w:t xml:space="preserve">Building a player's baseline: trailing production and mean reversion</w:t>
      </w:r>
    </w:p>
    <w:p>
      <w:pPr>
        <w:spacing w:after="200"/>
        <w:jc w:val="left"/>
      </w:pPr>
      <w:r>
        <w:t xml:space="preserve">Each valuation needs a starting estimate of how well a player is playing right now. Raw production from a single season is not trusted on its own, because a player's output fluctuates year to year for reasons that have nothing to do with his underlying talent, the ordinary hot-and-cold-streak problem. The model instead uses a weighted average of the two seasons before the valuation date: 60% weight on the season immediately before (t-1) and 40% on the season before that (t-2). If only one qualifying season exists, it is used alone. A season only counts toward this average if the player logged at least 10 games in it, which screens out brief call-ups.</w:t>
      </w:r>
    </w:p>
    <w:p>
      <w:pPr>
        <w:spacing w:after="200"/>
        <w:jc w:val="left"/>
      </w:pPr>
      <w:r>
        <w:t xml:space="preserve">Two seasons is still a small sample, so before any forward projection happens, the model builds a second, independent estimate of where a player of this type and age typically sits, and pulls the trailing baseline partway toward it. That typical level comes from a comparable-player search. Each qualifying player-season is reduced to an eight-dimension profile: the share of production coming from each of five style components (even-strength offence, even-strength defence, power play, penalty kill, and shooting), average ice time, smoothed production level, and recent trend. Usage, level, and trend each carry a weight of 25%, and the five style components split the remaining 25% equally. That 25/25/25/25 weighting is an assumption; it was never varied in testing.</w:t>
      </w:r>
    </w:p>
    <w:p>
      <w:pPr>
        <w:spacing w:after="200"/>
        <w:jc w:val="left"/>
      </w:pPr>
      <w:r>
        <w:t xml:space="preserve">The comparable search has no shortlist or cutoff. Each candidate at the same position and the same age in whole years receives a weight that decreases with its distance from the target player, so a near-identical comparable counts heavily and a dissimilar one counts for almost nothing. The decay rate is not chosen by hand: it comes from the median pairwise distance among thousands of random same-position pairs in the data, so a candidate closer than a typical pair counts a lot and one further away counts little.</w:t>
      </w:r>
    </w:p>
    <w:p>
      <w:pPr>
        <w:spacing w:after="200"/>
        <w:jc w:val="left"/>
      </w:pPr>
      <w:r>
        <w:t xml:space="preserve">Matching happens at a single age rather than across a whole career, and this is a survivorship defence, not a technicality. A pool built from complete career trajectories would only admit players whose careers ran long enough to have a full trajectory to profile, so a struggling 22-year-old's typical level would get pulled toward the level of 22-year-olds who went on to have long careers. Matching at a single age instead makes any player who logged a qualifying season at 22 eligible, including one out of the league by 25.</w:t>
      </w:r>
    </w:p>
    <w:p>
      <w:pPr>
        <w:spacing w:after="200"/>
        <w:jc w:val="left"/>
      </w:pPr>
      <w:r>
        <w:t xml:space="preserve">Four design choices were each tested on and off, in every combination, against held-out players: smoothing the baseline, matching at a single age versus across whole career shape, applying mean reversion, and adding a durability trait. Smoothing and age matching each earned their place by improving held-out error; durability added nothing and was dropped.</w:t>
      </w:r>
    </w:p>
    <w:p>
      <w:pPr>
        <w:spacing w:after="200"/>
        <w:jc w:val="left"/>
      </w:pPr>
      <w:r>
        <w:t xml:space="preserve">The blend is one weighted average: lambda applied to the player's own smoothed level, plus one minus lambda applied to the age-and-style comparable norm. Lambda was estimated by player-split cross-validation at 0.55, and it was re-confirmed rather than carried forward on trust after the curve rebuild that followed the Stage 3 rate change (Doc 3, §3.2).</w:t>
      </w:r>
    </w:p>
    <w:p>
      <w:pPr>
        <w:spacing w:after="200"/>
        <w:jc w:val="left"/>
      </w:pPr>
      <w:r>
        <w:t xml:space="preserve">### Open and untested</w:t>
      </w:r>
    </w:p>
    <w:p>
      <w:pPr>
        <w:spacing w:after="200"/>
        <w:jc w:val="left"/>
      </w:pPr>
      <w:r>
        <w:t xml:space="preserve">The 60/40 trailing weight is not cross-validated. A 50/30/20 alternative beats it in each bootstrap resample tested, and it has not been adopted. Adopting it would require building a fallback ladder for players with less history, re-cross-validating lambda jointly with the new weight, and refitting the NPV spines plus the hardcoded constants in the draft-curve script, so this is a real piece of follow-on work, not a small tweak.</w:t>
      </w:r>
    </w:p>
    <w:p>
      <w:pPr>
        <w:spacing w:after="200"/>
        <w:jc w:val="left"/>
      </w:pPr>
      <w:r>
        <w:t xml:space="preserve">The 25/25/25/25 profile weighting has never been varied in testing.</w:t>
      </w:r>
    </w:p>
    <w:p>
      <w:pPr>
        <w:spacing w:after="200"/>
        <w:jc w:val="left"/>
      </w:pPr>
      <w:r>
        <w:t xml:space="preserve">Not previously logged anywhere canonical: lambda is applied universally to each player, with no test of whether it should vary by player quality or type.</w:t>
      </w:r>
    </w:p>
    <w:p>
      <w:pPr>
        <w:spacing w:after="200"/>
        <w:jc w:val="left"/>
      </w:pPr>
      <w:r>
        <w:t xml:space="preserve">A specific population, referred to internally as </w:t>
      </w:r>
      <w:r>
        <w:rPr>
          <w:i/>
          <w:iCs/>
        </w:rPr>
        <w:t xml:space="preserve">t2_only</w:t>
      </w:r>
      <w:r>
        <w:t xml:space="preserve">, materializes at 61.7% weight on the t-2 season rather than the intended 60/40 split, adding roughly $220 million of value across the sample that should not be there. The correct fix is a gate at 0.617 rather than a staleness discount, and that fix is designed but not yet implemented.</w:t>
      </w:r>
    </w:p>
    <w:p>
      <w:pPr>
        <w:pStyle w:val="Heading2"/>
        <w:spacing w:after="140" w:before="280"/>
      </w:pPr>
      <w:r>
        <w:t xml:space="preserve">Projecting forward with the aging curve</w:t>
      </w:r>
    </w:p>
    <w:p>
      <w:pPr>
        <w:spacing w:after="200"/>
        <w:jc w:val="left"/>
      </w:pPr>
      <w:r>
        <w:t xml:space="preserve">From the mean-reversion baseline, future contract seasons are projected using an aging curve, which is the age-conditional pattern of how production changes from one season to the next. The comparable weights from the baseline step are reused directly: the model takes that same weighted set of comparable players, averages what their production actually did from each age to the next, and shrinks the result toward the broad position-and-age pattern the same way the level estimate does.</w:t>
      </w:r>
    </w:p>
    <w:p>
      <w:pPr>
        <w:spacing w:after="200"/>
        <w:jc w:val="left"/>
      </w:pPr>
      <w:r>
        <w:t xml:space="preserve">The curve is built from within-player change, meaning it tracks the same player's own season-over-season movement, rather than a cross-sectional comparison of, for example, the average 25-year-old against the average 26-year-old treated as two separate groups. That distinction is a survivorship defence, not a technicality: if weaker players tend to leave the league by 26, the average 26-year-old will look better than any individual 25-year-old actually became, purely from who dropped out of the sample. A within-player trajectory requires the same player to appear in both seasons, so the curve says nothing about the players who did not, players who left the league; that margin is priced separately by the exit hazard (below). What neither component reaches is a player whose production collapses but who stays in the league, covered next.</w:t>
      </w:r>
    </w:p>
    <w:p>
      <w:pPr>
        <w:spacing w:after="200"/>
        <w:jc w:val="left"/>
      </w:pPr>
      <w:r>
        <w:t xml:space="preserve">Validation runs on held-out careers against the simplest alternative, holding a player flat at his current level. The curve cuts average projection error by roughly 15% one year out and 18% six years out, and the advantage grows with horizon because a flat, no-change assumption degrades faster the further out it is asked to hold.</w:t>
      </w:r>
    </w:p>
    <w:p>
      <w:pPr>
        <w:spacing w:after="200"/>
        <w:jc w:val="left"/>
      </w:pPr>
      <w:r>
        <w:t xml:space="preserve">### Players currently below replacement level</w:t>
      </w:r>
    </w:p>
    <w:p>
      <w:pPr>
        <w:spacing w:after="200"/>
        <w:jc w:val="left"/>
      </w:pPr>
      <w:r>
        <w:t xml:space="preserve">One population needed its own design decision: players whose trailing baseline sits below replacement level, meaning below what a freely available call-up would provide, a negative starting number. A standard aging-curve multiplier is unstable here, because multiplying an already-negative number by a decay factor can push the projection in whichever direction the arithmetic happens to point. Take a player with a −0.5-win baseline: if the curve says players his age decline to 90% of their prior level, multiplying gives −0.45, which reads as an improvement. The sign of the baseline flips what the multiplier means, and a rise does the same thing in reverse.</w:t>
      </w:r>
    </w:p>
    <w:p>
      <w:pPr>
        <w:spacing w:after="200"/>
        <w:jc w:val="left"/>
      </w:pPr>
      <w:r>
        <w:t xml:space="preserve">Three approaches were tested. The first attempt froze any weak baseline flat, holding anything below a low threshold at its current level rather than projecting it; this was rejected because it discarded information for players with mildly positive but still low production, who received no aging treatment for no principled reason. The second attempt reflected the curve, applying the aging multiplier in reverse for negative baselines, so a declining curve pushed an already-struggling player further down. This beat the freeze approach at a one-year horizon by roughly 2%, but it inverted at longer horizons, running 4% to 8% worse than freezing by the third year out. Testing this approach produced a finding worth keeping on its own: among below-replacement players who stayed in the league, 93% improved the next season and 81% finished back above replacement, with the group average moving from roughly −0.22 to +0.32 wins.</w:t>
      </w:r>
    </w:p>
    <w:p>
      <w:pPr>
        <w:spacing w:after="200"/>
        <w:jc w:val="left"/>
      </w:pPr>
      <w:r>
        <w:t xml:space="preserve">The chosen approach is reversion to replacement. The valuation season itself keeps the player's actual measured baseline, preserving internal consistency with the observed-season valuation, but each projected future season is set to exactly replacement level rather than extrapolated from a negative number. This rule beat both prior approaches at each horizon in an out-of-sample validation covering 2018 through 2022.</w:t>
      </w:r>
    </w:p>
    <w:p>
      <w:pPr>
        <w:spacing w:after="200"/>
        <w:jc w:val="left"/>
      </w:pPr>
      <w:r>
        <w:t xml:space="preserve">### Open and untested</w:t>
      </w:r>
    </w:p>
    <w:p>
      <w:pPr>
        <w:spacing w:after="200"/>
        <w:jc w:val="left"/>
      </w:pPr>
      <w:r>
        <w:t xml:space="preserve">The guard rail on the projection multiplier exists on one side only. The upper multiplier is capped at +200%, but there is no lower bound. When a curve's starting level sits near zero, multipliers can go negative: 418 of 1,097 cases in synthetic testing, the most extreme at −5.98, which asserts a player will produce six times his output in the opposite direction. Live exposure in the actual contract panel is smaller but real: 67 contract-seasons across 41 contracts, with the worst real case at −1.61, concentrated in exactly the below-replacement population the back-test depends on. This is known and unfixed, and it belongs in any write-up rather than left for a reader to find.</w:t>
      </w:r>
    </w:p>
    <w:p>
      <w:pPr>
        <w:spacing w:after="200"/>
        <w:jc w:val="left"/>
      </w:pPr>
      <w:r>
        <w:t xml:space="preserve">The curve is fit on the full panel, including seasons after any given valuation date. The identification consequences of this are addressed in Doc 5, §5.1.</w:t>
      </w:r>
    </w:p>
    <w:p>
      <w:pPr>
        <w:pStyle w:val="Heading2"/>
        <w:spacing w:after="140" w:before="280"/>
      </w:pPr>
      <w:r>
        <w:t xml:space="preserve">Exit hazard: pricing the chance a career ends</w:t>
      </w:r>
    </w:p>
    <w:p>
      <w:pPr>
        <w:spacing w:after="200"/>
        <w:jc w:val="left"/>
      </w:pPr>
      <w:r>
        <w:t xml:space="preserve">A standalone engine carries one of the model's two discount factors and defines the quality tiers used elsewhere in the pillar. It measures the probability that a player's career ends before a projected future season arrives, and it multiplies against the aging curve's projection rather than being folded into it, since exit and performance decline are different events that need separate treatment.</w:t>
      </w:r>
    </w:p>
    <w:p>
      <w:pPr>
        <w:spacing w:after="200"/>
        <w:jc w:val="left"/>
      </w:pPr>
      <w:r>
        <w:t xml:space="preserve">Four quality tiers, defined by trailing wins above replacement, structure the hazard table: star at 3 wins or more, regular between 1 and 3, fringe between 0 and 1, and below-replacement under 0. These bands are project-defined and interpretable rather than fitted or statistically optimized, chosen for legibility over precision. The same tiers are also used in the RFA retention gate (Doc 3, §3.1), and that consistency matters because it means the same definition of player quality governs both when the model expects a career to end and when it expects a club to walk away from a player.</w:t>
      </w:r>
    </w:p>
    <w:p>
      <w:pPr>
        <w:spacing w:after="200"/>
        <w:jc w:val="left"/>
      </w:pPr>
      <w:r>
        <w:t xml:space="preserve">Observed exit rates by tier show the pattern a hockey-literate reader would expect: established players, meaning stars and regulars, exit the league at close to 1% a year. Marginal players, fringe and below-replacement, exit at 10% to 19% a year. The hazard compounds sharply for any player past his mid-thirties, regardless of tier.</w:t>
      </w:r>
    </w:p>
    <w:p>
      <w:pPr>
        <w:spacing w:after="200"/>
        <w:jc w:val="left"/>
      </w:pPr>
      <w:r>
        <w:t xml:space="preserve">### Open and untested</w:t>
      </w:r>
    </w:p>
    <w:p>
      <w:pPr>
        <w:spacing w:after="200"/>
        <w:jc w:val="left"/>
      </w:pPr>
      <w:r>
        <w:t xml:space="preserve">There is no documented statistical justification for the 0/1/3 win boundaries. If asked why not 0.5, 1.5, and 2.5 instead, the honest answer is interpretability, not a fitted optimum.</w:t>
      </w:r>
    </w:p>
    <w:p>
      <w:pPr>
        <w:spacing w:after="200"/>
        <w:jc w:val="left"/>
      </w:pPr>
      <w:r>
        <w:t xml:space="preserve">A different star threshold, 3.5 wins rather than 3, is used in the exploratory star-and-RFA analysis in Doc 5, §5.2, and that threshold is logged as arbitrary and unswept there. The project currently runs on two different star definitions at once, and any document using either one should say which.</w:t>
      </w:r>
    </w:p>
    <w:p>
      <w:pPr>
        <w:spacing w:after="200"/>
        <w:jc w:val="left"/>
      </w:pPr>
      <w:r>
        <w:t xml:space="preserve">Exit risk is understated for below-replacement players specifically. The 93% recovery rate reported above is conditional on a player reappearing in the data the following season, and exit from the league is precisely the event that would remove a player from that sample. A below-replacement player who leaves and does not come back never gets to register as a non-recovery.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2026-09-09T17:09:28.580Z</dcterms:created>
  <dcterms:modified xsi:type="dcterms:W3CDTF">2026-09-09T17:09:28.580Z</dcterms:modified>
</cp:coreProperties>
</file>

<file path=docProps/custom.xml><?xml version="1.0" encoding="utf-8"?>
<Properties xmlns="http://schemas.openxmlformats.org/officeDocument/2006/custom-properties" xmlns:vt="http://schemas.openxmlformats.org/officeDocument/2006/docPropsVTypes"/>
</file>