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Player Pillar I: Data, Production, and Aging</w:t>
      </w:r>
    </w:p>
    <w:p>
      <w:pPr>
        <w:spacing w:after="200"/>
        <w:jc w:val="left"/>
      </w:pPr>
      <w:r>
        <w:t>A player's contract value starts with an estimate of what he will produce. For skaters, the model uses Bacon's wins above replacement (WAR), projects that production through the remaining contract, and accounts separately for the chance that the player leaves the NHL. The dollar price and contract costs enter in Document 3.</w:t>
      </w:r>
    </w:p>
    <w:p>
      <w:pPr>
        <w:spacing w:after="200"/>
        <w:jc w:val="left"/>
      </w:pPr>
      <w:r>
        <w:t>The starting estimate uses completed seasons before the valuation season. That keeps the player's current form out of his own baseline. It does not make the whole model a historical forecast: the aging curves and exit probabilities are estimated using a shared historical sample, including seasons after some valuation dates.</w:t>
      </w:r>
    </w:p>
    <w:p>
      <w:pPr>
        <w:pStyle w:val="Heading2"/>
        <w:keepNext/>
        <w:spacing w:after="140" w:before="280"/>
      </w:pPr>
      <w:r>
        <w:t>1. Joining the Data</w:t>
      </w:r>
    </w:p>
    <w:p>
      <w:pPr>
        <w:spacing w:after="200"/>
        <w:jc w:val="left"/>
      </w:pPr>
      <w:r>
        <w:t>The player model combines performance records, ages, and contract terms from different sources. Their identifiers do not line up consistently, so names and positions help connect the records. Accents and spelling variants are standardized, and known same-name players need separate treatment. If one player's performance has been merged with another's in the source, that record cannot safely be priced.</w:t>
      </w:r>
    </w:p>
    <w:p>
      <w:pPr>
        <w:spacing w:after="200"/>
        <w:jc w:val="left"/>
      </w:pPr>
      <w:r>
        <w:t>Team splits are a different problem. A traded player's two team records belong to one season and must be added together. Keeping only one understates his games and production. The code aggregates these rows and stops if their combined games exceed a full season, which can indicate that two players have been combined.</w:t>
      </w:r>
    </w:p>
    <w:p>
      <w:pPr>
        <w:spacing w:after="200"/>
        <w:jc w:val="left"/>
      </w:pPr>
      <w:r>
        <w:t>The age join also checks that an identifier agrees with the player's name. An audit found identifiers attached to more than one player. That guard protects subsequent joins, but it does not establish that every age already used to fit the aging and exit models is correct. The possible effect of those earlier records remains an open data check.</w:t>
      </w:r>
    </w:p>
    <w:p>
      <w:pPr>
        <w:spacing w:after="200"/>
        <w:jc w:val="left"/>
      </w:pPr>
      <w:r>
        <w:t>These distinctions affect coverage. No usable performance history means no player-pillar estimate, not zero value. A rookie may have substantial value that belongs in the prospect model. Treating missing information as replacement-level production would assign a price without evidence.</w:t>
      </w:r>
    </w:p>
    <w:p>
      <w:pPr>
        <w:pStyle w:val="Heading2"/>
        <w:keepNext/>
        <w:spacing w:after="140" w:before="280"/>
      </w:pPr>
      <w:r>
        <w:t>2. The Starting Production Estimate</w:t>
      </w:r>
    </w:p>
    <w:p>
      <w:pPr>
        <w:spacing w:after="200"/>
        <w:jc w:val="left"/>
      </w:pPr>
      <w:r>
        <w:t>The skater baseline gives 60% weight to the previous season and 40% to the season before it. A season qualifies with at least ten games. If only one of those two seasons qualifies, it supplies the whole baseline. If neither qualifies, the player is unpriced.</w:t>
      </w:r>
    </w:p>
    <w:p>
      <w:pPr>
        <w:spacing w:after="200"/>
        <w:jc w:val="left"/>
      </w:pPr>
      <w:r>
        <w:t>Production in the shortened 2019-20 and 2020-21 seasons is scaled to an 82-game schedule before the baseline is calculated. This corrects for the league playing fewer games. It does not turn an injured player's partial season into a full season of production, so missed games still lower the starting estimate.</w:t>
      </w:r>
    </w:p>
    <w:p>
      <w:pPr>
        <w:spacing w:after="200"/>
        <w:jc w:val="left"/>
      </w:pPr>
      <w:r>
        <w:t>The baseline uses total production. The aging model uses production per 82 games to estimate how a comparable player's performance changes with age. Its projected change is then applied to the original baseline. Those two steps separate the level being priced from the shape of the aging path.</w:t>
      </w:r>
    </w:p>
    <w:p>
      <w:pPr>
        <w:pStyle w:val="Heading2"/>
        <w:keepNext/>
        <w:spacing w:after="140" w:before="280"/>
      </w:pPr>
      <w:r>
        <w:t>3. How the Aging Curve Works</w:t>
      </w:r>
    </w:p>
    <w:p>
      <w:pPr>
        <w:spacing w:after="200"/>
        <w:jc w:val="left"/>
      </w:pPr>
      <w:r>
        <w:t>The model compares a skater with players of the same position at the same age. Similarity depends on playing style, ice time per game, recent production, and recent trajectory. The style measures describe how his value is divided among even-strength offence, even-strength defence, power-play play, penalty killing, and shooting.</w:t>
      </w:r>
    </w:p>
    <w:p>
      <w:pPr>
        <w:spacing w:after="200"/>
        <w:jc w:val="left"/>
      </w:pPr>
      <w:r>
        <w:t>Closer matches receive more weight. The model uses a weighted pool rather than choosing a fixed number of nearest players. When the comparable evidence is thin, it pulls the estimate toward the broader position-and-age pattern. It also pulls the starting level inside the aging model toward the norm for comparable players at that age: 55% comes from the player's smoothed production and 45% from that norm. This is separate from the raw 60/40 baseline used to price the contract.</w:t>
      </w:r>
    </w:p>
    <w:p>
      <w:pPr>
        <w:spacing w:after="200"/>
        <w:jc w:val="left"/>
      </w:pPr>
      <w:r>
        <w:t>Age changes are measured within players. Comparing the average 24-year-old with the average 32-year-old would mix aging with selection: the older group contains the players good enough to remain in the league. Following changes within a career reduces that problem, although it still describes players observed at both ages. Exit risk therefore needs its own estimate.</w:t>
      </w:r>
    </w:p>
    <w:p>
      <w:pPr>
        <w:spacing w:after="200"/>
        <w:jc w:val="left"/>
      </w:pPr>
      <w:r>
        <w:t>For a historical valuation, the comparable profile comes from the player's trailing age, first trying the previous season and then the one before it. The resulting path is scaled so the valuation season starts at the raw baseline. If the curve then falls by 15%, the production estimate falls by 15% too.</w:t>
      </w:r>
    </w:p>
    <w:p>
      <w:pPr>
        <w:spacing w:after="200"/>
        <w:jc w:val="left"/>
      </w:pPr>
      <w:r>
        <w:t>The player's own record receives zero weight in the direct comparable pool. However, the pooled age profiles used to stabilize that estimate are built from the full panel, including his record. His later seasons can therefore enter indirectly through those averages. Excluding him from the direct pool does not remove all use of his future information.</w:t>
      </w:r>
    </w:p>
    <w:p>
      <w:pPr>
        <w:pStyle w:val="Heading2"/>
        <w:keepNext/>
        <w:spacing w:after="140" w:before="280"/>
      </w:pPr>
      <w:r>
        <w:t>4. Where the Projection Uses a Rule Instead</w:t>
      </w:r>
    </w:p>
    <w:p>
      <w:pPr>
        <w:spacing w:after="200"/>
        <w:jc w:val="left"/>
      </w:pPr>
      <w:r>
        <w:t>Dividing by a curve level near zero can produce an extreme growth rate. If the curve's starting level is 0.25 wins or less, the model holds the baseline flat. It also uses a flat path when no usable curve is available. Otherwise, the curve multiplier is bounded between zero and three. Beyond the observed age range, it holds the last available multiplier.</w:t>
      </w:r>
    </w:p>
    <w:p>
      <w:pPr>
        <w:spacing w:after="200"/>
        <w:jc w:val="left"/>
      </w:pPr>
      <w:r>
        <w:t>A negative baseline gets separate treatment. The valuation season keeps that negative estimate; later seasons move to zero WAR, or replacement level. This prevents a declining ratio from making a negative player appear to improve through multiplication, or from projecting increasingly negative production far into the future.</w:t>
      </w:r>
    </w:p>
    <w:p>
      <w:pPr>
        <w:spacing w:after="200"/>
        <w:jc w:val="left"/>
      </w:pPr>
      <w:r>
        <w:t>The supporting rebound evidence concerns players who continued playing. It cannot show what happened to those who disappeared from the data, and it does not remove their exit risk. Zero WAR also does not mean zero dollar value: the pricing equation assigns a positive price to replacement-level production.</w:t>
      </w:r>
    </w:p>
    <w:p>
      <w:pPr>
        <w:pStyle w:val="Heading2"/>
        <w:keepNext/>
        <w:spacing w:after="140" w:before="280"/>
      </w:pPr>
      <w:r>
        <w:t>5. Leaving the NHL</w:t>
      </w:r>
    </w:p>
    <w:p>
      <w:pPr>
        <w:spacing w:after="200"/>
        <w:jc w:val="left"/>
      </w:pPr>
      <w:r>
        <w:t>The exit model estimates the chance that a player with at least ten games in one season has no NHL performance record in the next. Any next-season appearance counts as continued participation. A player who misses a season and later returns still counts as an exit in that transition; later returns are recorded separately.</w:t>
      </w:r>
    </w:p>
    <w:p>
      <w:pPr>
        <w:spacing w:after="200"/>
        <w:jc w:val="left"/>
      </w:pPr>
      <w:r>
        <w:t>The estimate uses transitions from 2018 through 2024. It groups players by age and by that season's production: negative WAR, zero to one win, one to three wins, and at least three wins. A statistical model combines the age and quality effects, smoothing probabilities that would otherwise depend on a few departures in small groups. The available test did not establish a need for separate age effects within every quality group; it did not prove those differences are absent.</w:t>
      </w:r>
    </w:p>
    <w:p>
      <w:pPr>
        <w:spacing w:after="200"/>
        <w:jc w:val="left"/>
      </w:pPr>
      <w:r>
        <w:t>For a projected contract year, the lookup uses the preceding year's projected age and quality. Annual continuation probabilities are multiplied to get the chance of reaching that year. The valuation season starts with survival equal to one.</w:t>
      </w:r>
    </w:p>
    <w:p>
      <w:pPr>
        <w:spacing w:after="200"/>
        <w:jc w:val="left"/>
      </w:pPr>
      <w:r>
        <w:t>This is an approximation to continued NHL participation, not a model of injury, retirement, and temporary absence separately. It treats departure as permanent when accumulating survival probabilities even though some players return. Aging, the replacement-level rule, and exit risk each handle a different part of future production, but their combined behavior still needs checking for players near replacement level.</w:t>
      </w:r>
    </w:p>
    <w:p>
      <w:pPr>
        <w:spacing w:after="200"/>
        <w:jc w:val="left"/>
      </w:pPr>
      <w:r>
        <w:t>The projection also responds slowly to breakouts. A strong season in progress cannot enter a baseline restricted to completed seasons. That protects the historical information rule while leaving the model behind a club that has already seen convincing improvement.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2026-09-09T20:55:04.775Z</dcterms:created>
  <dcterms:modified xsi:type="dcterms:W3CDTF">2026-09-09T20:55:04.791Z</dcterms:modified>
</cp:coreProperties>
</file>

<file path=docProps/custom.xml><?xml version="1.0" encoding="utf-8"?>
<Properties xmlns="http://schemas.openxmlformats.org/officeDocument/2006/custom-properties" xmlns:vt="http://schemas.openxmlformats.org/officeDocument/2006/docPropsVTypes"/>
</file>