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keepNext/>
        <w:spacing w:after="240"/>
      </w:pPr>
      <w:r>
        <w:t>Player Pillar II: Pricing, Control Years, and Contract Value</w:t>
      </w:r>
    </w:p>
    <w:p>
      <w:pPr>
        <w:spacing w:after="200"/>
        <w:jc w:val="left"/>
      </w:pPr>
      <w:r>
        <w:t>The player model converts projected wins into a market price, subtracts the contract's cap cost, and adds the expected surplus from any remaining restricted-free-agent control. Future production is reduced for exit risk, and future dollars are discounted. The result is a contract's estimated surplus value at the valuation date.</w:t>
      </w:r>
    </w:p>
    <w:p>
      <w:pPr>
        <w:spacing w:after="200"/>
        <w:jc w:val="left"/>
      </w:pPr>
      <w:r>
        <w:t>This is a market-based price for production. It does not measure a player's total economic contribution to his club or establish that league-wide salaries equal the true value of winning.</w:t>
      </w:r>
    </w:p>
    <w:p>
      <w:pPr>
        <w:pStyle w:val="Heading2"/>
        <w:keepNext/>
        <w:spacing w:after="140" w:before="280"/>
      </w:pPr>
      <w:r>
        <w:t>1. Turning Wins into Dollars</w:t>
      </w:r>
    </w:p>
    <w:p>
      <w:pPr>
        <w:spacing w:after="200"/>
        <w:jc w:val="left"/>
      </w:pPr>
      <w:r>
        <w:t>The skater price equation is estimated on 2,349 contracts starting from 2018 through 2025. Both salary and the league minimum are measured as shares of that season's salary cap. Using cap shares makes contracts from different salary environments more comparable.</w:t>
      </w:r>
    </w:p>
    <w:p>
      <w:pPr>
        <w:spacing w:after="200"/>
        <w:jc w:val="left"/>
      </w:pPr>
      <w:r>
        <w:t>The fit accounts for the salary floor. In 529 observations, pay is at the minimum, so an ordinary straight-line regression would treat a constrained outcome as though pay could have fallen further. The censored regression, also called a Tobit model, allows the underlying fitted price to fall below that boundary while observed pay stops at the minimum.</w:t>
      </w:r>
    </w:p>
    <w:p>
      <w:pPr>
        <w:spacing w:after="200"/>
        <w:jc w:val="left"/>
      </w:pPr>
      <w:r>
        <w:t>The current equation has an intercept of about 1.325% of the cap. Each projected win adds about 2.123% for a forward or 2.410% for a defenceman. At a $95.5 million cap, these are roughly $1.27 million at zero WAR, plus $2.03 million per forward win or $2.30 million per defence win. The difference is an estimated market price difference between positions, not evidence that a defensive win contributes more to the standings.</w:t>
      </w:r>
    </w:p>
    <w:p>
      <w:pPr>
        <w:spacing w:after="200"/>
        <w:jc w:val="left"/>
      </w:pPr>
      <w:r>
        <w:t>The model uses one skater price equation for restricted and unrestricted free agents. An earlier apparent separation did not survive correction of the sample. It also has no contract-length term. The completed length-term test found no value-side contribution in its tested specification; optional robustness runs using raw Game Value remain unrun. That result does not establish that clubs place no value on cost certainty or flexibility.</w:t>
      </w:r>
    </w:p>
    <w:p>
      <w:pPr>
        <w:pStyle w:val="Heading2"/>
        <w:keepNext/>
        <w:spacing w:after="140" w:before="280"/>
      </w:pPr>
      <w:r>
        <w:t>2. The Minimum and Forecast Uncertainty</w:t>
      </w:r>
    </w:p>
    <w:p>
      <w:pPr>
        <w:spacing w:after="200"/>
        <w:jc w:val="left"/>
      </w:pPr>
      <w:r>
        <w:t>Skater value cannot fall below the league-minimum salary. For the valuation season, the model applies that floor directly to the price implied by the baseline. Future contract years also allow for uncertainty around projected production.</w:t>
      </w:r>
    </w:p>
    <w:p>
      <w:pPr>
        <w:spacing w:after="200"/>
        <w:jc w:val="left"/>
      </w:pPr>
      <w:r>
        <w:t>The distinction matters near the floor. A forecast error on the downside cannot lower priced value below the minimum, while an error on the upside can raise it. The code averages the floored price over an assumed normal distribution of production rather than flooring only the central forecast. This generally raises expected value near the minimum and makes little difference far above it.</w:t>
      </w:r>
    </w:p>
    <w:p>
      <w:pPr>
        <w:spacing w:after="200"/>
        <w:jc w:val="left"/>
      </w:pPr>
      <w:r>
        <w:t>The spread comes from recorded forecast errors at one-, two-, and three-year horizons. Beyond year three, the model holds the three-year spread fixed. That is a practical assumption, not evidence that longer forecasts stop becoming less certain. The symmetric distribution is also imperfect for players whose central projection has already been moved up to replacement level.</w:t>
      </w:r>
    </w:p>
    <w:p>
      <w:pPr>
        <w:pStyle w:val="Heading2"/>
        <w:keepNext/>
        <w:spacing w:after="140" w:before="280"/>
      </w:pPr>
      <w:r>
        <w:t>3. Value after an RFA Contract Expires</w:t>
      </w:r>
    </w:p>
    <w:p>
      <w:pPr>
        <w:spacing w:after="200"/>
        <w:jc w:val="left"/>
      </w:pPr>
      <w:r>
        <w:t>An unrestricted-free-agent expiry has zero terminal value: the current contract gives the club no further control to price. For an RFA expiry, the model projects production through the remaining control years and compares its price with a sequence of qualifying offers.</w:t>
      </w:r>
    </w:p>
    <w:p>
      <w:pPr>
        <w:spacing w:after="200"/>
        <w:jc w:val="left"/>
      </w:pPr>
      <w:r>
        <w:t>Qualifying offers are a cost convention here. They are not predictions of negotiated salaries. Arbitration, longer agreements, and other outcomes can produce different costs, so the terminal value estimates control under a simplified renewal path.</w:t>
      </w:r>
    </w:p>
    <w:p>
      <w:pPr>
        <w:spacing w:after="200"/>
        <w:jc w:val="left"/>
      </w:pPr>
      <w:r>
        <w:t>The offer calculation uses salary bands, the league minimum, and the applicable cap on the offer. The code switches to its newer band schedule for offseasons numbered 2026 onward. It also uses the contract's starting season as a proxy when applying the older agreement-date rule. Those are the implemented timing rules; they need to be distinguished from a full reconstruction of a player's legal entitlement.</w:t>
      </w:r>
    </w:p>
    <w:p>
      <w:pPr>
        <w:spacing w:after="200"/>
        <w:jc w:val="left"/>
      </w:pPr>
      <w:r>
        <w:t>The starting salary is the contract's final-year base salary when available. Otherwise, the code tries another recorded salary from the contract and then its average annual value. These substitutes can miss the salary shape that matters for a qualifying offer. Later control years roll forward from the preceding modeled offer.</w:t>
      </w:r>
    </w:p>
    <w:p>
      <w:pPr>
        <w:spacing w:after="200"/>
        <w:jc w:val="left"/>
      </w:pPr>
      <w:r>
        <w:t>The model stops adding control-year surplus at the first year in which projected value falls below the offer. It does not assume that the club keeps paying through a loss to reach a later rebound. It also weights the remaining years by observed qualification rates for players in the relevant quality groups. This reduces the value of control that clubs often choose not to exercise.</w:t>
      </w:r>
    </w:p>
    <w:p>
      <w:pPr>
        <w:spacing w:after="200"/>
        <w:jc w:val="left"/>
      </w:pPr>
      <w:r>
        <w:t>Those rates come from observed contract-expiry decisions, with unqualified players included. They are separate from the exit probabilities applied during an existing contract. The code does not apply both gates to the control years. Terminal-year prices use the direct salary floor; they do not receive the forecast-uncertainty correction used in projected skater contract years.</w:t>
      </w:r>
    </w:p>
    <w:p>
      <w:pPr>
        <w:pStyle w:val="Heading2"/>
        <w:keepNext/>
        <w:spacing w:after="140" w:before="280"/>
      </w:pPr>
      <w:r>
        <w:t>4. Adding the Contract Years</w:t>
      </w:r>
    </w:p>
    <w:p>
      <w:pPr>
        <w:spacing w:after="200"/>
        <w:jc w:val="left"/>
      </w:pPr>
      <w:r>
        <w:t>For each remaining season, the model calculates expected production value, subtracts the cap cost, and brings that surplus back to the valuation date. It then adds the discounted terminal value. Only the contract already active at the valuation date enters the contract-year calculation; a later extension cannot be imported from the historical record.</w:t>
      </w:r>
    </w:p>
    <w:p>
      <w:pPr>
        <w:spacing w:after="200"/>
        <w:jc w:val="left"/>
      </w:pPr>
      <w:r>
        <w:t>Survival multiplies production value but not the signed contract cost. A possible NHL departure therefore lowers expected output while the modeled cap charge continues. The calculation does not reconstruct the contract-specific relief that could follow retirement or another departure. Where relief would apply, keeping the cost overstates the burden.</w:t>
      </w:r>
    </w:p>
    <w:p>
      <w:pPr>
        <w:spacing w:after="200"/>
        <w:jc w:val="left"/>
      </w:pPr>
      <w:r>
        <w:t>The cap path grows at 3% a year from the ceiling known at the valuation date. Future amounts are discounted at the same rate to express them in current cap purchasing power. The calculation does not use the cap path that was later realized, and it adds no separate discount for a general manager's impatience.</w:t>
      </w:r>
    </w:p>
    <w:p>
      <w:pPr>
        <w:spacing w:after="200"/>
        <w:jc w:val="left"/>
      </w:pPr>
      <w:r>
        <w:t>A contract with negative surplus costs more than this model's expected market price for its production. That need not mean the signing was a mistake. The estimate omits team fit, private information, and the value of avoiding a future negotiation. It also does not price the flexibility lost by committing cap space for many years; charging for that lost flexibility would reduce long-contract value further.</w:t>
      </w:r>
    </w:p>
    <w:p>
      <w:pPr>
        <w:spacing w:after="200"/>
        <w:jc w:val="left"/>
      </w:pPr>
      <w:r>
        <w:t>Errors in the market price do not generally disappear when two trade packages are compared. Surplus subtracts fixed contract costs. Raising the production price on both sides can therefore change their surplus ratio, especially when one side starts close to zero.</w:t>
      </w:r>
    </w:p>
    <w:p>
      <w:pPr>
        <w:pStyle w:val="Heading2"/>
        <w:keepNext/>
        <w:spacing w:after="140" w:before="280"/>
      </w:pPr>
      <w:r>
        <w:t>5. Goaltenders</w:t>
      </w:r>
    </w:p>
    <w:p>
      <w:pPr>
        <w:spacing w:after="200"/>
        <w:jc w:val="left"/>
      </w:pPr>
      <w:r>
        <w:t>Goalies use a separate production and pricing model. Their baseline gives 50%, 30%, and 20% weight to three preceding seasons when all are available, falling back to 60/40 with two or the previous season alone. This cascade requires the immediately preceding season; a separate carry-back rule can recover an older baseline when recent history is missing. The code does not apply the skater ten-game threshold to this goalie calculation.</w:t>
      </w:r>
    </w:p>
    <w:p>
      <w:pPr>
        <w:spacing w:after="200"/>
        <w:jc w:val="left"/>
      </w:pPr>
      <w:r>
        <w:t>Only 35% of the goalie baseline is retained. The other 65% comes from the league mean, about 2.19 goalie WAR. The resulting production estimate stays flat through the contract rather than following a comparable-player aging curve. A goalie with no usable historical baseline is left unpriced.</w:t>
      </w:r>
    </w:p>
    <w:p>
      <w:pPr>
        <w:spacing w:after="200"/>
        <w:jc w:val="left"/>
      </w:pPr>
      <w:r>
        <w:t>The goalie rate remains an older ordinary least-squares estimate, recovered from the locked goalie output to avoid rounding drift. It is approximately 1.391% of the cap plus 1.059% per goalie win. It does not use the skater censored regression or the same floor treatment. Goalie control years also lack the skater qualification-rate adjustment. These differences limit how closely the two sets of contract values can be compared, even though both end in surplus dollars.</w:t>
      </w:r>
    </w:p>
    <w:p>
      <w:pPr>
        <w:spacing w:after="200"/>
        <w:jc w:val="left"/>
      </w:pPr>
      <w:r>
        <w:t>The September 9 rebuild produced 2,981 contract estimates: 2,591 skaters and 390 goalies. The historical panel contains 6,939 valuation rows. Those counts describe the priced sample, not complete coverage of all NHL contracts.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2026-09-09T20:55:04.951Z</dcterms:created>
  <dcterms:modified xsi:type="dcterms:W3CDTF">2026-09-09T20:55:04.951Z</dcterms:modified>
</cp:coreProperties>
</file>

<file path=docProps/custom.xml><?xml version="1.0" encoding="utf-8"?>
<Properties xmlns="http://schemas.openxmlformats.org/officeDocument/2006/custom-properties" xmlns:vt="http://schemas.openxmlformats.org/officeDocument/2006/docPropsVTypes"/>
</file>