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40"/>
      </w:pPr>
      <w:r>
        <w:t>Cross-Cutting: What the Model Can Establish</w:t>
      </w:r>
    </w:p>
    <w:p>
      <w:pPr>
        <w:spacing w:after="200"/>
        <w:jc w:val="left"/>
      </w:pPr>
      <w:r>
        <w:t>The project can now estimate player-contract surplus and historical draft yield. It cannot yet establish systematic mispricing across completed trades: the prospect pillar, trade-date pick pricing, and parts of the back-test remain unfinished. The main questions concern what information enters a valuation, what its comparisons actually test, and which missing features could explain an apparent pricing error.</w:t>
      </w:r>
    </w:p>
    <w:p>
      <w:pPr>
        <w:pStyle w:val="Heading2"/>
        <w:keepNext/>
        <w:spacing w:after="140" w:before="280"/>
      </w:pPr>
      <w:r>
        <w:t>1. Historical Information</w:t>
      </w:r>
    </w:p>
    <w:p>
      <w:pPr>
        <w:spacing w:after="200"/>
        <w:jc w:val="left"/>
      </w:pPr>
      <w:r>
        <w:t>Player baselines use completed seasons before the valuation season. The aging lookup starts from a trailing player profile, and survival for a future year is based on the preceding year's projected age and quality. The cap path grows from the ceiling known at the valuation date instead of importing the future path that eventually occurred. These rules prevent several direct uses of future information.</w:t>
      </w:r>
    </w:p>
    <w:p>
      <w:pPr>
        <w:spacing w:after="200"/>
        <w:jc w:val="left"/>
      </w:pPr>
      <w:r>
        <w:t>The fitted model still uses later observations. Aging profiles, market prices, and exit probabilities are estimated once from a shared sample and applied to earlier decisions. A valuation dated 2019 can therefore use parameters partly estimated from post-2019 seasons. It is a retrospective valuation under common parameters, not a fully real-time historical forecast.</w:t>
      </w:r>
    </w:p>
    <w:p>
      <w:pPr>
        <w:spacing w:after="200"/>
        <w:jc w:val="left"/>
      </w:pPr>
      <w:r>
        <w:t>There is also a player-specific route through the aging model. The target player is excluded from the direct comparable weights, but remains in the pooled profiles used to stabilize the projection. His later seasons can enter those averages. The size of that indirect effect has not been measured.</w:t>
      </w:r>
    </w:p>
    <w:p>
      <w:pPr>
        <w:spacing w:after="200"/>
        <w:jc w:val="left"/>
      </w:pPr>
      <w:r>
        <w:t>Early- and late-period aging estimates have been compared, with limited evidence of differences in the tested age profiles. That is useful evidence about stability. It does not recreate the estimates available at each historical date or prove that using the full sample has no effect. The exit model still lacks an equivalent split-period check.</w:t>
      </w:r>
    </w:p>
    <w:p>
      <w:pPr>
        <w:spacing w:after="200"/>
        <w:jc w:val="left"/>
      </w:pPr>
      <w:r>
        <w:t>The Game Value shot model has a related limitation. It was tested on held-out seasons, then refitted on all regular-season data to produce the expected goals used by the metric. The reported 58.3% team-season agreement therefore describes the historical sample; it is not performance on wholly unseen games. Estimating the adjusted Game Value variant separately by season does not remove that shared shot-model exposure.</w:t>
      </w:r>
    </w:p>
    <w:p>
      <w:pPr>
        <w:spacing w:after="200"/>
        <w:jc w:val="left"/>
      </w:pPr>
      <w:r>
        <w:t>Future picks and prospects need the same discipline. A pick's eventual overall position cannot price it before that position was known. Prospect histories must stop at the valuation date, and any translation rates or draft priors estimated on later data need to be identified as such.</w:t>
      </w:r>
    </w:p>
    <w:p>
      <w:pPr>
        <w:pStyle w:val="Heading2"/>
        <w:keepNext/>
        <w:spacing w:after="140" w:before="280"/>
      </w:pPr>
      <w:r>
        <w:t>2. What the Circularity Check Tests</w:t>
      </w:r>
    </w:p>
    <w:p>
      <w:pPr>
        <w:spacing w:after="200"/>
        <w:jc w:val="left"/>
      </w:pPr>
      <w:r>
        <w:t>Game Value provides a production check outside the salary-based price equation. It starts from expected goals rather than simply reallocating the actual scoreboard. Comparing it with actual team results is therefore informative, despite the shared-sample qualification above.</w:t>
      </w:r>
    </w:p>
    <w:p>
      <w:pPr>
        <w:spacing w:after="200"/>
        <w:jc w:val="left"/>
      </w:pPr>
      <w:r>
        <w:t>The player-level comparison asks whether the production estimates agree with that alternative measure. Both sides are expressed in wins. No dollar price enters, so agreement cannot validate the amount paid per win. It also does not prove that either measure captures every part of a player's contribution.</w:t>
      </w:r>
    </w:p>
    <w:p>
      <w:pPr>
        <w:spacing w:after="200"/>
        <w:jc w:val="left"/>
      </w:pPr>
      <w:r>
        <w:t>Agreement is stronger for forwards than for defencemen. The defensive gap limits the check; it does not establish by itself whether Bacon overstates defence or Game Value misses it. The raw and adjusted Game Value variants also share inputs, so agreement with both is not equivalent to passing two wholly independent tests.</w:t>
      </w:r>
    </w:p>
    <w:p>
      <w:pPr>
        <w:spacing w:after="200"/>
        <w:jc w:val="left"/>
      </w:pPr>
      <w:r>
        <w:t>The circularity robustness work is complete. The optional unrun legs belong to the separate contract-length test. Keeping those statuses distinct avoids presenting finished validation as unfinished, or an unrun extension as evidence already obtained.</w:t>
      </w:r>
    </w:p>
    <w:p>
      <w:pPr>
        <w:pStyle w:val="Heading2"/>
        <w:keepNext/>
        <w:spacing w:after="140" w:before="280"/>
      </w:pPr>
      <w:r>
        <w:t>3. Pricing Patterns That Need Further Testing</w:t>
      </w:r>
    </w:p>
    <w:p>
      <w:pPr>
        <w:spacing w:after="200"/>
        <w:jc w:val="left"/>
      </w:pPr>
      <w:r>
        <w:t>Long contracts for young, improving players often look expensive under the model. The trailing baseline helps explain why: it responds slowly to a breakout, while a club may sign the player because it expects further improvement. Diagnostics also found residual gaps after allowing for some under-forecasting. Those gaps are candidates for further study, not a clean estimate of a cost-certainty premium. Team fit, private information, and remaining projection error can produce the same pattern.</w:t>
      </w:r>
    </w:p>
    <w:p>
      <w:pPr>
        <w:spacing w:after="200"/>
        <w:jc w:val="left"/>
      </w:pPr>
      <w:r>
        <w:t>Exploratory salary regressions found a discount associated with star RFAs and a level premium for signing with the player's existing club. They used an older sample and baseline treatment, so they need to be refitted on the current specification before adoption. The star definition also needs testing across reasonable thresholds, and very few star contracts in the sample reached the open market.</w:t>
      </w:r>
    </w:p>
    <w:p>
      <w:pPr>
        <w:spacing w:after="200"/>
        <w:jc w:val="left"/>
      </w:pPr>
      <w:r>
        <w:t>A within-market pay difference is distinct from a claim that all stars are underpaid. The current price equation is itself estimated from salaries. If a league-wide force depresses star pay, it can depress the fitted benchmark too. Salary residuals alone cannot recover the missing level of value.</w:t>
      </w:r>
    </w:p>
    <w:p>
      <w:pPr>
        <w:spacing w:after="200"/>
        <w:jc w:val="left"/>
      </w:pPr>
      <w:r>
        <w:t>Completed trades create another selection problem. They show exchanges that both clubs accepted, not every offer considered or rejected. Players traded and players retained can differ for reasons the data do not capture. A pattern within completed trades must therefore be interpreted within that selected market, rather than generalized automatically to all assets or opportunities.</w:t>
      </w:r>
    </w:p>
    <w:p>
      <w:pPr>
        <w:pStyle w:val="Heading2"/>
        <w:keepNext/>
        <w:spacing w:after="140" w:before="280"/>
      </w:pPr>
      <w:r>
        <w:t>4. Comparing Trade Packages</w:t>
      </w:r>
    </w:p>
    <w:p>
      <w:pPr>
        <w:spacing w:after="200"/>
        <w:jc w:val="left"/>
      </w:pPr>
      <w:r>
        <w:t>The intended comparison uses surplus dollars, meaning production value less cost. That subtraction matters. A common error in the gross price of wins does not generally cancel from a ratio of two packages' surpluses, because their fixed costs differ.</w:t>
      </w:r>
    </w:p>
    <w:p>
      <w:pPr>
        <w:spacing w:after="200"/>
        <w:jc w:val="left"/>
      </w:pPr>
      <w:r>
        <w:t>Ratios are also unstable when the denominator is near zero and difficult to interpret when either side is negative. Even with positive values, symmetry between clubs does not imply an average ratio of one. A trade recorded as two-to-one in one direction becomes one-to-two in the other; averaging those two ratios gives 1.25.</w:t>
      </w:r>
    </w:p>
    <w:p>
      <w:pPr>
        <w:spacing w:after="200"/>
        <w:jc w:val="left"/>
      </w:pPr>
      <w:r>
        <w:t>The proposed ratio statistic therefore needs a deliberate review of orientation, negative packages, and the null against which it will be tested. This is an unresolved design issue, not a change already made to the model. A finding of no systematic difference remains possible, but failure to detect a pattern would need to be read alongside sample size and the number of categories tested.</w:t>
      </w:r>
    </w:p>
    <w:p>
      <w:pPr>
        <w:spacing w:after="200"/>
        <w:jc w:val="left"/>
      </w:pPr>
      <w:r>
        <w:t>Trade-date player values also require the unfinished mid-season allocation. The intended Game Value split has not been applied to the back-test, and signed season totals need explicit handling before they can serve as allocation denominators.</w:t>
      </w:r>
    </w:p>
    <w:p>
      <w:pPr>
        <w:pStyle w:val="Heading2"/>
        <w:keepNext/>
        <w:spacing w:after="140" w:before="280"/>
      </w:pPr>
      <w:r>
        <w:t>5. Assumptions That Can Move the Result</w:t>
      </w:r>
    </w:p>
    <w:p>
      <w:pPr>
        <w:spacing w:after="200"/>
        <w:jc w:val="left"/>
      </w:pPr>
      <w:r>
        <w:t>The draft curve sets post-entry-level surplus to zero. Where later contracts produce positive surplus, that lowers estimated pick value. Maximum entry-level costs can lower it further for players who actually signed below the maximum, while omitted bonus costs can raise it. The short-appearance treatment scales costs without similarly scaling the price intercept. These effects do not all point in one direction.</w:t>
      </w:r>
    </w:p>
    <w:p>
      <w:pPr>
        <w:spacing w:after="200"/>
        <w:jc w:val="left"/>
      </w:pPr>
      <w:r>
        <w:t>The Rule B draft sensitivity contains a separate pricing mismatch: defence production uses the defence slope, but trailing cost uses the forward slope. Its reported difference from Rule A cannot yet be treated as a clean measure of the cost assumption. The primary curve is unaffected by that particular calculation.</w:t>
      </w:r>
    </w:p>
    <w:p>
      <w:pPr>
        <w:spacing w:after="200"/>
        <w:jc w:val="left"/>
      </w:pPr>
      <w:r>
        <w:t>Player survival reduces production value while signed costs continue. This lowers surplus where actual departure would bring cap relief. Temporary absences counted as exits can also reduce projected continuation too far. Conversely, strong rebound rates among surviving low-value players cannot establish recovery rates for all such players. The exit model observes next-season absence directly, so that survivor-only rebound evidence does not, by itself, show that exit probabilities are understated.</w:t>
      </w:r>
    </w:p>
    <w:p>
      <w:pPr>
        <w:spacing w:after="200"/>
        <w:jc w:val="left"/>
      </w:pPr>
      <w:r>
        <w:t>RFA control value depends on qualifying offers as a cost proxy and on incomplete salary histories. Goalies use a different pricing estimator and lack some skater adjustments. Forecast uncertainty receives a floor correction in projected skater contract years, but not in terminal or goalie values. These differences belong in comparisons between asset groups, rather than being absorbed silently into a mispricing residual.</w:t>
      </w:r>
    </w:p>
    <w:p>
      <w:pPr>
        <w:pStyle w:val="Heading2"/>
        <w:keepNext/>
        <w:spacing w:after="140" w:before="280"/>
      </w:pPr>
      <w:r>
        <w:t>6. What Has Been Verified</w:t>
      </w:r>
    </w:p>
    <w:p>
      <w:pPr>
        <w:spacing w:after="200"/>
        <w:jc w:val="left"/>
      </w:pPr>
      <w:r>
        <w:t>The code contains checks for known failure points: reproducing locked pricing results, reconciling Game Value credits and debits, and preventing identifier-only joins when names disagree. The September 9 rerun reproduced the player outputs and draft curve after migration, and the outstanding contract-length test was completed. Reproduction confirms that the current files generate the recorded results. It does not establish that the assumptions are right or that every source record is correct.</w:t>
      </w:r>
    </w:p>
    <w:p>
      <w:pPr>
        <w:spacing w:after="200"/>
        <w:jc w:val="left"/>
      </w:pPr>
      <w:r>
        <w:t>The remaining empirical question is whether pricing patterns survive those limitations and the unfinished trade construction. The contribution is a common surplus-dollar framework across assets. Evidence of systematic mispricing has to come from the completed comparison, rather than from the fact that the framework produces different values for the two sides of a trade.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2026-09-09T20:55:15.472Z</dcterms:created>
  <dcterms:modified xsi:type="dcterms:W3CDTF">2026-09-09T20:55:15.472Z</dcterms:modified>
</cp:coreProperties>
</file>

<file path=docProps/custom.xml><?xml version="1.0" encoding="utf-8"?>
<Properties xmlns="http://schemas.openxmlformats.org/officeDocument/2006/custom-properties" xmlns:vt="http://schemas.openxmlformats.org/officeDocument/2006/docPropsVTypes"/>
</file>