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Title"/>
        <w:spacing w:after="240"/>
      </w:pPr>
      <w:r>
        <w:t xml:space="preserve">Cross-Cutting: Identification, Findings, Verification, and Bias</w:t>
      </w:r>
    </w:p>
    <w:p>
      <w:pPr>
        <w:spacing w:after="200"/>
        <w:jc w:val="left"/>
      </w:pPr>
      <w:r>
        <w:t xml:space="preserve">This document is synthesis: each section draws together material already covered in the four documents before it rather than introducing new results.</w:t>
      </w:r>
    </w:p>
    <w:p>
      <w:pPr>
        <w:pStyle w:val="Heading2"/>
        <w:spacing w:after="140" w:before="280"/>
      </w:pPr>
      <w:r>
        <w:t xml:space="preserve">Identification threats: look-ahead and selection</w:t>
      </w:r>
    </w:p>
    <w:p>
      <w:pPr>
        <w:spacing w:after="200"/>
        <w:jc w:val="left"/>
      </w:pPr>
      <w:r>
        <w:t xml:space="preserve">The core defence against look-ahead bias is a trailing-only rule: each valuation uses only data that existed before the decision date. Production baselines come from seasons preceding the valuation season, and the lookup that reads them is structurally incapable of seeing the valuation season, because it indexes the season before and the season before that. The comparable search runs at a player's trailing age and excludes his own later seasons, so a player never sits among the comparables teaching the model how someone like him ages. Future cap ceilings are the path a contemporary would have projected, grown forward at 3% from the ceiling known on the valuation date, never the realized path, so a 2019 valuation cannot know the pandemic froze the cap.</w:t>
      </w:r>
    </w:p>
    <w:p>
      <w:pPr>
        <w:spacing w:after="200"/>
        <w:jc w:val="left"/>
      </w:pPr>
      <w:r>
        <w:t xml:space="preserve">Two smaller versions of the same rule are worth naming because both were errors before they were rules. The aging curve is based at the player's trailing ages rather than his valuation-season age, since basing it at the valuation season leaked that season's games played into the routing and that season's form into the comparable profile. And the survival lookup reads the player's projected quality and age at the season before the one being paid for, which stops the model from conditioning survival on a season that has not happened at the point survival is being charged.</w:t>
      </w:r>
    </w:p>
    <w:p>
      <w:pPr>
        <w:spacing w:after="200"/>
        <w:jc w:val="left"/>
      </w:pPr>
      <w:r>
        <w:t xml:space="preserve">One documented exception is left in place rather than hidden. The comparable bank and the aging deltas are each fit once on the full panel, so a projection dated 2019 uses aging parameters estimated partly from seasons after 2019. No individual player's own future reaches his own valuation; what crosses the line is a population-level regularity rather than player-specific information. The market rate and the exit-hazard table carry the same exposure and rest on the same defence: each is a structural, league-wide parameter fit once and applied backward.</w:t>
      </w:r>
    </w:p>
    <w:p>
      <w:pPr>
        <w:spacing w:after="200"/>
        <w:jc w:val="left"/>
      </w:pPr>
      <w:r>
        <w:t xml:space="preserve">That defence has been tested rather than only asserted, for the aging curve. The test fits the age profile separately on an early era and a late era and asks whether they agree, and it compares two things, because they can disagree: the raw age-delta curve, meaning each player's own change in production from one age to the next averaged by age and position, measured without the model; and the model's own global age profile, which is what the projection leans on when a player has thin comparables. Across 16 ages, forwards differed at none and defencemen at one, against roughly 1.6 differences expected by chance. Deltas are used rather than age-group means for the same reason the curve itself uses them: comparing the average 24-year-old to the average 32-year-old confuses aging with survivorship, since the 32-year-olds still playing are the ones who were good enough to last.</w:t>
      </w:r>
    </w:p>
    <w:p>
      <w:pPr>
        <w:spacing w:after="200"/>
        <w:jc w:val="left"/>
      </w:pPr>
      <w:r>
        <w:t xml:space="preserve">The market rate has a comparable check. Fitted on 2018 through 2021 alone the replacement-level price moves by −3.0%, the forward rate by +1.5%, and the defence rate by +2.9%; fitted on 2022 through 2025 alone the moves are +2.7%, −1.1%, and −2.3%. A two-win valuation moves by $32,000 out of $5.3 million between the two windows. The exit-hazard table has not had the same explicit split-sample check run against it. Its own version of the exposure is narrower: it is estimated over 2018 to 2024 and applied to decisions inside that same window.</w:t>
      </w:r>
    </w:p>
    <w:p>
      <w:pPr>
        <w:spacing w:after="200"/>
        <w:jc w:val="left"/>
      </w:pPr>
      <w:r>
        <w:t xml:space="preserve">The independent Game Value metric carries a version of the same exposure, and it sits underneath the circularity check rather than inside the player pillar. Its shot model was tested on two held-out seasons and then refitted on all regular-season data to produce the figures the metric actually uses, so the team-season agreement reported in the circularity document describes agreement within the historical sample rather than a test on wholly unseen games. The adjusted variant is estimated season by season, with that shared shot-model window as its documented exception.</w:t>
      </w:r>
    </w:p>
    <w:p>
      <w:pPr>
        <w:spacing w:after="200"/>
        <w:jc w:val="left"/>
      </w:pPr>
      <w:r>
        <w:t xml:space="preserve">Two pillar-specific look-ahead threats sit outside the player pillar. The draft-pick data carries a back-filled field holding each pick's eventual overall position, which cannot be used to price a pick as of its trade date. And the prospect pillar's era-varying translation coefficients and draft-slot baselines are current-vintage estimates that would be applied to historical decisions once built.</w:t>
      </w:r>
    </w:p>
    <w:p>
      <w:pPr>
        <w:spacing w:after="200"/>
        <w:jc w:val="left"/>
      </w:pPr>
      <w:r>
        <w:t xml:space="preserve">Selection bias at the level of the whole back-test is structural and unsolvable: a trade happens only when two clubs agree, so the trades that were not made are unobservable. The prospect pillar carries its own variant with no analogue elsewhere, since which prospects have a professional record is not random.</w:t>
      </w:r>
    </w:p>
    <w:p>
      <w:pPr>
        <w:pStyle w:val="Heading2"/>
        <w:spacing w:after="140" w:before="280"/>
      </w:pPr>
      <w:r>
        <w:t xml:space="preserve">The findings that are findings, not bugs</w:t>
      </w:r>
    </w:p>
    <w:p>
      <w:pPr>
        <w:spacing w:after="200"/>
        <w:jc w:val="left"/>
      </w:pPr>
      <w:r>
        <w:t xml:space="preserve">Three results look like failures on first read and are not. What makes each a finding rather than a bug is that it survived a real correction attempt.</w:t>
      </w:r>
    </w:p>
    <w:p>
      <w:pPr>
        <w:spacing w:after="200"/>
        <w:jc w:val="left"/>
      </w:pPr>
      <w:r>
        <w:t xml:space="preserve">Ascending young players price sharply negative. 41 contracts, players 23.5 or younger signing six years or more, come out with a median present value near −$20.6 million. A two-part diagnostic splits it: the projection under-forecasts this cohort by roughly $6 million to $8 million per deal, but even granting a full correction for that, a residual of well over $10 million per deal remains, and it reads as a real market premium, with clubs paying heavily for cost certainty on a player they believe is still ascending. Four candidate mechanical fixes, a recent-trajectory term, a thin-history indicator, an age-dependent projection weighting, and a varied baseline construction, were each tested under held-out validation, and each degraded out-of-sample accuracy. The finding does not rest on one modelling choice: four separate corrections were later applied for unrelated reasons, two raising these valuations and two lowering them, and the cohort's aggregate price moved about 1.5% across an eight-year contract.</w:t>
      </w:r>
    </w:p>
    <w:p>
      <w:pPr>
        <w:spacing w:after="200"/>
        <w:jc w:val="left"/>
      </w:pPr>
      <w:r>
        <w:t xml:space="preserve">A star-by-restricted-free-agency interaction explains the top-end price distortion. The main effects for RFA status and for star quality are each indistinguishable from zero on their own (z=0.5 and z=0.3), but the interaction is not, at −$1.71 million in cap share, z=−4.4. A 4.5-win forward re-signing as a UFA prices at $11.07 million against $9.43 million as an RFA, a gap of about 14%, or roughly $13 million of cap across an eight-year term. The distortion at the top of the market is specifically about star RFAs, not RFAs generally and not stars generally.</w:t>
      </w:r>
    </w:p>
    <w:p>
      <w:pPr>
        <w:spacing w:after="200"/>
        <w:jc w:val="left"/>
      </w:pPr>
      <w:r>
        <w:t xml:space="preserve">An own-club level premium adds a flat $0.58 million to the price of re-signing with a player's current team, z=5.1, with no slope component. Because it is a level shift rather than a percentage it lands hardest in the middle of the market: 19% of a $3 million player's price against 6% of a $10 million star's. This is a candidate mechanism behind clubs getting into cap trouble on mid-tier players, and it is a distinct finding from the star-RFA interaction rather than a restatement of it.</w:t>
      </w:r>
    </w:p>
    <w:p>
      <w:pPr>
        <w:spacing w:after="200"/>
        <w:jc w:val="left"/>
      </w:pPr>
      <w:r>
        <w:t xml:space="preserve">A structural consequence of the trailing-only rule belongs with these findings rather than apart from them: the model is late on breakout players by construction. It prices a player on seasons that have already happened, so a player in the middle of his first strong season is valued on what came before it. Lane Hutson priced at $4.82 million for 2025-26 off a 1.67-win rookie season, the only input the rule permits, against outside valuations pricing his current play. That is the look-ahead defence working as designed, and the cost of it is a systematic lag on exactly the ascending players the cohort finding above concerns.</w:t>
      </w:r>
    </w:p>
    <w:p>
      <w:pPr>
        <w:spacing w:after="200"/>
        <w:jc w:val="left"/>
      </w:pPr>
      <w:r>
        <w:t xml:space="preserve">One interpretive distinction matters. "Star RFAs are underpaid relative to star UFAs" is a within-market differential and is measurable directly from the data above. "Stars league-wide are underpaid relative to their true value" is a level claim about the market as a whole and is not measurable from inside the market, because the model's own value prediction is a market-based estimate: a market-wide depression in star pricing would depress the prediction in the same direction, and the two effects cannot be separated from the residual. Only the first claim is supported.</w:t>
      </w:r>
    </w:p>
    <w:p>
      <w:pPr>
        <w:spacing w:after="200"/>
        <w:jc w:val="left"/>
      </w:pPr>
      <w:r>
        <w:t xml:space="preserve">Four caveats attach to these three results. The 3.5-win star cutoff used here is arbitrary, has not been swept against alternatives, and differs from the 3-win cutoff used for the exit-hazard quality tiers, so the project runs two star definitions at once; a sweep across roughly 3.0 to 4.5 wins is owed before either finding is finalized. The exploratory fit used 2,468 contracts with unprorated anchors and 34 stars in total, and a refit on the current locked 2,349-contract sample with prorated anchors is required before adoption. Star contracts almost never reach the open market: of skater deals starting 2018 to 2025 with a trailing anchor of 3.5 wins or more, 94% were signed with the player's own club and none came through a trade and re-sign. The only two open-market star signings in the window are Panarin in 2019 and Gaudreau in 2022, and both priced above the own-club star mean, but a sample of two supports no claim. And long-term deals crossing a player's UFA eligibility date have no separate handling, which is very likely the same phenomenon seen from the other direction: a star RFA signing long is buying UFA-market years at RFA-discounted prices.</w:t>
      </w:r>
    </w:p>
    <w:p>
      <w:pPr>
        <w:pStyle w:val="Heading2"/>
        <w:spacing w:after="140" w:before="280"/>
      </w:pPr>
      <w:r>
        <w:t xml:space="preserve">Verification discipline and reproducibility</w:t>
      </w:r>
    </w:p>
    <w:p>
      <w:pPr>
        <w:spacing w:after="200"/>
        <w:jc w:val="left"/>
      </w:pPr>
      <w:r>
        <w:t xml:space="preserve">The project runs on a reproduce-before-extending rule: before any new result is trusted, the pipeline first rebuilds its own previously locked results and asserts they land on the published values, and only then fits anything current. This is not a passive convention. The skater engine's first stage rebuilds the original locked regression, in its original specification, and stops the run if the coefficients drift beyond tolerance, on the grounds that if that stage fails the file is not the pipeline that produced the lock and nothing downstream can be trusted. The goaltender engine has the same structure: it rebuilds every row of its locked spine and requires each priced row to match to the cent before it is permitted to apply any correction.</w:t>
      </w:r>
    </w:p>
    <w:p>
      <w:pPr>
        <w:spacing w:after="200"/>
        <w:jc w:val="left"/>
      </w:pPr>
      <w:r>
        <w:t xml:space="preserve">The case that produced the rule is worth stating. A locked market-rate regression pooled goaltenders into what its own methods section presented as a skater-only sample, and it surfaced only because a guard was built and run before its numbers were trusted downstream. The finding it had produced, that restricted and unrestricted free agents face separate markets, did not survive correction.</w:t>
      </w:r>
    </w:p>
    <w:p>
      <w:pPr>
        <w:spacing w:after="200"/>
        <w:jc w:val="left"/>
      </w:pPr>
      <w:r>
        <w:t xml:space="preserve">Guards elsewhere in the chain follow the same pattern of making silent failures loud. The metric assembly step checks its own accounting identity at runtime rather than assuming it. It also carries a tripwire counting player-games present in the on-ice data but missing from the box score, because a silent join drop of exactly that kind hid a three-goal accounting leak during development, traced to two games of corrupted league feed. The identifier join carries a self-test that fires on a known conflict on every run.</w:t>
      </w:r>
    </w:p>
    <w:p>
      <w:pPr>
        <w:spacing w:after="200"/>
        <w:jc w:val="left"/>
      </w:pPr>
      <w:r>
        <w:t xml:space="preserve">File integrity is verified by content hash against a manifest rather than by file size, because file size is not a check: a pre-rebuild and a post-rebuild version of the draft yield curve file were both exactly 845 bytes with different contents. The full contract-pricing chain has been reproduced independently on two machines, with the skater side matching digit for digit.</w:t>
      </w:r>
    </w:p>
    <w:p>
      <w:pPr>
        <w:spacing w:after="200"/>
        <w:jc w:val="left"/>
      </w:pPr>
      <w:r>
        <w:t xml:space="preserve">A verification gap was on record for a period after one set of model-review changes, which had not been run locally and cross-checked the way an earlier set was. It closed on 2026-09-09, when the outstanding length-term null test was run locally and confirmed a decisive null.</w:t>
      </w:r>
    </w:p>
    <w:p>
      <w:pPr>
        <w:pStyle w:val="Heading2"/>
        <w:spacing w:after="140" w:before="280"/>
      </w:pPr>
      <w:r>
        <w:t xml:space="preserve">The bias register</w:t>
      </w:r>
    </w:p>
    <w:p>
      <w:pPr>
        <w:spacing w:after="200"/>
        <w:jc w:val="left"/>
      </w:pPr>
      <w:r>
        <w:t xml:space="preserve">Each known bias is tracked with its direction, because direction is what makes a bias useful to disclose: one that works against a project's own finding strengthens that finding, and that argument is only available once the direction is stated.</w:t>
      </w:r>
    </w:p>
    <w:p>
      <w:pPr>
        <w:spacing w:after="200"/>
        <w:jc w:val="left"/>
      </w:pPr>
      <w:r>
        <w:t xml:space="preserve">Zero surplus after the entry-level contract flatters the top of the draft curve, since any real second-contract surplus a successful pick generates is set to zero by the convention.</w:t>
      </w:r>
    </w:p>
    <w:p>
      <w:pPr>
        <w:spacing w:after="200"/>
        <w:jc w:val="left"/>
      </w:pPr>
      <w:r>
        <w:t xml:space="preserve">Pricing every pick's entry-level years at the slotted maximum overstates what late picks actually cost, since late picks sign below the maximum. That understates their surplus and errs conservative on pick value. Ignoring performance-bonus overages runs the other way, understating what star entry-level deals cost.</w:t>
      </w:r>
    </w:p>
    <w:p>
      <w:pPr>
        <w:spacing w:after="200"/>
        <w:jc w:val="left"/>
      </w:pPr>
      <w:r>
        <w:t xml:space="preserve">Survival multiplies value but not cost, so a player who exits stops producing while his cap hit continues. Retirement can void a cap hit in reality and is not modelled. Both choices err conservative on net present value.</w:t>
      </w:r>
    </w:p>
    <w:p>
      <w:pPr>
        <w:spacing w:after="200"/>
        <w:jc w:val="left"/>
      </w:pPr>
      <w:r>
        <w:t xml:space="preserve">Exit risk is understated for below-replacement players, because the 93% recovery rate for that population is conditional on a player reappearing in the data, and exit is the event that removes him from the sample.</w:t>
      </w:r>
    </w:p>
    <w:p>
      <w:pPr>
        <w:spacing w:after="200"/>
        <w:jc w:val="left"/>
      </w:pPr>
      <w:r>
        <w:t xml:space="preserve">Cap optionality, the value of the roster flexibility a shorter contract buys, is not priced. This does not flatter long contracts; it works in the opposite direction, which is the direction that matters for the long-contract finding.</w:t>
      </w:r>
    </w:p>
    <w:p>
      <w:pPr>
        <w:spacing w:after="200"/>
        <w:jc w:val="left"/>
      </w:pPr>
      <w:r>
        <w:t xml:space="preserve">The position split rests on the smallest of the market rate's three coefficients, a defence premium of 0.287% of the cap per win against a 2.123% base slope, so any residual positional mispricing runs through the term least well identified.</w:t>
      </w:r>
    </w:p>
    <w:p>
      <w:pPr>
        <w:spacing w:after="200"/>
        <w:jc w:val="left"/>
      </w:pPr>
      <w:r>
        <w:t xml:space="preserve">Where a qualifying offer cannot find a real base salary it falls back to average annual value, which erases front-loading by construction and disables the CBA's 120% cap in exactly the front-loaded contracts that rule was written for. That affects 355 of 1,439 priced cases.</w:t>
      </w:r>
    </w:p>
    <w:p>
      <w:pPr>
        <w:spacing w:after="200"/>
        <w:jc w:val="left"/>
      </w:pPr>
      <w:r>
        <w:t xml:space="preserve">16.3% of the draft curve's total value rests on a name match between data sources rather than a shared identifier.</w:t>
      </w:r>
    </w:p>
    <w:p>
      <w:pPr>
        <w:spacing w:after="200"/>
        <w:jc w:val="left"/>
      </w:pPr>
      <w:r>
        <w:t xml:space="preserve">Goaltenders are priced on an older least-squares rate rather than the censored rate used for skaters, so the two positions currently run on different pricing equations.</w:t>
      </w:r>
    </w:p>
    <w:p>
      <w:pPr>
        <w:spacing w:after="200"/>
        <w:jc w:val="left"/>
      </w:pPr>
      <w:r>
        <w:t xml:space="preserve">The draft curve prices bust probability into each slot. Any future-pick discount that also charges for uncertainty about a pick's eventual quality would charge that risk twice.</w:t>
      </w:r>
    </w:p>
    <w:sectPr>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2026-09-09T20:55:15.472Z</dcterms:created>
  <dcterms:modified xsi:type="dcterms:W3CDTF">2026-09-09T20:55:15.472Z</dcterms:modified>
</cp:coreProperties>
</file>

<file path=docProps/custom.xml><?xml version="1.0" encoding="utf-8"?>
<Properties xmlns="http://schemas.openxmlformats.org/officeDocument/2006/custom-properties" xmlns:vt="http://schemas.openxmlformats.org/officeDocument/2006/docPropsVTypes"/>
</file>