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Drafting, Prospects, and Unbuilt Components</w:t>
      </w:r>
    </w:p>
    <w:p>
      <w:pPr>
        <w:spacing w:after="200"/>
        <w:jc w:val="left"/>
      </w:pPr>
      <w:r>
        <w:t xml:space="preserve">This document covers everything outside the player pillar's core, grouped so build status is visible section by section rather than assumed for the whole document. The first two sections, the draft yield curve and the pricing of actual traded picks, are built and locked: a complete second asset class with its own decision record, just thinner on the page than the player pillar. The remaining four sections, the prospect pillar, retention pricing, trade-clause pricing, and the back-test design, are designed but not built, and those sections describe the design and its risks rather than reporting results.</w:t>
      </w:r>
    </w:p>
    <w:p>
      <w:pPr>
        <w:pStyle w:val="Heading2"/>
        <w:spacing w:after="140" w:before="280"/>
      </w:pPr>
      <w:r>
        <w:t xml:space="preserve">Draft pick linkage and the yield curve (built and locked)</w:t>
      </w:r>
    </w:p>
    <w:p>
      <w:pPr>
        <w:spacing w:after="200"/>
        <w:jc w:val="left"/>
      </w:pPr>
      <w:r>
        <w:t xml:space="preserve">A draft pick is framed as a call option on an unknown player: it costs little up front and its payoff depends entirely on who turns out to be available and how that player develops. The model prices that option by linking each historical pick to the professional record of the player selected, then fitting a curve of expected value by pick position.</w:t>
      </w:r>
    </w:p>
    <w:p>
      <w:pPr>
        <w:spacing w:after="200"/>
        <w:jc w:val="left"/>
      </w:pPr>
      <w:r>
        <w:t xml:space="preserve">Value is defined by a fixed nine-season harvest window running from the season after the draft through the ninth season after (D+1 through D+9), chosen over reconstructing a player's contract status pick by pick, which is unobservable for older picks, and widened from an original seven-season window so that NCAA and European players who arrive in the league later are not undercounted. A pick that never produces an NHL season contributes zero value and zero cost, rather than being dropped from the sample.</w:t>
      </w:r>
    </w:p>
    <w:p>
      <w:pPr>
        <w:spacing w:after="200"/>
        <w:jc w:val="left"/>
      </w:pPr>
      <w:r>
        <w:t xml:space="preserve">Costs are modeled uniformly rather than read from the real contract each player signed. Entry-level seasons are priced at the slotted CBA maximum for that class, with entry-level length set by the CBA's own signing-age schedule, three years at 21 or younger, two years at 22 or 23, one year at 24 or older. Each season after the entry-level contract is priced with cost set equal to the market-predicted share of the player's realized production, which makes post-entry-level surplus zero by construction. This is Rule A, the zero-surplus convention, and it means the curve is honestly an entry-level-surplus curve rather than a full-career-surplus curve. Stating the convention plainly matters because of what it implies below.</w:t>
      </w:r>
    </w:p>
    <w:p>
      <w:pPr>
        <w:spacing w:after="200"/>
        <w:jc w:val="left"/>
      </w:pPr>
      <w:r>
        <w:t xml:space="preserve">The headline curve runs from $13.65 million at pick 1 down to $0.61 million across picks 151 through 224, a pick-1-to-tail ratio of about 22.4. The curve is denominated in the skater market rate from Doc 3, §3.2, and it had to be rebuilt when that rate changed; the dependency is a one-line re-point in the fitting script, but it is a real dependency worth naming rather than treating the two components as independent.</w:t>
      </w:r>
    </w:p>
    <w:p>
      <w:pPr>
        <w:spacing w:after="200"/>
        <w:jc w:val="left"/>
      </w:pPr>
      <w:r>
        <w:t xml:space="preserve">Uncertainty is reported through bootstrap intervals, 10,000 resamples per pick bucket, chosen over analytic standard errors because those would assume a symmetry in the outcome distribution the data does not actually have. That skew is severe: past pick 100, roughly seven in ten picks produce no NHL value, and the best 10% of outcomes in that range carry 62% of the total value.</w:t>
      </w:r>
    </w:p>
    <w:p>
      <w:pPr>
        <w:spacing w:after="200"/>
        <w:jc w:val="left"/>
      </w:pPr>
      <w:r>
        <w:t xml:space="preserve">### Open and untested</w:t>
      </w:r>
    </w:p>
    <w:p>
      <w:pPr>
        <w:spacing w:after="200"/>
        <w:jc w:val="left"/>
      </w:pPr>
      <w:r>
        <w:t xml:space="preserve">Precision at the top of the draft is weak. Eleven cohorts means eleven first-overall picks feed that estimate, and pick 1's interval runs from $9.24 million to $18.61 million. The gap between picks 1 and 2 is $5.29 million with an interval of $0.18 million to $10.82 million, clearing zero but only just, with a 2.0% chance the ordering reverses on resampling. No claim that pick 1 is worth substantially more than pick 2 should appear without that interval attached.</w:t>
      </w:r>
    </w:p>
    <w:p>
      <w:pPr>
        <w:spacing w:after="200"/>
        <w:jc w:val="left"/>
      </w:pPr>
      <w:r>
        <w:t xml:space="preserve">16.3% of the curve's value rests on a name match between data sources rather than a shared identifier. No incorrect match has been found so far, but the exposure is stated here rather than left implicit.</w:t>
      </w:r>
    </w:p>
    <w:p>
      <w:pPr>
        <w:spacing w:after="200"/>
        <w:jc w:val="left"/>
      </w:pPr>
      <w:r>
        <w:t xml:space="preserve">The pick buckets caused a live failure, not a theoretical one: the 51-100 bucket carries a single value across fifty slots, so a trade-down within that range priced at exactly zero surplus. The boundary at pick 151 also splits round five of the draft across two different buckets. The fix is a shape-constrained monotone fit rather than fixed buckets, and it has not been built yet.</w:t>
      </w:r>
    </w:p>
    <w:p>
      <w:pPr>
        <w:spacing w:after="200"/>
        <w:jc w:val="left"/>
      </w:pPr>
      <w:r>
        <w:t xml:space="preserve">Rule A's zero-surplus assumption is not independent of the market rate it prices against. If contract length carries genuine market value that the rate does not capture, successful picks generate real second-contract surplus that the curve sets to zero by construction, and the top of the curve is understated as a result.</w:t>
      </w:r>
    </w:p>
    <w:p>
      <w:pPr>
        <w:spacing w:after="200"/>
        <w:jc w:val="left"/>
      </w:pPr>
      <w:r>
        <w:t xml:space="preserve">A global parametric functional form was tried for the curve and overstated pick 1 by 112%. It is recorded here so the attempt is not revisited without knowing why it failed.</w:t>
      </w:r>
    </w:p>
    <w:p>
      <w:pPr>
        <w:pStyle w:val="Heading2"/>
        <w:spacing w:after="140" w:before="280"/>
      </w:pPr>
      <w:r>
        <w:t xml:space="preserve">Pricing actual traded picks, and the future-pick discount (built and locked)</w:t>
      </w:r>
    </w:p>
    <w:p>
      <w:pPr>
        <w:spacing w:after="200"/>
        <w:jc w:val="left"/>
      </w:pPr>
      <w:r>
        <w:t xml:space="preserve">Reading a pick's value off the curve above is not the same problem as pricing a pick that actually changed hands in a trade. A traded pick often has an unknown eventual slot, may be conditional or protected, and its final position can depend on lottery mechanics that have not yet resolved on the trade date. A future second-round pick traded before its number exists needs a convention before it can be priced; the two candidates considered are a round-mean slot and a standings-conditioned expectation of where that pick will land.</w:t>
      </w:r>
    </w:p>
    <w:p>
      <w:pPr>
        <w:spacing w:after="200"/>
        <w:jc w:val="left"/>
      </w:pPr>
      <w:r>
        <w:t xml:space="preserve">The central finding here is a negative one, and it is reported as a finding rather than a gap. The pure pick-for-pick trade sample cannot identify a future-pick discount on its own: of 119 such trades, 56 are cross-year, but 39 of those are one-for-one swaps, and 35 of those 39 are same-round swaps carrying almost no price information, since a future first for a current first is close to a wash by construction. That leaves 17 bundle trades as the entire estimation sample, which is a market-structure result about what this particular slice of the data can support, not a modeling failure.</w:t>
      </w:r>
    </w:p>
    <w:p>
      <w:pPr>
        <w:spacing w:after="200"/>
        <w:jc w:val="left"/>
      </w:pPr>
      <w:r>
        <w:t xml:space="preserve">A stronger alternative design uses repeat sales. 811 distinct picks appear in the trade file, 241 of them traded more than once, and 163 traded at two or more different time horizons before their number was known. Observing one identical asset priced twice gives the future-pick discount directly, and because the asset is held fixed across the two observations, this design removes the unknown-slot convention from the comparison entirely.</w:t>
      </w:r>
    </w:p>
    <w:p>
      <w:pPr>
        <w:spacing w:after="200"/>
        <w:jc w:val="left"/>
      </w:pPr>
      <w:r>
        <w:t xml:space="preserve">### Open and untested</w:t>
      </w:r>
    </w:p>
    <w:p>
      <w:pPr>
        <w:spacing w:after="200"/>
        <w:jc w:val="left"/>
      </w:pPr>
      <w:r>
        <w:t xml:space="preserve">A back-filled </w:t>
      </w:r>
      <w:r>
        <w:rPr>
          <w:i/>
          <w:iCs/>
        </w:rPr>
        <w:t xml:space="preserve">overall_position</w:t>
      </w:r>
      <w:r>
        <w:t xml:space="preserve"> field exists in the data and must never be used for pricing a pick as of its trade date, since it carries a number nobody actually knew on that date. This is the live look-ahead threat specific to this pillar (Doc 5, §5.1).</w:t>
      </w:r>
    </w:p>
    <w:p>
      <w:pPr>
        <w:spacing w:after="200"/>
        <w:jc w:val="left"/>
      </w:pPr>
      <w:r>
        <w:t xml:space="preserve">Double-counting bust risk is the most likely place a careful reader finds a problem: the curve above already prices bust probability into each slot's value, so any additional deferral premium charged for uncertainty about a future pick's eventual quality would be charging that same risk twice.</w:t>
      </w:r>
    </w:p>
    <w:p>
      <w:pPr>
        <w:spacing w:after="200"/>
        <w:jc w:val="left"/>
      </w:pPr>
      <w:r>
        <w:t xml:space="preserve">The repeat-sales design is blocked until the prospect pillar below exists: only 4 of the 163 repeat-sale picks have each leg of their trade history inside pure pick-for-pick trades, which is not enough to run the design on its own.</w:t>
      </w:r>
    </w:p>
    <w:p>
      <w:pPr>
        <w:pStyle w:val="Heading2"/>
        <w:spacing w:after="140" w:before="280"/>
      </w:pPr>
      <w:r>
        <w:t xml:space="preserve">The prospect pillar (designed, not built)</w:t>
      </w:r>
    </w:p>
    <w:p>
      <w:pPr>
        <w:spacing w:after="200"/>
        <w:jc w:val="left"/>
      </w:pPr>
      <w:r>
        <w:t xml:space="preserve">The prospect pillar is the last unbuilt piece of the model and the largest remaining structural risk to the thesis's central claim, that three different asset classes can be priced onto one common dollar scale. Without it, non-roster prospects are simply absent from the back-test.</w:t>
      </w:r>
    </w:p>
    <w:p>
      <w:pPr>
        <w:spacing w:after="200"/>
        <w:jc w:val="left"/>
      </w:pPr>
      <w:r>
        <w:t xml:space="preserve">The binding design constraint, stated first because everything else depends on it: the pillar must apply the market rate from Doc 3, §3.2, not fit against it. Value should be estimated in win or probability units throughout and converted to dollars only at the final step, so that a future change to the market rate becomes a re-point of the conversion rather than a full refit of the pillar.</w:t>
      </w:r>
    </w:p>
    <w:p>
      <w:pPr>
        <w:spacing w:after="200"/>
        <w:jc w:val="left"/>
      </w:pPr>
      <w:r>
        <w:t xml:space="preserve">Non-NHL production needs translating into NHL-equivalent terms before it means anything to the model, and that translation coefficient is designed to vary by era rather than use one pooled figure across all seasons, since league scoring environments and feeder-league strength both shift over time. For a prospect with no professional record, a draft-slot prior stands in as the starting estimate, the same kind of information the draft curve already uses.</w:t>
      </w:r>
    </w:p>
    <w:p>
      <w:pPr>
        <w:spacing w:after="200"/>
        <w:jc w:val="left"/>
      </w:pPr>
      <w:r>
        <w:t xml:space="preserve">The core machinery is a fading prior: a weight that moves from the draft-slot prior toward the player's own observed production as evidence accumulates. Three design questions are still open rather than settled: what unit of evidence should drive the fade (games played is the most defensible candidate), what the fade rate should be (this should be estimated, not assumed), and whether the prior should fade all the way to zero or retain some permanent weight. The pillar is designed to mirror the draft pillar's Rule A convention above, so that the two remain comparable on the same terms.</w:t>
      </w:r>
    </w:p>
    <w:p>
      <w:pPr>
        <w:spacing w:after="200"/>
        <w:jc w:val="left"/>
      </w:pPr>
      <w:r>
        <w:t xml:space="preserve">### Open and untested</w:t>
      </w:r>
    </w:p>
    <w:p>
      <w:pPr>
        <w:spacing w:after="200"/>
        <w:jc w:val="left"/>
      </w:pPr>
      <w:r>
        <w:t xml:space="preserve">A shared-input problem exists between this pillar and the draft curve: the same draft-slot baselines feed both this pillar's prior and the external validation reported for the draft curve (r=0.893, an out-of-sample check against real outcomes). Once those baselines are used inside this pillar as well, the two checks are no longer independent of each other, and that should be stated once, explicitly, rather than left for a reader to notice on their own.</w:t>
      </w:r>
    </w:p>
    <w:p>
      <w:pPr>
        <w:spacing w:after="200"/>
        <w:jc w:val="left"/>
      </w:pPr>
      <w:r>
        <w:t xml:space="preserve">A circularity risk specific to this pillar mirrors the one Doc 1 addresses for the player pillar: if the fade rate is estimated on outcomes that also feed the valuation itself, the same problem Phase 4b was built to solve recurs here. The fade rate needs to be recovered from held-out prediction accuracy, not from how well it fits the valuations the model produces.</w:t>
      </w:r>
    </w:p>
    <w:p>
      <w:pPr>
        <w:spacing w:after="200"/>
        <w:jc w:val="left"/>
      </w:pPr>
      <w:r>
        <w:t xml:space="preserve">A selection-bias problem exists here with no real analogue elsewhere in the model: which prospects even have a professional record is not random. A prospect who stays in junior hockey or moves to an untracked European league drops out of the visible sample in a way that likely correlates with quality, and neither the draft nor player pillars face an equivalent gap.</w:t>
      </w:r>
    </w:p>
    <w:p>
      <w:pPr>
        <w:spacing w:after="200"/>
        <w:jc w:val="left"/>
      </w:pPr>
      <w:r>
        <w:t xml:space="preserve">The NHLe translation crosswalk between league scoring rates was generated but never independently verified, and each downstream figure in this pillar would read through it once built.</w:t>
      </w:r>
    </w:p>
    <w:p>
      <w:pPr>
        <w:pStyle w:val="Heading2"/>
        <w:spacing w:after="140" w:before="280"/>
      </w:pPr>
      <w:r>
        <w:t xml:space="preserve">Salary retention pricing, headline contribution two (designed, not built)</w:t>
      </w:r>
    </w:p>
    <w:p>
      <w:pPr>
        <w:spacing w:after="200"/>
        <w:jc w:val="left"/>
      </w:pPr>
      <w:r>
        <w:t xml:space="preserve">This is one of the thesis's two original contributions, alongside trade-clause pricing below. The CBA permits a club to retain up to 50% of a traded player's salary and cap hit for the remainder of the contract, with a maximum of three retained contracts per team and an aggregate retained cap hit capped at 15% of the upper limit. Retention has a real market price precisely because it is a scarce, capped resource rather than something any club can supply in unlimited quantity.</w:t>
      </w:r>
    </w:p>
    <w:p>
      <w:pPr>
        <w:spacing w:after="200"/>
        <w:jc w:val="left"/>
      </w:pPr>
      <w:r>
        <w:t xml:space="preserve">Three-team facilitator trades are the design's identification strategy: in these deals a middle team's only contribution is cap space to hold a portion of a retained contract, so what that middle team receives back is close to a clean, uncontaminated read on what retention costs on the open market. The design recovers that price from roughly 51 such deals in the data. A 2025-26 CBA amendment ended same-transaction double retention, which changes the window over which this price can be estimated going forward and should be accounted for in how the estimation window is chosen.</w:t>
      </w:r>
    </w:p>
    <w:p>
      <w:pPr>
        <w:spacing w:after="200"/>
        <w:jc w:val="left"/>
      </w:pPr>
      <w:r>
        <w:t xml:space="preserve">### Open and untested</w:t>
      </w:r>
    </w:p>
    <w:p>
      <w:pPr>
        <w:spacing w:after="200"/>
        <w:jc w:val="left"/>
      </w:pPr>
      <w:r>
        <w:t xml:space="preserve">This component is self-contained and could be built in parallel with any other unbuilt piece, but it has not been built yet.</w:t>
      </w:r>
    </w:p>
    <w:p>
      <w:pPr>
        <w:spacing w:after="200"/>
        <w:jc w:val="left"/>
      </w:pPr>
      <w:r>
        <w:t xml:space="preserve">Roughly 51 deals is a small sample for any point estimate. Whatever this design produces needs to be reported with an interval attached, not presented as a single settled number.</w:t>
      </w:r>
    </w:p>
    <w:p>
      <w:pPr>
        <w:pStyle w:val="Heading2"/>
        <w:spacing w:after="140" w:before="280"/>
      </w:pPr>
      <w:r>
        <w:t xml:space="preserve">Trade clauses and the friction cost, headline contribution one (designed, not built)</w:t>
      </w:r>
    </w:p>
    <w:p>
      <w:pPr>
        <w:spacing w:after="200"/>
        <w:jc w:val="left"/>
      </w:pPr>
      <w:r>
        <w:t xml:space="preserve">This is the other original contribution, and the only one of the two still blocked on data rather than only on build time. Three clause types are in scope: a full no-trade clause, a modified or limited no-trade clause with an allow-list or block-list of teams, and a no-movement clause, which additionally restricts assignment to the minor leagues. Each restricts a club's options differently.</w:t>
      </w:r>
    </w:p>
    <w:p>
      <w:pPr>
        <w:spacing w:after="200"/>
        <w:jc w:val="left"/>
      </w:pPr>
      <w:r>
        <w:t xml:space="preserve">A clause has a price because it removes the acquiring club's outside options in any future negotiation, which hands the player real leverage. This is a monopsony argument, a single-buyer-power argument, and it should be framed explicitly as one rather than left as an intuitive aside. Roughly 100 to 130 players carry some form of trade protection at any given time, 10% to 15% of the league. No peer-reviewed estimate of a clause's dollar cost currently exists; practitioner estimates suggest 3% to 8% additional average annual value or an extra contract year, and any citation of those figures should be attributed as practitioner estimate, not treated as an equivalent finding.</w:t>
      </w:r>
    </w:p>
    <w:p>
      <w:pPr>
        <w:spacing w:after="200"/>
        <w:jc w:val="left"/>
      </w:pPr>
      <w:r>
        <w:t xml:space="preserve">The intended design measures a clause's cost as the residual left over in a model of average annual value against projected player value once clause presence is conditioned on directly.</w:t>
      </w:r>
    </w:p>
    <w:p>
      <w:pPr>
        <w:spacing w:after="200"/>
        <w:jc w:val="left"/>
      </w:pPr>
      <w:r>
        <w:t xml:space="preserve">### Open and untested</w:t>
      </w:r>
    </w:p>
    <w:p>
      <w:pPr>
        <w:spacing w:after="200"/>
        <w:jc w:val="left"/>
      </w:pPr>
      <w:r>
        <w:t xml:space="preserve">Clause status is already attached to each contract-season in the data, but nothing yet supports a revealed-preference estimate of what a clause actually costs. This is the live blocker on delivering this headline contribution.</w:t>
      </w:r>
    </w:p>
    <w:p>
      <w:pPr>
        <w:spacing w:after="200"/>
        <w:jc w:val="left"/>
      </w:pPr>
      <w:r>
        <w:t xml:space="preserve">Forced-trade detection does not exist yet. An upper bound is known, 53 of 205 clean player-only trades carry a clause-holder flag, but a clause being present on a contract is not proof that the clause caused or blocked that trade. This detection needs to exist before monopsony-driven trades can become their own back-test category rather than sitting unlabeled inside the residual.</w:t>
      </w:r>
    </w:p>
    <w:p>
      <w:pPr>
        <w:spacing w:after="200"/>
        <w:jc w:val="left"/>
      </w:pPr>
      <w:r>
        <w:t xml:space="preserve">An eligibility rule that circulated early in scoping was wrong and has been corrected: the "7 or more accrued seasons and 4 or more years pro" formula describes arbitration eligibility, not trade-clause eligibility. The correct rule for clause eligibility is Group 3 unrestricted free agent status, which requires 27 years of age or older, or 7 or more accrued professional seasons.</w:t>
      </w:r>
    </w:p>
    <w:p>
      <w:pPr>
        <w:pStyle w:val="Heading2"/>
        <w:spacing w:after="140" w:before="280"/>
      </w:pPr>
      <w:r>
        <w:t xml:space="preserve">The back-test design (designed, not built)</w:t>
      </w:r>
    </w:p>
    <w:p>
      <w:pPr>
        <w:spacing w:after="200"/>
        <w:jc w:val="left"/>
      </w:pPr>
      <w:r>
        <w:t xml:space="preserve">This is the component everything else in the model exists to enable. It is not built, but its design needs to be legible before it is built, because the design's structure determines what each earlier pillar has to produce.</w:t>
      </w:r>
    </w:p>
    <w:p>
      <w:pPr>
        <w:spacing w:after="200"/>
        <w:jc w:val="left"/>
      </w:pPr>
      <w:r>
        <w:t xml:space="preserve">The per-trade procedure computes the net present value of the assets a club sent against the assets it received, using only information that existed on the trade date, and treats the difference as the model's ex-ante prediction of who won the trade. Trades are compared as surplus ratios, the NPV sent divided by the NPV received, rather than as raw dollar differences, for the same reason surplus ratios are used to absorb error in the market rate in Doc 3, §3.3: both sides of a trade share the same rate, so a level error in that rate largely cancels out of the ratio.</w:t>
      </w:r>
    </w:p>
    <w:p>
      <w:pPr>
        <w:spacing w:after="200"/>
        <w:jc w:val="left"/>
      </w:pPr>
      <w:r>
        <w:t xml:space="preserve">Realized outcomes are measured using the non-Bacon Game Value metric from Doc 1, because it is the only yardstick in the project that can break circularity for a systematic claim about mispricing; using Bacon-derived outcomes to grade a Bacon-derived prediction would just test the model against itself again. Once a trade's predicted and realized outcomes are compared, the residual gets decomposed into candidate explanations: genuine mispricing, team-fit premiums specific to one roster, private-information rents a club may hold about its own player, and monopsony pricing under trade-protection clauses.</w:t>
      </w:r>
    </w:p>
    <w:p>
      <w:pPr>
        <w:spacing w:after="200"/>
        <w:jc w:val="left"/>
      </w:pPr>
      <w:r>
        <w:t xml:space="preserve">The efficient-market null is stated in advance, before the back-test runs: the market prices all three asset classes correctly on average, any surplus differences observed are noise, and no systematic pattern exists by asset class, contract length, age, or competitive position. Stating this null before running the test is what makes a failure to reject it a publishable finding rather than a result that looks like the project simply came up empty.</w:t>
      </w:r>
    </w:p>
    <w:p>
      <w:pPr>
        <w:spacing w:after="200"/>
        <w:jc w:val="left"/>
      </w:pPr>
      <w:r>
        <w:t xml:space="preserve">What is priceable today, and what is not, is informative: 69.1% of the 946 distinct trade events involve at least one draft pick, and the cleanest fully priceable category right now is player-only trades, 205 events, 21.7% of the total, of which 153 additionally need the mid-season allocation step from Doc 1.</w:t>
      </w:r>
    </w:p>
    <w:p>
      <w:pPr>
        <w:spacing w:after="200"/>
        <w:jc w:val="left"/>
      </w:pPr>
      <w:r>
        <w:t xml:space="preserve">### Open and untested</w:t>
      </w:r>
    </w:p>
    <w:p>
      <w:pPr>
        <w:spacing w:after="200"/>
        <w:jc w:val="left"/>
      </w:pPr>
      <w:r>
        <w:t xml:space="preserve">The power analysis behind this design has not been re-run since most of the model was still unbuilt, so a failure to reject the efficient-market null cannot yet be read as evidence of efficiency. This is a prerequisite that needs to be re-run once the pillars above are further along, not a footnote to add later.</w:t>
      </w:r>
    </w:p>
    <w:p>
      <w:pPr>
        <w:spacing w:after="200"/>
        <w:jc w:val="left"/>
      </w:pPr>
      <w:r>
        <w:t xml:space="preserve">Selection bias here is structural rather than fixable: a trade only happens when two clubs agree to it, so the trades that were not made, the true counterfactual, are unobservable by construction. This is documented as a limitation, not solved.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2026-09-09T16:37:41.354Z</dcterms:created>
  <dcterms:modified xsi:type="dcterms:W3CDTF">2026-09-09T16:37:41.354Z</dcterms:modified>
</cp:coreProperties>
</file>

<file path=docProps/custom.xml><?xml version="1.0" encoding="utf-8"?>
<Properties xmlns="http://schemas.openxmlformats.org/officeDocument/2006/custom-properties" xmlns:vt="http://schemas.openxmlformats.org/officeDocument/2006/docPropsVTypes"/>
</file>