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t xml:space="preserve">Cross-Cutting: Identification, Findings, Verification, and Bias</w:t>
      </w:r>
    </w:p>
    <w:p>
      <w:pPr>
        <w:spacing w:after="200"/>
        <w:jc w:val="left"/>
      </w:pPr>
      <w:r>
        <w:t xml:space="preserve">This document is synthesis. Each section pulls together material already stated across Docs 1 through 4 rather than introducing new results, and it is written last for that reason.</w:t>
      </w:r>
    </w:p>
    <w:p>
      <w:pPr>
        <w:pStyle w:val="Heading2"/>
        <w:spacing w:after="140" w:before="280"/>
      </w:pPr>
      <w:r>
        <w:t xml:space="preserve">Identification threats: look-ahead and selection</w:t>
      </w:r>
    </w:p>
    <w:p>
      <w:pPr>
        <w:spacing w:after="200"/>
        <w:jc w:val="left"/>
      </w:pPr>
      <w:r>
        <w:t xml:space="preserve">The core defence against look-ahead bias is a trailing-only rule: each valuation uses only data that existed before the decision date. Production baselines come exclusively from seasons preceding the valuation season. The comparable search in Doc 2, §2.2 runs at a player's trailing age and excludes his own later seasons, so a player never sits among the comparables teaching the model how someone like him ages. The salary-cap trajectory assumed in discounting (Doc 3, §3.3) is the path a contemporary observer would have projected, never the path that was actually realized; for example, a 2019 valuation is not permitted to know that the pandemic later froze the cap.</w:t>
      </w:r>
    </w:p>
    <w:p>
      <w:pPr>
        <w:spacing w:after="200"/>
        <w:jc w:val="left"/>
      </w:pPr>
      <w:r>
        <w:t xml:space="preserve">One documented exception to the trailing-only rule is left in place rather than hidden. The comparable pool and the aging curve are each fit once on the full panel, so a projection dated 2019 uses aging parameters estimated partly from seasons after 2019. No individual player's own future reaches his own valuation; what crosses the line is a population-level regularity, not player-specific information, and that is the defence for treating this as a limitation rather than a disqualifying flaw. The market rate (Doc 3, §3.2) and the retirement-risk table (Doc 2, §2.4) carry the same exposure and rest on the same defence: each is a structural, league-wide parameter fit once and applied backward, not a player-specific forecast.</w:t>
      </w:r>
    </w:p>
    <w:p>
      <w:pPr>
        <w:spacing w:after="200"/>
        <w:jc w:val="left"/>
      </w:pPr>
      <w:r>
        <w:t xml:space="preserve">That defence has been tested rather than only asserted, for the aging curve specifically. Fit separately on 2007-08 through 2015 and on 2016 through 2025, the two curves were compared across 16 ages: forwards differed at 0 of 16 ages and defencemen at 1 of 16, against roughly 1.6 differences expected by chance alone. The market rate has a comparable check: fitted on 2018 through 2021 alone, the replacement-level price moves by −3.0%, the forward rate by +1.5%, and the defence rate by +2.9%; fitted on 2022 through 2025 alone, the moves are +2.7%, −1.1%, and −2.3%. A two-win valuation moves by $32,000 out of $5.3 million between the two windows. The retirement-risk table has not yet had the same explicit split-sample check run against it, and that should be treated as outstanding rather than assumed to pass by analogy.</w:t>
      </w:r>
    </w:p>
    <w:p>
      <w:pPr>
        <w:spacing w:after="200"/>
        <w:jc w:val="left"/>
      </w:pPr>
      <w:r>
        <w:t xml:space="preserve">The pillar-specific look-ahead threats are gathered here rather than left scattered: the back-filled </w:t>
      </w:r>
      <w:r>
        <w:rPr>
          <w:i/>
          <w:iCs/>
        </w:rPr>
        <w:t xml:space="preserve">overall_position</w:t>
      </w:r>
      <w:r>
        <w:t xml:space="preserve"> field in the draft-pick data (Doc 4, §4.2), and the era-varying NHLe coefficients and draft-slot baselines in the prospect pillar design, which are current-vintage estimates that would be applied to historical decisions once built (Doc 4, §4.3).</w:t>
      </w:r>
    </w:p>
    <w:p>
      <w:pPr>
        <w:spacing w:after="200"/>
        <w:jc w:val="left"/>
      </w:pPr>
      <w:r>
        <w:t xml:space="preserve">Selection bias is structural and unsolvable at the level of the whole back-test: a trade only happens when two clubs agree to it, so the trades that were not made are unobservable by construction (Doc 4, §4.6). The prospect pillar carries its own variant with no analogue elsewhere in the model: which prospects even have a professional record is not random, since players who stay in junior or move to untracked leagues drop out of the visible sample in a way that likely correlates with quality (Doc 4, §4.3).</w:t>
      </w:r>
    </w:p>
    <w:p>
      <w:pPr>
        <w:pStyle w:val="Heading2"/>
        <w:spacing w:after="140" w:before="280"/>
      </w:pPr>
      <w:r>
        <w:t xml:space="preserve">The findings that are findings, not bugs</w:t>
      </w:r>
    </w:p>
    <w:p>
      <w:pPr>
        <w:spacing w:after="200"/>
        <w:jc w:val="left"/>
      </w:pPr>
      <w:r>
        <w:t xml:space="preserve">Three results in this model look like failures on first read and are not. What makes each one a finding rather than a bug is that it survived a real correction attempt; grouping the three together makes that shared logic visible.</w:t>
      </w:r>
    </w:p>
    <w:p>
      <w:pPr>
        <w:spacing w:after="200"/>
        <w:jc w:val="left"/>
      </w:pPr>
      <w:r>
        <w:t xml:space="preserve">Ascending young players price sharply negative. 41 contracts, players 23.5 years old or younger signing terms of six years or more, come out with a median present value near −$20.6 million. A two-part diagnostic splits this: the projection under-forecasts this cohort by roughly $6 million to $8 million per deal, but even granting a full correction for that gap, a residual of well over $10 million per deal remains, and it reads as a genuine market premium, clubs paying heavily for cost certainty on a player they believe is still ascending. Four candidate mechanical fixes, a recent-trajectory term, a thin-history indicator, an age-dependent projection weighting, and a varied baseline-construction scheme, were each tested under held-out validation, and each one degraded out-of-sample accuracy. The finding does not rest on one modeling choice: four separate corrections were later applied to the model for unrelated reasons, two raising these valuations and two lowering them, and the cohort's aggregate price moved only about 1.5% across an eight-year contract as a result.</w:t>
      </w:r>
    </w:p>
    <w:p>
      <w:pPr>
        <w:spacing w:after="200"/>
        <w:jc w:val="left"/>
      </w:pPr>
      <w:r>
        <w:t xml:space="preserve">A star-by-restricted-free-agency interaction explains the top-end price distortion. The main effects for RFA status and for star quality are each statistically indistinguishable from zero on their own (z=0.5 and z=0.3), but the interaction between them is not, at −$1.71 million cap share, z=−4.4. A 4.5-win forward re-signing as a UFA prices at $11.07 million, against $9.43 million as an RFA, a gap of about 14%, or roughly $13 million of cap value across an eight-year term. The entire distortion at the top of the market is specifically about star RFAs, not RFAs generally and not stars generally.</w:t>
      </w:r>
    </w:p>
    <w:p>
      <w:pPr>
        <w:spacing w:after="200"/>
        <w:jc w:val="left"/>
      </w:pPr>
      <w:r>
        <w:t xml:space="preserve">An own-club level premium adds a flat $0.58 million to the price of re-signing with a player's current team, z=5.1, with no accompanying slope effect. Because it is a level shift rather than a percentage, it lands hardest in the middle of the market: 19% of a $3 million player's price against 6% of a $10 million star's price. This is a candidate mechanism behind clubs getting into salary-cap trouble specifically on mid-tier players, and it is a distinct finding from the star-RFA interaction above, not a restatement of it.</w:t>
      </w:r>
    </w:p>
    <w:p>
      <w:pPr>
        <w:spacing w:after="200"/>
        <w:jc w:val="left"/>
      </w:pPr>
      <w:r>
        <w:t xml:space="preserve">One interpretive line has to survive into any write-up of these results without being blurred. "Star RFAs are underpaid relative to star UFAs" is a within-market differential, and it is measurable directly from the data above. "Stars league-wide are underpaid relative to their true value" is a level claim about the market as a whole, and it is not measurable from inside the market, because the model's own value prediction is a market-based estimate; a market-wide depression in star pricing would depress the model's prediction in the same direction, and the two effects cannot be told apart from the residual alone. These are two different claims, and only the first is actually supported.</w:t>
      </w:r>
    </w:p>
    <w:p>
      <w:pPr>
        <w:spacing w:after="200"/>
        <w:jc w:val="left"/>
      </w:pPr>
      <w:r>
        <w:t xml:space="preserve">### Open and untested</w:t>
      </w:r>
    </w:p>
    <w:p>
      <w:pPr>
        <w:spacing w:after="200"/>
        <w:jc w:val="left"/>
      </w:pPr>
      <w:r>
        <w:t xml:space="preserve">The 3.5-win star cutoff used in this analysis is arbitrary and has not been swept against alternatives; it also differs from the 3-win cutoff used for the exit-hazard quality tiers in Doc 2, §2.4, and the project currently runs on two inconsistent star definitions rather than one. A sensitivity sweep across roughly 3.0 to 4.5 wins is owed before either finding is finalized.</w:t>
      </w:r>
    </w:p>
    <w:p>
      <w:pPr>
        <w:spacing w:after="200"/>
        <w:jc w:val="left"/>
      </w:pPr>
      <w:r>
        <w:t xml:space="preserve">The exploratory fit behind these three findings used 2,468 contracts with unprorated anchors and 34 total stars in the sample. A refit on the current locked 2,349-contract sample with prorated anchors is required before any of these three findings is formally adopted.</w:t>
      </w:r>
    </w:p>
    <w:p>
      <w:pPr>
        <w:spacing w:after="200"/>
        <w:jc w:val="left"/>
      </w:pPr>
      <w:r>
        <w:t xml:space="preserve">Only two open-market star signings exist in the observation window, in 2019 and 2022. Both priced above the own-club star mean, consistent with the own-club premium finding above, but a sample of two supports no statistical claim on its own.</w:t>
      </w:r>
    </w:p>
    <w:p>
      <w:pPr>
        <w:spacing w:after="200"/>
        <w:jc w:val="left"/>
      </w:pPr>
      <w:r>
        <w:t xml:space="preserve">Long-term deals that cross a player's UFA eligibility date have no separate handling in the model. This is very likely the same phenomenon as the ascending-young-players finding, seen from the other direction: a star RFA signing a long extension is effectively buying UFA-market years at RFA-discounted prices. This has been open since the project began and has never been actioned.</w:t>
      </w:r>
    </w:p>
    <w:p>
      <w:pPr>
        <w:pStyle w:val="Heading2"/>
        <w:spacing w:after="140" w:before="280"/>
      </w:pPr>
      <w:r>
        <w:t xml:space="preserve">Verification discipline and reproducibility</w:t>
      </w:r>
    </w:p>
    <w:p>
      <w:pPr>
        <w:spacing w:after="200"/>
        <w:jc w:val="left"/>
      </w:pPr>
      <w:r>
        <w:t xml:space="preserve">The project runs on a reproduce-before-extending rule: before any new result is trusted, the pipeline first reproduces its own previously locked results, as proof that nothing has silently drifted, and only then moves on to fitting anything current. The case that produced this rule as a hard requirement is worth stating directly: a locked market-rate regression once pooled goaltenders into what its own methods section presented as a skater-only sample, and this was caught only because a reproduction guard was built and run before that regression's numbers were trusted for anything further downstream (Doc 3, §3.2).</w:t>
      </w:r>
    </w:p>
    <w:p>
      <w:pPr>
        <w:spacing w:after="200"/>
        <w:jc w:val="left"/>
      </w:pPr>
      <w:r>
        <w:t xml:space="preserve">File integrity in this project is verified by content hash against a manifest, not by file size, because file size is not a reliable check: a pre-rebuild and a post-rebuild version of the draft yield curve file were both exactly 845 bytes with entirely different contents inside them. The full contract-pricing chain has also been reproduced independently on two separate machines, with the skater side matching digit for digit.</w:t>
      </w:r>
    </w:p>
    <w:p>
      <w:pPr>
        <w:spacing w:after="200"/>
        <w:jc w:val="left"/>
      </w:pPr>
      <w:r>
        <w:t xml:space="preserve">### Open and untested</w:t>
      </w:r>
    </w:p>
    <w:p>
      <w:pPr>
        <w:spacing w:after="200"/>
        <w:jc w:val="left"/>
      </w:pPr>
      <w:r>
        <w:t xml:space="preserve">A verification gap was on record for a period after the Stage 2 through 5 model-review changes: those changes had not been run locally and cross-checked the way the original Stage 1 changes were. This gap was closed on 2026-09-09, when the outstanding Stage 2 length-term null test was run locally and confirmed a decisive null result. This should be described as closed by a specific, named run, not by assertion.</w:t>
      </w:r>
    </w:p>
    <w:p>
      <w:pPr>
        <w:pStyle w:val="Heading2"/>
        <w:spacing w:after="140" w:before="280"/>
      </w:pPr>
      <w:r>
        <w:t xml:space="preserve">The bias register</w:t>
      </w:r>
    </w:p>
    <w:p>
      <w:pPr>
        <w:spacing w:after="200"/>
        <w:jc w:val="left"/>
      </w:pPr>
      <w:r>
        <w:t xml:space="preserve">Eight known biases are tracked here with their direction, because direction is what makes a bias useful to disclose: a bias that works against a project's own finding strengthens that finding, and that argument is only available once the direction is stated plainly rather than left as a vague caveat.</w:t>
      </w:r>
    </w:p>
    <w:p>
      <w:pPr>
        <w:spacing w:after="200"/>
        <w:jc w:val="left"/>
      </w:pPr>
      <w:r>
        <w:t xml:space="preserve">Zero surplus after the entry-level contract flatters the top of the draft curve, since any real second-contract surplus a successful pick generates is set to zero by the modeling convention (Doc 4, §4.1).</w:t>
      </w:r>
    </w:p>
    <w:p>
      <w:pPr>
        <w:spacing w:after="200"/>
        <w:jc w:val="left"/>
      </w:pPr>
      <w:r>
        <w:t xml:space="preserve">Exit risk is understated for below-replacement players, because the 93% recovery rate reported for that population is conditional on a player reappearing in the data, and exit from the league is precisely the event that would prevent that (Doc 2, §2.4).</w:t>
      </w:r>
    </w:p>
    <w:p>
      <w:pPr>
        <w:spacing w:after="200"/>
        <w:jc w:val="left"/>
      </w:pPr>
      <w:r>
        <w:t xml:space="preserve">Cap optionality, the value of roster flexibility a shorter contract buys, is not priced anywhere in the model. This does not flatter long contracts; it works in the opposite direction, which is the direction that matters for the long-contract finding referenced in Doc 3, §3.3.</w:t>
      </w:r>
    </w:p>
    <w:p>
      <w:pPr>
        <w:spacing w:after="200"/>
        <w:jc w:val="left"/>
      </w:pPr>
      <w:r>
        <w:t xml:space="preserve">A positional pricing error of roughly $496,000 per season survives even after the position term in the market rate (Doc 3, §3.2).</w:t>
      </w:r>
    </w:p>
    <w:p>
      <w:pPr>
        <w:spacing w:after="200"/>
        <w:jc w:val="left"/>
      </w:pPr>
      <w:r>
        <w:t xml:space="preserve">44.6% of RFA contracts fall back to average annual value for their qualifying-offer calculation, which disables the CBA's 120% qualifying-offer cap in exactly the front-loaded contracts that cap was written to constrain (Doc 3, §3.1).</w:t>
      </w:r>
    </w:p>
    <w:p>
      <w:pPr>
        <w:spacing w:after="200"/>
        <w:jc w:val="left"/>
      </w:pPr>
      <w:r>
        <w:t xml:space="preserve">16.3% of the draft curve's total value rests on a name match between data sources rather than a shared identifier (Doc 4, §4.1).</w:t>
      </w:r>
    </w:p>
    <w:p>
      <w:pPr>
        <w:spacing w:after="200"/>
        <w:jc w:val="left"/>
      </w:pPr>
      <w:r>
        <w:t xml:space="preserve">The aging curve's projection multiplier has a guard rail on only one side, and the missing lower bound is live on 67 real contract-seasons (Doc 2, §2.3).</w:t>
      </w:r>
    </w:p>
    <w:p>
      <w:pPr>
        <w:spacing w:after="200"/>
        <w:jc w:val="left"/>
      </w:pPr>
      <w:r>
        <w:t xml:space="preserve">Goaltenders are currently priced on an older least-squares rate rather than the current censored rate used for skaters, so the two positions run on different pricing equations at the moment (Doc 3, §3.4).</w:t>
      </w:r>
    </w:p>
    <w:p>
      <w:pPr>
        <w:spacing w:after="200"/>
        <w:jc w:val="left"/>
      </w:pPr>
      <w:r>
        <w:t xml:space="preserve">Each entry above states its direction and, where known, its magnitude, along with whether it helps or hurts the finding it is associated with.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2026-09-09T16:39:05.113Z</dcterms:created>
  <dcterms:modified xsi:type="dcterms:W3CDTF">2026-09-09T16:39:05.113Z</dcterms:modified>
</cp:coreProperties>
</file>

<file path=docProps/custom.xml><?xml version="1.0" encoding="utf-8"?>
<Properties xmlns="http://schemas.openxmlformats.org/officeDocument/2006/custom-properties" xmlns:vt="http://schemas.openxmlformats.org/officeDocument/2006/docPropsVTypes"/>
</file>