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0845" w14:textId="77777777" w:rsidR="00590399" w:rsidRDefault="00000000">
      <w:pPr>
        <w:spacing w:after="160"/>
      </w:pPr>
      <w:r>
        <w:rPr>
          <w:rFonts w:ascii="Calibri" w:eastAsia="Calibri" w:hAnsi="Calibri" w:cs="Calibri"/>
          <w:b/>
          <w:bCs/>
          <w:sz w:val="34"/>
          <w:szCs w:val="34"/>
        </w:rPr>
        <w:t>Arbitration Cost Update</w:t>
      </w:r>
    </w:p>
    <w:p w14:paraId="52A4EE58" w14:textId="77777777" w:rsidR="00590399" w:rsidRDefault="00000000">
      <w:pPr>
        <w:spacing w:after="100"/>
      </w:pPr>
      <w:r>
        <w:rPr>
          <w:rFonts w:ascii="Calibri" w:eastAsia="Calibri" w:hAnsi="Calibri" w:cs="Calibri"/>
          <w:sz w:val="22"/>
          <w:szCs w:val="22"/>
        </w:rPr>
        <w:t>Changes to the cost of control seasons in the draft pick model and the player model, and the checks run on them. Dollar figures are at the 2025-26 salary cap.</w:t>
      </w:r>
    </w:p>
    <w:p w14:paraId="1C58976A" w14:textId="67AC3159" w:rsidR="00590399" w:rsidRDefault="00000000">
      <w:pPr>
        <w:keepNext/>
        <w:spacing w:before="220" w:after="100"/>
      </w:pPr>
      <w:r>
        <w:rPr>
          <w:rFonts w:ascii="Calibri" w:eastAsia="Calibri" w:hAnsi="Calibri" w:cs="Calibri"/>
          <w:b/>
          <w:bCs/>
          <w:sz w:val="26"/>
          <w:szCs w:val="26"/>
        </w:rPr>
        <w:t>What Changed</w:t>
      </w:r>
    </w:p>
    <w:p w14:paraId="0DB57123" w14:textId="77777777" w:rsidR="00590399" w:rsidRDefault="00000000">
      <w:pPr>
        <w:pStyle w:val="ListParagraph"/>
        <w:numPr>
          <w:ilvl w:val="0"/>
          <w:numId w:val="2"/>
        </w:numPr>
        <w:spacing w:after="60"/>
      </w:pPr>
      <w:r>
        <w:rPr>
          <w:rFonts w:ascii="Calibri" w:eastAsia="Calibri" w:hAnsi="Calibri" w:cs="Calibri"/>
          <w:sz w:val="22"/>
          <w:szCs w:val="22"/>
        </w:rPr>
        <w:t>Control seasons are the restricted free agent seasons after a player's entry-level contract, while his team holds his rights. Both models used to cost each control season as a one-year qualifying offer, each offer computed on the one before.</w:t>
      </w:r>
    </w:p>
    <w:p w14:paraId="04C204F7" w14:textId="6E245AFD" w:rsidR="00590399" w:rsidRDefault="00000000">
      <w:pPr>
        <w:pStyle w:val="ListParagraph"/>
        <w:numPr>
          <w:ilvl w:val="0"/>
          <w:numId w:val="2"/>
        </w:numPr>
        <w:spacing w:after="60"/>
      </w:pPr>
      <w:r>
        <w:rPr>
          <w:rFonts w:ascii="Calibri" w:eastAsia="Calibri" w:hAnsi="Calibri" w:cs="Calibri"/>
          <w:sz w:val="22"/>
          <w:szCs w:val="22"/>
        </w:rPr>
        <w:t>Now, once a player is eligible for salary arbitration, a control season costs the higher of the qualifying offer and the market price of his production. The market price is the contract line's price for the model's own estimate of his level going into that season: his last three seasons' rate per 82 games, weighted 50/30/20 with the most recent first and by games played, pulled 35% toward comparable players, times his expected share of games. Before eligibility, the qualifying offer still applies.</w:t>
      </w:r>
    </w:p>
    <w:p w14:paraId="22452284" w14:textId="77777777" w:rsidR="00590399" w:rsidRDefault="00000000">
      <w:pPr>
        <w:pStyle w:val="ListParagraph"/>
        <w:numPr>
          <w:ilvl w:val="0"/>
          <w:numId w:val="2"/>
        </w:numPr>
        <w:spacing w:after="60"/>
      </w:pPr>
      <w:r>
        <w:rPr>
          <w:rFonts w:ascii="Calibri" w:eastAsia="Calibri" w:hAnsi="Calibri" w:cs="Calibri"/>
          <w:sz w:val="22"/>
          <w:szCs w:val="22"/>
        </w:rPr>
        <w:t xml:space="preserve">The reason: the qualifying-offer chain charged far less than teams paid. For first-round picks who played, actual cap hits over the seasons their clubs controlled them (entry-level seasons included) were 3.2 times the chain's cost for picks 1-10 and 2.1 to 2.3 times for picks 11-32. Part of that gap is long contracts that also buy free-agent seasons.</w:t>
      </w:r>
    </w:p>
    <w:p w14:paraId="5149F0ED" w14:textId="77777777" w:rsidR="00590399" w:rsidRDefault="00000000">
      <w:pPr>
        <w:pStyle w:val="ListParagraph"/>
        <w:numPr>
          <w:ilvl w:val="0"/>
          <w:numId w:val="2"/>
        </w:numPr>
        <w:spacing w:after="60"/>
      </w:pPr>
      <w:r>
        <w:rPr>
          <w:rFonts w:ascii="Calibri" w:eastAsia="Calibri" w:hAnsi="Calibri" w:cs="Calibri"/>
          <w:sz w:val="22"/>
          <w:szCs w:val="22"/>
        </w:rPr>
        <w:t>The same rule applies to drafted players and to players under contract, so a pick and a player are costed the same way.</w:t>
      </w:r>
    </w:p>
    <w:p w14:paraId="1CAC9F2C" w14:textId="49A6D706" w:rsidR="00590399" w:rsidRDefault="00000000">
      <w:pPr>
        <w:pStyle w:val="ListParagraph"/>
        <w:numPr>
          <w:ilvl w:val="0"/>
          <w:numId w:val="2"/>
        </w:numPr>
        <w:spacing w:after="60"/>
      </w:pPr>
      <w:r>
        <w:rPr>
          <w:rFonts w:ascii="Calibri" w:eastAsia="Calibri" w:hAnsi="Calibri" w:cs="Calibri"/>
          <w:sz w:val="22"/>
          <w:szCs w:val="22"/>
        </w:rPr>
        <w:t>Eligibility follows the CBA (Section 12.1). A player needs four years of professional experience if he first signed at 18-20, three at 21, two at 22-23 and one at 24 or older, with age taken on September 15 of the year he first signed. For drafted players the signing year comes from contract records (1,092 of the 1,157 who played); his first NHL season stands in for the other 65.</w:t>
      </w:r>
    </w:p>
    <w:p w14:paraId="2563241E" w14:textId="77777777" w:rsidR="00590399" w:rsidRDefault="00000000">
      <w:pPr>
        <w:pStyle w:val="ListParagraph"/>
        <w:numPr>
          <w:ilvl w:val="1"/>
          <w:numId w:val="2"/>
        </w:numPr>
        <w:spacing w:after="60"/>
      </w:pPr>
      <w:r>
        <w:rPr>
          <w:rFonts w:ascii="Calibri" w:eastAsia="Calibri" w:hAnsi="Calibri" w:cs="Calibri"/>
          <w:sz w:val="22"/>
          <w:szCs w:val="22"/>
        </w:rPr>
        <w:t>For drafted players the years are counted from the data, a year being a season of 10 or more NHL games. The data holds no AHL games, so eligibility comes later than in fact and the cost is understated.</w:t>
      </w:r>
    </w:p>
    <w:p w14:paraId="676D5129" w14:textId="77777777" w:rsidR="00590399" w:rsidRDefault="00000000">
      <w:pPr>
        <w:pStyle w:val="ListParagraph"/>
        <w:numPr>
          <w:ilvl w:val="1"/>
          <w:numId w:val="2"/>
        </w:numPr>
        <w:spacing w:after="60"/>
      </w:pPr>
      <w:r>
        <w:rPr>
          <w:rFonts w:ascii="Calibri" w:eastAsia="Calibri" w:hAnsi="Calibri" w:cs="Calibri"/>
          <w:sz w:val="22"/>
          <w:szCs w:val="22"/>
        </w:rPr>
        <w:t>For players under contract the model uses PuckPedia's arbitration-eligibility flag on the contract.</w:t>
      </w:r>
    </w:p>
    <w:p w14:paraId="67CF8FEC" w14:textId="77777777" w:rsidR="00590399" w:rsidRDefault="00000000">
      <w:pPr>
        <w:pStyle w:val="ListParagraph"/>
        <w:numPr>
          <w:ilvl w:val="0"/>
          <w:numId w:val="2"/>
        </w:numPr>
        <w:spacing w:after="60"/>
      </w:pPr>
      <w:r>
        <w:rPr>
          <w:rFonts w:ascii="Calibri" w:eastAsia="Calibri" w:hAnsi="Calibri" w:cs="Calibri"/>
          <w:sz w:val="22"/>
          <w:szCs w:val="22"/>
        </w:rPr>
        <w:t>Every age in the model is now read on September 15 of the season's first year, the date the CBA uses, instead of February 1 of its second year. The price line was re-estimated on the new ages: $1.673 million per forecast win for forwards (from $1.668 million), $2.043 million for defencemen (from $2.012 million).</w:t>
      </w:r>
    </w:p>
    <w:p w14:paraId="20D13E82" w14:textId="77777777" w:rsidR="00590399" w:rsidRDefault="00000000">
      <w:pPr>
        <w:keepNext/>
        <w:spacing w:before="220" w:after="100"/>
      </w:pPr>
      <w:r>
        <w:rPr>
          <w:rFonts w:ascii="Calibri" w:eastAsia="Calibri" w:hAnsi="Calibri" w:cs="Calibri"/>
          <w:b/>
          <w:bCs/>
          <w:sz w:val="26"/>
          <w:szCs w:val="26"/>
        </w:rPr>
        <w:t>2. Draft Picks</w:t>
      </w:r>
    </w:p>
    <w:p w14:paraId="1657B8AD" w14:textId="77777777" w:rsidR="00590399" w:rsidRDefault="00000000">
      <w:pPr>
        <w:pStyle w:val="ListParagraph"/>
        <w:numPr>
          <w:ilvl w:val="0"/>
          <w:numId w:val="2"/>
        </w:numPr>
        <w:spacing w:after="60"/>
      </w:pPr>
      <w:r>
        <w:rPr>
          <w:rFonts w:ascii="Calibri" w:eastAsia="Calibri" w:hAnsi="Calibri" w:cs="Calibri"/>
          <w:sz w:val="22"/>
          <w:szCs w:val="22"/>
        </w:rPr>
        <w:t>The star value, which is the surplus a pick would be worth if its player were certain to become a star, is $18.03 million (standard error 1.73) against $31.90 million under the qualifying-offer chain. Without the 2015 and 2016 drafts it is $15.68 million against $27.82 million.</w:t>
      </w:r>
    </w:p>
    <w:p w14:paraId="3E548835" w14:textId="77777777" w:rsidR="00590399" w:rsidRDefault="00000000">
      <w:pPr>
        <w:pStyle w:val="ListParagraph"/>
        <w:numPr>
          <w:ilvl w:val="0"/>
          <w:numId w:val="2"/>
        </w:numPr>
        <w:spacing w:after="60"/>
      </w:pPr>
      <w:r>
        <w:rPr>
          <w:rFonts w:ascii="Calibri" w:eastAsia="Calibri" w:hAnsi="Calibri" w:cs="Calibri"/>
          <w:sz w:val="22"/>
          <w:szCs w:val="22"/>
        </w:rPr>
        <w:t xml:space="preserve">Of the 2,658 control seasons drafted players played, 1,488 were priced at the market price and 1,103 of those cost more than the qualifying offer. For first-round picks who played, the cost over the seasons their clubs controlled them (entry-level seasons included) is now 1.61 times the chain's for picks 1-10 and 1.34 times for picks 11-32. It remains below what teams actually paid (Figure 1).</w:t>
      </w:r>
    </w:p>
    <w:p>
      <w:pPr>
        <w:keepNext/>
        <w:spacing w:before="180" w:after="60"/>
      </w:pPr>
      <w:r>
        <w:rPr>
          <w:rFonts w:ascii="Calibri" w:eastAsia="Calibri" w:hAnsi="Calibri" w:cs="Calibri"/>
          <w:b/>
          <w:bCs/>
          <w:sz w:val="20"/>
          <w:szCs w:val="20"/>
        </w:rPr>
        <w:t xml:space="preserve">Figure 1. What first-round picks delivered, what the model charges for them, and what clubs paid</w:t>
      </w:r>
    </w:p>
    <w:p>
      <w:pPr>
        <w:keepNext/>
        <w:spacing w:after="60"/>
        <w:jc w:val="center"/>
      </w:pPr>
      <w:r>
        <w:rPr>
          <w:rFonts w:ascii="Calibri" w:eastAsia="Calibri" w:hAnsi="Calibri" w:cs="Calibri"/>
          <w:sz w:val="20"/>
          <w:szCs w:val="20"/>
        </w:rPr>
        <w:t xml:space="preserve">[Figure 1 is inserted here by 25_TESTS/control_cost_figure.py]</w:t>
      </w:r>
    </w:p>
    <w:p>
      <w:pPr>
        <w:spacing w:after="160"/>
      </w:pPr>
      <w:r>
        <w:rPr>
          <w:rFonts w:ascii="Calibri" w:eastAsia="Calibri" w:hAnsi="Calibri" w:cs="Calibri"/>
          <w:color w:val="52514E"/>
          <w:sz w:val="18"/>
          <w:szCs w:val="18"/>
        </w:rPr>
        <w:t xml:space="preserve">Average per first-round skater who played, 2007-2017 drafts ({{N_PLAYERS}} players), over the seasons his club controlled him, entry-level and restricted free agent seasons alike, in millions of dollars at the 2025-26 cap. Value delivered is the market price of his wins. The two costs the model charges are the qualifying-offer chain (before) and the market price rule (now). The cost actually paid is his cap hit each season, from PuckPedia from 2018-19 and CapWages before; {{NO_CAP_HIT}} of {{SEASONS}} seasons with no cap hit found keep the market price rule's cost.</w:t>
      </w:r>
    </w:p>
    <w:p w14:paraId="4BFA3E68" w14:textId="77777777" w:rsidR="00590399" w:rsidRDefault="00000000">
      <w:pPr>
        <w:pStyle w:val="ListParagraph"/>
        <w:numPr>
          <w:ilvl w:val="0"/>
          <w:numId w:val="2"/>
        </w:numPr>
        <w:spacing w:after="60"/>
      </w:pPr>
      <w:r>
        <w:rPr>
          <w:rFonts w:ascii="Calibri" w:eastAsia="Calibri" w:hAnsi="Calibri" w:cs="Calibri"/>
          <w:sz w:val="22"/>
          <w:szCs w:val="22"/>
        </w:rPr>
        <w:t>A pick's value is the star value times Bacon's probability that the pick becomes a star:</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tblGrid>
      <w:tr w:rsidR="00590399" w14:paraId="6A05B602" w14:textId="77777777">
        <w:trPr>
          <w:tblHeader/>
        </w:trPr>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A38FDDC" w14:textId="77777777" w:rsidR="00590399" w:rsidRDefault="00000000">
            <w:pPr>
              <w:jc w:val="center"/>
            </w:pPr>
            <w:r>
              <w:rPr>
                <w:rFonts w:ascii="Calibri" w:eastAsia="Calibri" w:hAnsi="Calibri" w:cs="Calibri"/>
                <w:b/>
                <w:bCs/>
              </w:rPr>
              <w:t>Draft slot</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76FD835" w14:textId="77777777" w:rsidR="00590399" w:rsidRDefault="00000000">
            <w:pPr>
              <w:jc w:val="center"/>
            </w:pPr>
            <w:r>
              <w:rPr>
                <w:rFonts w:ascii="Calibri" w:eastAsia="Calibri" w:hAnsi="Calibri" w:cs="Calibri"/>
                <w:b/>
                <w:bCs/>
              </w:rPr>
              <w:t>Qualifying-offer chain ($M)</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C649AF" w14:textId="77777777" w:rsidR="00590399" w:rsidRDefault="00000000">
            <w:pPr>
              <w:jc w:val="center"/>
            </w:pPr>
            <w:r>
              <w:rPr>
                <w:rFonts w:ascii="Calibri" w:eastAsia="Calibri" w:hAnsi="Calibri" w:cs="Calibri"/>
                <w:b/>
                <w:bCs/>
              </w:rPr>
              <w:t>Market price rule ($M)</w:t>
            </w:r>
          </w:p>
        </w:tc>
      </w:tr>
      <w:tr w:rsidR="00590399" w14:paraId="62431223"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24593E" w14:textId="77777777" w:rsidR="00590399" w:rsidRDefault="00000000">
            <w:pPr>
              <w:jc w:val="center"/>
            </w:pPr>
            <w:r>
              <w:rPr>
                <w:rFonts w:ascii="Calibri" w:eastAsia="Calibri" w:hAnsi="Calibri" w:cs="Calibri"/>
              </w:rPr>
              <w:t>1</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809CA8" w14:textId="77777777" w:rsidR="00590399" w:rsidRDefault="00000000">
            <w:pPr>
              <w:jc w:val="center"/>
            </w:pPr>
            <w:r>
              <w:rPr>
                <w:rFonts w:ascii="Calibri" w:eastAsia="Calibri" w:hAnsi="Calibri" w:cs="Calibri"/>
              </w:rPr>
              <w:t>23.85</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20699B2" w14:textId="77777777" w:rsidR="00590399" w:rsidRDefault="00000000">
            <w:pPr>
              <w:jc w:val="center"/>
            </w:pPr>
            <w:r>
              <w:rPr>
                <w:rFonts w:ascii="Calibri" w:eastAsia="Calibri" w:hAnsi="Calibri" w:cs="Calibri"/>
              </w:rPr>
              <w:t>13.48</w:t>
            </w:r>
          </w:p>
        </w:tc>
      </w:tr>
      <w:tr w:rsidR="00590399" w14:paraId="654580E3"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21BA5B3" w14:textId="77777777" w:rsidR="00590399" w:rsidRDefault="00000000">
            <w:pPr>
              <w:jc w:val="center"/>
            </w:pPr>
            <w:r>
              <w:rPr>
                <w:rFonts w:ascii="Calibri" w:eastAsia="Calibri" w:hAnsi="Calibri" w:cs="Calibri"/>
              </w:rPr>
              <w:t>2</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9B0ADD4" w14:textId="77777777" w:rsidR="00590399" w:rsidRDefault="00000000">
            <w:pPr>
              <w:jc w:val="center"/>
            </w:pPr>
            <w:r>
              <w:rPr>
                <w:rFonts w:ascii="Calibri" w:eastAsia="Calibri" w:hAnsi="Calibri" w:cs="Calibri"/>
              </w:rPr>
              <w:t>18.82</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A0963C6" w14:textId="77777777" w:rsidR="00590399" w:rsidRDefault="00000000">
            <w:pPr>
              <w:jc w:val="center"/>
            </w:pPr>
            <w:r>
              <w:rPr>
                <w:rFonts w:ascii="Calibri" w:eastAsia="Calibri" w:hAnsi="Calibri" w:cs="Calibri"/>
              </w:rPr>
              <w:t>10.63</w:t>
            </w:r>
          </w:p>
        </w:tc>
      </w:tr>
      <w:tr w:rsidR="00590399" w14:paraId="22F0B3D4"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66E7C20" w14:textId="77777777" w:rsidR="00590399" w:rsidRDefault="00000000">
            <w:pPr>
              <w:jc w:val="center"/>
            </w:pPr>
            <w:r>
              <w:rPr>
                <w:rFonts w:ascii="Calibri" w:eastAsia="Calibri" w:hAnsi="Calibri" w:cs="Calibri"/>
              </w:rPr>
              <w:t>5</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9CB489" w14:textId="77777777" w:rsidR="00590399" w:rsidRDefault="00000000">
            <w:pPr>
              <w:jc w:val="center"/>
            </w:pPr>
            <w:r>
              <w:rPr>
                <w:rFonts w:ascii="Calibri" w:eastAsia="Calibri" w:hAnsi="Calibri" w:cs="Calibri"/>
              </w:rPr>
              <w:t>11.37</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C6CE99" w14:textId="77777777" w:rsidR="00590399" w:rsidRDefault="00000000">
            <w:pPr>
              <w:jc w:val="center"/>
            </w:pPr>
            <w:r>
              <w:rPr>
                <w:rFonts w:ascii="Calibri" w:eastAsia="Calibri" w:hAnsi="Calibri" w:cs="Calibri"/>
              </w:rPr>
              <w:t>6.43</w:t>
            </w:r>
          </w:p>
        </w:tc>
      </w:tr>
      <w:tr w:rsidR="00590399" w14:paraId="3776D333"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72F833E" w14:textId="77777777" w:rsidR="00590399" w:rsidRDefault="00000000">
            <w:pPr>
              <w:jc w:val="center"/>
            </w:pPr>
            <w:r>
              <w:rPr>
                <w:rFonts w:ascii="Calibri" w:eastAsia="Calibri" w:hAnsi="Calibri" w:cs="Calibri"/>
              </w:rPr>
              <w:t>10</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4CA8FFB" w14:textId="77777777" w:rsidR="00590399" w:rsidRDefault="00000000">
            <w:pPr>
              <w:jc w:val="center"/>
            </w:pPr>
            <w:r>
              <w:rPr>
                <w:rFonts w:ascii="Calibri" w:eastAsia="Calibri" w:hAnsi="Calibri" w:cs="Calibri"/>
              </w:rPr>
              <w:t>6.76</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A025B57" w14:textId="77777777" w:rsidR="00590399" w:rsidRDefault="00000000">
            <w:pPr>
              <w:jc w:val="center"/>
            </w:pPr>
            <w:r>
              <w:rPr>
                <w:rFonts w:ascii="Calibri" w:eastAsia="Calibri" w:hAnsi="Calibri" w:cs="Calibri"/>
              </w:rPr>
              <w:t>3.82</w:t>
            </w:r>
          </w:p>
        </w:tc>
      </w:tr>
      <w:tr w:rsidR="00590399" w14:paraId="2F3D4AE6"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912703" w14:textId="77777777" w:rsidR="00590399" w:rsidRDefault="00000000">
            <w:pPr>
              <w:jc w:val="center"/>
            </w:pPr>
            <w:r>
              <w:rPr>
                <w:rFonts w:ascii="Calibri" w:eastAsia="Calibri" w:hAnsi="Calibri" w:cs="Calibri"/>
              </w:rPr>
              <w:lastRenderedPageBreak/>
              <w:t>20</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F9295FA" w14:textId="77777777" w:rsidR="00590399" w:rsidRDefault="00000000">
            <w:pPr>
              <w:jc w:val="center"/>
            </w:pPr>
            <w:r>
              <w:rPr>
                <w:rFonts w:ascii="Calibri" w:eastAsia="Calibri" w:hAnsi="Calibri" w:cs="Calibri"/>
              </w:rPr>
              <w:t>3.69</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906346" w14:textId="77777777" w:rsidR="00590399" w:rsidRDefault="00000000">
            <w:pPr>
              <w:jc w:val="center"/>
            </w:pPr>
            <w:r>
              <w:rPr>
                <w:rFonts w:ascii="Calibri" w:eastAsia="Calibri" w:hAnsi="Calibri" w:cs="Calibri"/>
              </w:rPr>
              <w:t>2.08</w:t>
            </w:r>
          </w:p>
        </w:tc>
      </w:tr>
      <w:tr w:rsidR="00590399" w14:paraId="14B91C6E"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D6F248E" w14:textId="77777777" w:rsidR="00590399" w:rsidRDefault="00000000">
            <w:pPr>
              <w:jc w:val="center"/>
            </w:pPr>
            <w:r>
              <w:rPr>
                <w:rFonts w:ascii="Calibri" w:eastAsia="Calibri" w:hAnsi="Calibri" w:cs="Calibri"/>
              </w:rPr>
              <w:t>32</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DA54F9" w14:textId="77777777" w:rsidR="00590399" w:rsidRDefault="00000000">
            <w:pPr>
              <w:jc w:val="center"/>
            </w:pPr>
            <w:r>
              <w:rPr>
                <w:rFonts w:ascii="Calibri" w:eastAsia="Calibri" w:hAnsi="Calibri" w:cs="Calibri"/>
              </w:rPr>
              <w:t>2.37</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1FA91D3" w14:textId="77777777" w:rsidR="00590399" w:rsidRDefault="00000000">
            <w:pPr>
              <w:jc w:val="center"/>
            </w:pPr>
            <w:r>
              <w:rPr>
                <w:rFonts w:ascii="Calibri" w:eastAsia="Calibri" w:hAnsi="Calibri" w:cs="Calibri"/>
              </w:rPr>
              <w:t>1.34</w:t>
            </w:r>
          </w:p>
        </w:tc>
      </w:tr>
      <w:tr w:rsidR="00590399" w14:paraId="264BD0EB"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C845419" w14:textId="77777777" w:rsidR="00590399" w:rsidRDefault="00000000">
            <w:pPr>
              <w:jc w:val="center"/>
            </w:pPr>
            <w:r>
              <w:rPr>
                <w:rFonts w:ascii="Calibri" w:eastAsia="Calibri" w:hAnsi="Calibri" w:cs="Calibri"/>
              </w:rPr>
              <w:t>64</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B9AF609" w14:textId="77777777" w:rsidR="00590399" w:rsidRDefault="00000000">
            <w:pPr>
              <w:jc w:val="center"/>
            </w:pPr>
            <w:r>
              <w:rPr>
                <w:rFonts w:ascii="Calibri" w:eastAsia="Calibri" w:hAnsi="Calibri" w:cs="Calibri"/>
              </w:rPr>
              <w:t>1.20</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DD7E87" w14:textId="77777777" w:rsidR="00590399" w:rsidRDefault="00000000">
            <w:pPr>
              <w:jc w:val="center"/>
            </w:pPr>
            <w:r>
              <w:rPr>
                <w:rFonts w:ascii="Calibri" w:eastAsia="Calibri" w:hAnsi="Calibri" w:cs="Calibri"/>
              </w:rPr>
              <w:t>0.68</w:t>
            </w:r>
          </w:p>
        </w:tc>
      </w:tr>
      <w:tr w:rsidR="00590399" w14:paraId="75030B20" w14:textId="77777777">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9A92F9" w14:textId="77777777" w:rsidR="00590399" w:rsidRDefault="00000000">
            <w:pPr>
              <w:jc w:val="center"/>
            </w:pPr>
            <w:r>
              <w:rPr>
                <w:rFonts w:ascii="Calibri" w:eastAsia="Calibri" w:hAnsi="Calibri" w:cs="Calibri"/>
              </w:rPr>
              <w:t>100</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053EDC" w14:textId="77777777" w:rsidR="00590399" w:rsidRDefault="00000000">
            <w:pPr>
              <w:jc w:val="center"/>
            </w:pPr>
            <w:r>
              <w:rPr>
                <w:rFonts w:ascii="Calibri" w:eastAsia="Calibri" w:hAnsi="Calibri" w:cs="Calibri"/>
              </w:rPr>
              <w:t>0.76</w:t>
            </w:r>
          </w:p>
        </w:tc>
        <w:tc>
          <w:tcPr>
            <w:tcW w:w="234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49670C" w14:textId="77777777" w:rsidR="00590399" w:rsidRDefault="00000000">
            <w:pPr>
              <w:jc w:val="center"/>
            </w:pPr>
            <w:r>
              <w:rPr>
                <w:rFonts w:ascii="Calibri" w:eastAsia="Calibri" w:hAnsi="Calibri" w:cs="Calibri"/>
              </w:rPr>
              <w:t>0.43</w:t>
            </w:r>
          </w:p>
        </w:tc>
      </w:tr>
    </w:tbl>
    <w:p w14:paraId="10CECDAE" w14:textId="77777777" w:rsidR="00590399" w:rsidRDefault="00590399">
      <w:pPr>
        <w:spacing w:after="100"/>
      </w:pPr>
    </w:p>
    <w:p w14:paraId="68B533D9" w14:textId="77777777" w:rsidR="00590399" w:rsidRDefault="00000000">
      <w:pPr>
        <w:pStyle w:val="ListParagraph"/>
        <w:numPr>
          <w:ilvl w:val="0"/>
          <w:numId w:val="2"/>
        </w:numPr>
        <w:spacing w:after="60"/>
      </w:pPr>
      <w:r>
        <w:rPr>
          <w:rFonts w:ascii="Calibri" w:eastAsia="Calibri" w:hAnsi="Calibri" w:cs="Calibri"/>
          <w:sz w:val="22"/>
          <w:szCs w:val="22"/>
        </w:rPr>
        <w:t>The 634 picks traded from July 2017 to March 2022 are worth $401.3 million in total, against $710.1 million under the qualifying-offer chain.</w:t>
      </w:r>
    </w:p>
    <w:p w14:paraId="0A92E90C" w14:textId="77777777" w:rsidR="00590399" w:rsidRDefault="00000000">
      <w:pPr>
        <w:keepNext/>
        <w:spacing w:before="220" w:after="100"/>
      </w:pPr>
      <w:r>
        <w:rPr>
          <w:rFonts w:ascii="Calibri" w:eastAsia="Calibri" w:hAnsi="Calibri" w:cs="Calibri"/>
          <w:b/>
          <w:bCs/>
          <w:sz w:val="26"/>
          <w:szCs w:val="26"/>
        </w:rPr>
        <w:t>3. Player Contracts</w:t>
      </w:r>
    </w:p>
    <w:p w14:paraId="41032356" w14:textId="77777777" w:rsidR="00590399" w:rsidRDefault="00000000">
      <w:pPr>
        <w:pStyle w:val="ListParagraph"/>
        <w:numPr>
          <w:ilvl w:val="0"/>
          <w:numId w:val="2"/>
        </w:numPr>
        <w:spacing w:after="60"/>
      </w:pPr>
      <w:r>
        <w:rPr>
          <w:rFonts w:ascii="Calibri" w:eastAsia="Calibri" w:hAnsi="Calibri" w:cs="Calibri"/>
          <w:sz w:val="22"/>
          <w:szCs w:val="22"/>
        </w:rPr>
        <w:t>856 of the 7,817 contract valuations in the panel (seasons 2018-19 to 2026-27) are lower than under the qualifying-offer chain, and none are higher. These are 856 of the 882 valuations that carry control-season value. The median fall is $0.81 million and the largest is $15.66 million.</w:t>
      </w:r>
    </w:p>
    <w:p w14:paraId="306F7A00" w14:textId="77777777" w:rsidR="00590399" w:rsidRDefault="00000000">
      <w:pPr>
        <w:pStyle w:val="ListParagraph"/>
        <w:numPr>
          <w:ilvl w:val="0"/>
          <w:numId w:val="2"/>
        </w:numPr>
        <w:spacing w:after="60"/>
      </w:pPr>
      <w:r>
        <w:rPr>
          <w:rFonts w:ascii="Calibri" w:eastAsia="Calibri" w:hAnsi="Calibri" w:cs="Calibri"/>
          <w:sz w:val="22"/>
          <w:szCs w:val="22"/>
        </w:rPr>
        <w:t>The players affected are young players with control seasons still ahead. On the 2025-26 list, Matvei Michkov is valued at $12.82 million against $21.47 million under the chain, Macklin Celebrini at $12.03 million against $19.83 million and Marco Kasper at $9.63 million against $16.30 million.</w:t>
      </w:r>
    </w:p>
    <w:p w14:paraId="3FA83116" w14:textId="6DE30D67" w:rsidR="00590399" w:rsidRDefault="00000000">
      <w:pPr>
        <w:pStyle w:val="ListParagraph"/>
        <w:numPr>
          <w:ilvl w:val="0"/>
          <w:numId w:val="2"/>
        </w:numPr>
        <w:spacing w:after="60"/>
      </w:pPr>
      <w:r>
        <w:rPr>
          <w:rFonts w:ascii="Calibri" w:eastAsia="Calibri" w:hAnsi="Calibri" w:cs="Calibri"/>
          <w:sz w:val="22"/>
          <w:szCs w:val="22"/>
        </w:rPr>
        <w:t xml:space="preserve">16 of the top 20 contracts on the 2024-25 list and 17 of 20 on the 2025-26 list stay in the top 20. </w:t>
      </w:r>
    </w:p>
    <w:p w14:paraId="7C20B7D3" w14:textId="14B0DC2E" w:rsidR="00590399" w:rsidRDefault="00590399" w:rsidP="001B683C">
      <w:pPr>
        <w:pStyle w:val="ListParagraph"/>
        <w:spacing w:after="60"/>
        <w:ind w:left="360"/>
      </w:pPr>
    </w:p>
    <w:sectPr w:rsidR="00590399">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475D"/>
    <w:multiLevelType w:val="hybridMultilevel"/>
    <w:tmpl w:val="F426DFB4"/>
    <w:lvl w:ilvl="0" w:tplc="784A2968" w:tentative="1">
      <w:start w:val="1"/>
      <w:numFmt w:val="bullet"/>
      <w:lvlText w:val="●"/>
      <w:lvlJc w:val="left"/>
      <w:pPr>
        <w:ind w:left="720" w:hanging="360"/>
      </w:pPr>
    </w:lvl>
    <w:lvl w:ilvl="1" w:tplc="000ABABC" w:tentative="1">
      <w:start w:val="1"/>
      <w:numFmt w:val="bullet"/>
      <w:lvlText w:val="○"/>
      <w:lvlJc w:val="left"/>
      <w:pPr>
        <w:ind w:left="1440" w:hanging="360"/>
      </w:pPr>
    </w:lvl>
    <w:lvl w:ilvl="2" w:tplc="34E6CD18" w:tentative="1">
      <w:start w:val="1"/>
      <w:numFmt w:val="bullet"/>
      <w:lvlText w:val="■"/>
      <w:lvlJc w:val="left"/>
      <w:pPr>
        <w:ind w:left="2160" w:hanging="360"/>
      </w:pPr>
    </w:lvl>
    <w:lvl w:ilvl="3" w:tplc="B244481C" w:tentative="1">
      <w:start w:val="1"/>
      <w:numFmt w:val="bullet"/>
      <w:lvlText w:val="●"/>
      <w:lvlJc w:val="left"/>
      <w:pPr>
        <w:ind w:left="2880" w:hanging="360"/>
      </w:pPr>
    </w:lvl>
    <w:lvl w:ilvl="4" w:tplc="C4A0E9A6" w:tentative="1">
      <w:start w:val="1"/>
      <w:numFmt w:val="bullet"/>
      <w:lvlText w:val="○"/>
      <w:lvlJc w:val="left"/>
      <w:pPr>
        <w:ind w:left="3600" w:hanging="360"/>
      </w:pPr>
    </w:lvl>
    <w:lvl w:ilvl="5" w:tplc="2BEEC542" w:tentative="1">
      <w:start w:val="1"/>
      <w:numFmt w:val="bullet"/>
      <w:lvlText w:val="■"/>
      <w:lvlJc w:val="left"/>
      <w:pPr>
        <w:ind w:left="4320" w:hanging="360"/>
      </w:pPr>
    </w:lvl>
    <w:lvl w:ilvl="6" w:tplc="FA74C810" w:tentative="1">
      <w:start w:val="1"/>
      <w:numFmt w:val="bullet"/>
      <w:lvlText w:val="●"/>
      <w:lvlJc w:val="left"/>
      <w:pPr>
        <w:ind w:left="5040" w:hanging="360"/>
      </w:pPr>
    </w:lvl>
    <w:lvl w:ilvl="7" w:tplc="91C4994C" w:tentative="1">
      <w:start w:val="1"/>
      <w:numFmt w:val="bullet"/>
      <w:lvlText w:val="●"/>
      <w:lvlJc w:val="left"/>
      <w:pPr>
        <w:ind w:left="5760" w:hanging="360"/>
      </w:pPr>
    </w:lvl>
    <w:lvl w:ilvl="8" w:tplc="973C6952" w:tentative="1">
      <w:start w:val="1"/>
      <w:numFmt w:val="bullet"/>
      <w:lvlText w:val="●"/>
      <w:lvlJc w:val="left"/>
      <w:pPr>
        <w:ind w:left="6480" w:hanging="360"/>
      </w:pPr>
    </w:lvl>
  </w:abstractNum>
  <w:abstractNum w:abstractNumId="1" w15:restartNumberingAfterBreak="0">
    <w:nsid w:val="1A1E3185"/>
    <w:multiLevelType w:val="hybridMultilevel"/>
    <w:tmpl w:val="D5F23622"/>
    <w:lvl w:ilvl="0" w:tplc="47923ABA">
      <w:start w:val="1"/>
      <w:numFmt w:val="bullet"/>
      <w:lvlText w:val="•"/>
      <w:lvlJc w:val="left"/>
      <w:pPr>
        <w:ind w:left="360" w:hanging="260"/>
      </w:pPr>
    </w:lvl>
    <w:lvl w:ilvl="1" w:tplc="41802F52">
      <w:start w:val="1"/>
      <w:numFmt w:val="bullet"/>
      <w:lvlText w:val="–"/>
      <w:lvlJc w:val="left"/>
      <w:pPr>
        <w:ind w:left="720" w:hanging="260"/>
      </w:pPr>
    </w:lvl>
    <w:lvl w:ilvl="2" w:tplc="A1C21C2C">
      <w:numFmt w:val="decimal"/>
      <w:lvlText w:val=""/>
      <w:lvlJc w:val="left"/>
    </w:lvl>
    <w:lvl w:ilvl="3" w:tplc="27CAE222">
      <w:numFmt w:val="decimal"/>
      <w:lvlText w:val=""/>
      <w:lvlJc w:val="left"/>
    </w:lvl>
    <w:lvl w:ilvl="4" w:tplc="D7903336">
      <w:numFmt w:val="decimal"/>
      <w:lvlText w:val=""/>
      <w:lvlJc w:val="left"/>
    </w:lvl>
    <w:lvl w:ilvl="5" w:tplc="0ED8C4F8">
      <w:numFmt w:val="decimal"/>
      <w:lvlText w:val=""/>
      <w:lvlJc w:val="left"/>
    </w:lvl>
    <w:lvl w:ilvl="6" w:tplc="10001E3C">
      <w:numFmt w:val="decimal"/>
      <w:lvlText w:val=""/>
      <w:lvlJc w:val="left"/>
    </w:lvl>
    <w:lvl w:ilvl="7" w:tplc="647A08F0">
      <w:numFmt w:val="decimal"/>
      <w:lvlText w:val=""/>
      <w:lvlJc w:val="left"/>
    </w:lvl>
    <w:lvl w:ilvl="8" w:tplc="3E582AE6">
      <w:numFmt w:val="decimal"/>
      <w:lvlText w:val=""/>
      <w:lvlJc w:val="left"/>
    </w:lvl>
  </w:abstractNum>
  <w:num w:numId="1" w16cid:durableId="67390023">
    <w:abstractNumId w:val="0"/>
    <w:lvlOverride w:ilvl="0">
      <w:startOverride w:val="1"/>
    </w:lvlOverride>
  </w:num>
  <w:num w:numId="2" w16cid:durableId="199479726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Mihaljevic">
    <w15:presenceInfo w15:providerId="Windows Live" w15:userId="473ee41c3b0b53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99"/>
    <w:rsid w:val="0003491F"/>
    <w:rsid w:val="001B683C"/>
    <w:rsid w:val="00590399"/>
    <w:rsid w:val="006F6D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4DF8"/>
  <w15:docId w15:val="{E7C384E6-5113-4872-A797-A0017919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F6D0D"/>
    <w:rPr>
      <w:sz w:val="16"/>
      <w:szCs w:val="16"/>
    </w:rPr>
  </w:style>
  <w:style w:type="paragraph" w:styleId="CommentText">
    <w:name w:val="annotation text"/>
    <w:basedOn w:val="Normal"/>
    <w:link w:val="CommentTextChar"/>
    <w:uiPriority w:val="99"/>
    <w:unhideWhenUsed/>
    <w:rsid w:val="006F6D0D"/>
  </w:style>
  <w:style w:type="character" w:customStyle="1" w:styleId="CommentTextChar">
    <w:name w:val="Comment Text Char"/>
    <w:basedOn w:val="DefaultParagraphFont"/>
    <w:link w:val="CommentText"/>
    <w:uiPriority w:val="99"/>
    <w:rsid w:val="006F6D0D"/>
  </w:style>
  <w:style w:type="paragraph" w:styleId="CommentSubject">
    <w:name w:val="annotation subject"/>
    <w:basedOn w:val="CommentText"/>
    <w:next w:val="CommentText"/>
    <w:link w:val="CommentSubjectChar"/>
    <w:uiPriority w:val="99"/>
    <w:semiHidden/>
    <w:unhideWhenUsed/>
    <w:rsid w:val="006F6D0D"/>
    <w:rPr>
      <w:b/>
      <w:bCs/>
    </w:rPr>
  </w:style>
  <w:style w:type="character" w:customStyle="1" w:styleId="CommentSubjectChar">
    <w:name w:val="Comment Subject Char"/>
    <w:basedOn w:val="CommentTextChar"/>
    <w:link w:val="CommentSubject"/>
    <w:uiPriority w:val="99"/>
    <w:semiHidden/>
    <w:rsid w:val="006F6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Mihaljevic</cp:lastModifiedBy>
  <cp:revision>3</cp:revision>
  <dcterms:created xsi:type="dcterms:W3CDTF">2026-10-14T16:22:00Z</dcterms:created>
  <dcterms:modified xsi:type="dcterms:W3CDTF">2026-10-15T13:15:00Z</dcterms:modified>
</cp:coreProperties>
</file>