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2AF45" w14:textId="6EBAE35F" w:rsidR="00250950" w:rsidRPr="00250950" w:rsidRDefault="005D5550" w:rsidP="005D5550">
      <w:pPr>
        <w:spacing w:after="0" w:line="480" w:lineRule="auto"/>
        <w:jc w:val="left"/>
        <w:rPr>
          <w:b/>
        </w:rPr>
      </w:pPr>
      <w:r>
        <w:rPr>
          <w:b/>
        </w:rPr>
        <w:t>Seasonality in the Yield of Municipal Bonds: An Update</w:t>
      </w:r>
    </w:p>
    <w:p w14:paraId="6BAAC027" w14:textId="3BCEF139" w:rsidR="00250950" w:rsidRDefault="00250950" w:rsidP="00DF5854">
      <w:pPr>
        <w:spacing w:after="0" w:line="240" w:lineRule="auto"/>
        <w:jc w:val="left"/>
      </w:pPr>
      <w:r>
        <w:t>M.A. program in Economics</w:t>
      </w:r>
    </w:p>
    <w:p w14:paraId="541FF5E9" w14:textId="6FDDAE9B" w:rsidR="00250950" w:rsidRDefault="00250950" w:rsidP="00DF5854">
      <w:pPr>
        <w:spacing w:after="0" w:line="240" w:lineRule="auto"/>
        <w:jc w:val="left"/>
      </w:pPr>
      <w:r>
        <w:t>Andrew Young School of Policy Studies</w:t>
      </w:r>
    </w:p>
    <w:p w14:paraId="26807250" w14:textId="03643AF5" w:rsidR="00250950" w:rsidRDefault="00250950" w:rsidP="00DF5854">
      <w:pPr>
        <w:spacing w:after="0" w:line="240" w:lineRule="auto"/>
        <w:jc w:val="left"/>
      </w:pPr>
      <w:r>
        <w:t>Georgia State University</w:t>
      </w:r>
    </w:p>
    <w:p w14:paraId="6B0E9DD6" w14:textId="77777777" w:rsidR="005B3399" w:rsidRDefault="005B3399">
      <w:pPr>
        <w:jc w:val="left"/>
        <w:rPr>
          <w:b/>
        </w:rPr>
      </w:pPr>
    </w:p>
    <w:p w14:paraId="3F913E71" w14:textId="77777777" w:rsidR="00E2645E" w:rsidRDefault="00E2645E">
      <w:pPr>
        <w:jc w:val="left"/>
        <w:rPr>
          <w:b/>
        </w:rPr>
      </w:pPr>
    </w:p>
    <w:p w14:paraId="42153EB5" w14:textId="77777777" w:rsidR="00E2645E" w:rsidRDefault="00E2645E">
      <w:pPr>
        <w:jc w:val="left"/>
        <w:rPr>
          <w:b/>
        </w:rPr>
      </w:pPr>
    </w:p>
    <w:p w14:paraId="44136E6F" w14:textId="77777777" w:rsidR="00E2645E" w:rsidRDefault="00E2645E">
      <w:pPr>
        <w:jc w:val="left"/>
        <w:rPr>
          <w:b/>
        </w:rPr>
      </w:pPr>
    </w:p>
    <w:p w14:paraId="38807982" w14:textId="77777777" w:rsidR="00E2645E" w:rsidRDefault="00E2645E">
      <w:pPr>
        <w:jc w:val="left"/>
        <w:rPr>
          <w:b/>
        </w:rPr>
      </w:pPr>
    </w:p>
    <w:p w14:paraId="33C23A42" w14:textId="77777777" w:rsidR="00E2645E" w:rsidRDefault="00E2645E">
      <w:pPr>
        <w:jc w:val="left"/>
        <w:rPr>
          <w:b/>
        </w:rPr>
      </w:pPr>
    </w:p>
    <w:p w14:paraId="3D41BB23" w14:textId="77777777" w:rsidR="00E2645E" w:rsidRDefault="00E2645E">
      <w:pPr>
        <w:jc w:val="left"/>
        <w:rPr>
          <w:b/>
        </w:rPr>
      </w:pPr>
    </w:p>
    <w:p w14:paraId="1DB4FA4B" w14:textId="77777777" w:rsidR="00E2645E" w:rsidRDefault="00E2645E">
      <w:pPr>
        <w:jc w:val="left"/>
        <w:rPr>
          <w:b/>
        </w:rPr>
      </w:pPr>
    </w:p>
    <w:p w14:paraId="42F2DB26" w14:textId="77777777" w:rsidR="00E2645E" w:rsidRDefault="00E2645E">
      <w:pPr>
        <w:jc w:val="left"/>
        <w:rPr>
          <w:b/>
        </w:rPr>
      </w:pPr>
    </w:p>
    <w:p w14:paraId="79CE1AB7" w14:textId="77777777" w:rsidR="00E2645E" w:rsidRDefault="00E2645E">
      <w:pPr>
        <w:jc w:val="left"/>
        <w:rPr>
          <w:b/>
        </w:rPr>
      </w:pPr>
    </w:p>
    <w:p w14:paraId="72E3DD7B" w14:textId="77777777" w:rsidR="00E2645E" w:rsidRDefault="00E2645E">
      <w:pPr>
        <w:jc w:val="left"/>
        <w:rPr>
          <w:b/>
        </w:rPr>
      </w:pPr>
    </w:p>
    <w:p w14:paraId="2AB4B364" w14:textId="77777777" w:rsidR="00E2645E" w:rsidRDefault="00E2645E">
      <w:pPr>
        <w:jc w:val="left"/>
        <w:rPr>
          <w:b/>
        </w:rPr>
      </w:pPr>
    </w:p>
    <w:p w14:paraId="7152D8F8" w14:textId="77777777" w:rsidR="00E2645E" w:rsidRDefault="00E2645E">
      <w:pPr>
        <w:jc w:val="left"/>
        <w:rPr>
          <w:b/>
        </w:rPr>
      </w:pPr>
    </w:p>
    <w:p w14:paraId="125A938A" w14:textId="77777777" w:rsidR="00E2645E" w:rsidRDefault="00E2645E">
      <w:pPr>
        <w:jc w:val="left"/>
        <w:rPr>
          <w:b/>
        </w:rPr>
      </w:pPr>
    </w:p>
    <w:p w14:paraId="37DAC8E9" w14:textId="77777777" w:rsidR="00E2645E" w:rsidRDefault="00E2645E">
      <w:pPr>
        <w:jc w:val="left"/>
        <w:rPr>
          <w:b/>
        </w:rPr>
      </w:pPr>
    </w:p>
    <w:p w14:paraId="0FF24776" w14:textId="77777777" w:rsidR="00E2645E" w:rsidRDefault="00E2645E">
      <w:pPr>
        <w:jc w:val="left"/>
        <w:rPr>
          <w:b/>
        </w:rPr>
      </w:pPr>
    </w:p>
    <w:p w14:paraId="28E9383C" w14:textId="14C59561" w:rsidR="00250950" w:rsidRPr="00E2645E" w:rsidRDefault="005B3399">
      <w:pPr>
        <w:jc w:val="left"/>
        <w:rPr>
          <w:b/>
          <w:sz w:val="22"/>
        </w:rPr>
      </w:pPr>
      <w:r w:rsidRPr="00E2645E">
        <w:rPr>
          <w:b/>
          <w:i/>
          <w:sz w:val="22"/>
        </w:rPr>
        <w:t>Abstract</w:t>
      </w:r>
      <w:r w:rsidRPr="00E2645E">
        <w:rPr>
          <w:i/>
          <w:sz w:val="22"/>
        </w:rPr>
        <w:t xml:space="preserve">: Municipal bonds have been found to have higher than usual returns in January when compared to other months in the year. However, some research has found this effect to have declined over the past few decades. Hence, this paper attempts to assess as to whether this effect declined for both investment and non-investment grade municipal bonds over the past few decades. In addition, high yield bonds have been found to have a stronger January effect than investment grade bonds, especially within the corporate universe. Thus, this </w:t>
      </w:r>
      <w:r w:rsidR="00481D16" w:rsidRPr="00E2645E">
        <w:rPr>
          <w:i/>
          <w:sz w:val="22"/>
        </w:rPr>
        <w:t>paper</w:t>
      </w:r>
      <w:r w:rsidRPr="00E2645E">
        <w:rPr>
          <w:i/>
          <w:sz w:val="22"/>
        </w:rPr>
        <w:t xml:space="preserve"> also researches as to whether this phenomenon occurs within the municipal bond universe. To study these questions, regression with ARIMA error specifications are utilized (transfer function models) on index data from Bloomberg Barclays Indices</w:t>
      </w:r>
      <w:r w:rsidR="003F40D3" w:rsidRPr="00E2645E">
        <w:rPr>
          <w:i/>
          <w:sz w:val="22"/>
        </w:rPr>
        <w:t xml:space="preserve">, </w:t>
      </w:r>
      <w:r w:rsidRPr="00E2645E">
        <w:rPr>
          <w:i/>
          <w:sz w:val="22"/>
        </w:rPr>
        <w:t xml:space="preserve">which provides data up to 2017. </w:t>
      </w:r>
      <w:r w:rsidR="003F40D3" w:rsidRPr="00E2645E">
        <w:rPr>
          <w:i/>
          <w:sz w:val="22"/>
        </w:rPr>
        <w:t xml:space="preserve">The results indicate that the January effect has declined for investment grade municipal bonds, but has increased for non-investment grade municipal bonds. In addition, the January effect is found to increase in magnitude as the credit quality of municipal </w:t>
      </w:r>
      <w:r w:rsidR="00B26673">
        <w:rPr>
          <w:i/>
          <w:sz w:val="22"/>
        </w:rPr>
        <w:t>bonds decline.</w:t>
      </w:r>
      <w:r w:rsidR="00250950" w:rsidRPr="00E2645E">
        <w:rPr>
          <w:b/>
          <w:sz w:val="22"/>
        </w:rPr>
        <w:br w:type="page"/>
      </w:r>
    </w:p>
    <w:p w14:paraId="1207FE6D" w14:textId="54E67A28" w:rsidR="00AA17EF" w:rsidRDefault="00AA17EF" w:rsidP="005D5550">
      <w:pPr>
        <w:spacing w:after="0" w:line="480" w:lineRule="auto"/>
        <w:jc w:val="left"/>
        <w:rPr>
          <w:b/>
        </w:rPr>
      </w:pPr>
      <w:r>
        <w:rPr>
          <w:b/>
        </w:rPr>
        <w:lastRenderedPageBreak/>
        <w:t>Introduction</w:t>
      </w:r>
    </w:p>
    <w:p w14:paraId="55892CA0" w14:textId="77777777" w:rsidR="00007B11" w:rsidRDefault="00D039DB" w:rsidP="008C7A6A">
      <w:pPr>
        <w:spacing w:after="0" w:line="480" w:lineRule="auto"/>
        <w:ind w:firstLine="720"/>
        <w:jc w:val="left"/>
      </w:pPr>
      <w:r>
        <w:t>Municipal bonds have been found to have higher than usual returns in January when compared to other months in the year</w:t>
      </w:r>
      <w:r w:rsidR="00D357EC">
        <w:t>, which many refer to as the “January effect”</w:t>
      </w:r>
      <w:r>
        <w:t xml:space="preserve"> (Greer, 2015).</w:t>
      </w:r>
      <w:r w:rsidR="00D357EC">
        <w:t xml:space="preserve"> However, according to Cusatis and </w:t>
      </w:r>
      <w:proofErr w:type="spellStart"/>
      <w:r w:rsidR="00D357EC">
        <w:t>Tawatnuntachai</w:t>
      </w:r>
      <w:proofErr w:type="spellEnd"/>
      <w:r w:rsidR="00D357EC">
        <w:t xml:space="preserve"> (2011) this effect may have declined over the past few decades due to shifting trends in the ownership concentration of municipal bonds. Hence, this research paper attempts to assess if there has been a decline in the January effect for both investment grade and non-investment grade municipal bonds. </w:t>
      </w:r>
    </w:p>
    <w:p w14:paraId="1AD0EBED" w14:textId="72A5B6E6" w:rsidR="00382F48" w:rsidRDefault="00007B11" w:rsidP="008C7A6A">
      <w:pPr>
        <w:spacing w:after="0" w:line="480" w:lineRule="auto"/>
        <w:ind w:firstLine="720"/>
        <w:jc w:val="left"/>
      </w:pPr>
      <w:r>
        <w:t>Maxwell (1998) and Fama &amp; French (1993) studied the January effect in corporate bonds and found it to increase in magnitude as credit quality declined</w:t>
      </w:r>
      <w:r w:rsidR="00255EF1">
        <w:t xml:space="preserve">. Reasons for this included seasonal demand for non-investment grade fixed income securities </w:t>
      </w:r>
      <w:r w:rsidR="00796923">
        <w:t xml:space="preserve">(relatively higher demand in January) </w:t>
      </w:r>
      <w:r w:rsidR="00255EF1">
        <w:t>and institutional investor behavior</w:t>
      </w:r>
      <w:r w:rsidR="00C261F3">
        <w:t xml:space="preserve"> (window dressing)</w:t>
      </w:r>
      <w:r w:rsidR="00255EF1">
        <w:t>.</w:t>
      </w:r>
      <w:r w:rsidR="004B6771">
        <w:t xml:space="preserve"> Since the research on seasonality within high yield municipal debt is scarce, this research paper also attempts to assess if the January effect increases in magnitude as the credit quality of municipal bonds decline. </w:t>
      </w:r>
    </w:p>
    <w:p w14:paraId="29158F6C" w14:textId="418B7660" w:rsidR="00E12267" w:rsidRDefault="00382F48" w:rsidP="008F4ADD">
      <w:pPr>
        <w:spacing w:after="0" w:line="480" w:lineRule="auto"/>
        <w:ind w:firstLine="720"/>
        <w:jc w:val="left"/>
      </w:pPr>
      <w:r>
        <w:t xml:space="preserve">The results indicate that the January effect has declined over the past few decades for investment grade municipal debt but has increased for non-investment grade municipal bonds. In addition, the findings also imply that the January effect increases as the credit quality of municipal bonds declines. </w:t>
      </w:r>
      <w:r w:rsidR="001F29DF">
        <w:t xml:space="preserve">This information has the potential to assist issuers </w:t>
      </w:r>
      <w:r w:rsidR="00C83B44">
        <w:t>and investors in the timing of debt issuance/investment</w:t>
      </w:r>
      <w:r w:rsidR="001F29DF">
        <w:t xml:space="preserve">, especially </w:t>
      </w:r>
      <w:r w:rsidR="009372CF">
        <w:t xml:space="preserve">of </w:t>
      </w:r>
      <w:r w:rsidR="001F29DF">
        <w:t xml:space="preserve">that which is non-investment grade which, of course, is more expensive. </w:t>
      </w:r>
    </w:p>
    <w:p w14:paraId="02D2223C" w14:textId="75292404" w:rsidR="008F4ADD" w:rsidRDefault="008345BC" w:rsidP="003E1CF4">
      <w:pPr>
        <w:spacing w:after="0" w:line="480" w:lineRule="auto"/>
        <w:ind w:firstLine="720"/>
        <w:jc w:val="left"/>
        <w:rPr>
          <w:b/>
        </w:rPr>
      </w:pPr>
      <w:r>
        <w:t xml:space="preserve">The paper is structured as follows: </w:t>
      </w:r>
      <w:r w:rsidR="00B97284">
        <w:t xml:space="preserve">It begins with a survey of the pertinent literature. Then, it describes the data and methodology that is utilized to answer the research questions and displays the results. Finally, it concludes with the result’s potential explanations, implications and suggestions for future research. </w:t>
      </w:r>
      <w:r w:rsidR="008F4ADD">
        <w:rPr>
          <w:b/>
        </w:rPr>
        <w:br w:type="page"/>
      </w:r>
    </w:p>
    <w:p w14:paraId="6E4ECF71" w14:textId="5C45F4ED" w:rsidR="00580D74" w:rsidRPr="008F4ADD" w:rsidRDefault="00580D74" w:rsidP="0037678C">
      <w:pPr>
        <w:spacing w:after="0" w:line="480" w:lineRule="auto"/>
        <w:jc w:val="left"/>
        <w:rPr>
          <w:b/>
        </w:rPr>
      </w:pPr>
      <w:r>
        <w:rPr>
          <w:b/>
        </w:rPr>
        <w:lastRenderedPageBreak/>
        <w:t>Literature Review</w:t>
      </w:r>
    </w:p>
    <w:p w14:paraId="22B8B0F8" w14:textId="752524E8" w:rsidR="009F51F7" w:rsidRDefault="00EC7E13" w:rsidP="0087520C">
      <w:pPr>
        <w:spacing w:after="0" w:line="480" w:lineRule="auto"/>
      </w:pPr>
      <w:r>
        <w:rPr>
          <w:b/>
        </w:rPr>
        <w:tab/>
      </w:r>
      <w:r>
        <w:t>Several financial instruments exhibit seasonality patterns in their yields, which are periodic fluctuations that occur with similar intensity from one year to the next (Hillmer &amp; Tiao, 1982). For example, instruments like municipal bonds and corporate bonds have been found to have higher returns in January when compared to that of other months in the year (</w:t>
      </w:r>
      <w:r w:rsidR="00650F51">
        <w:t xml:space="preserve">Maxwell, 1998; </w:t>
      </w:r>
      <w:r w:rsidR="006C04FB">
        <w:t>Greer, 2015</w:t>
      </w:r>
      <w:r w:rsidR="00650F51">
        <w:t>)</w:t>
      </w:r>
      <w:r w:rsidR="004A535C">
        <w:t>.</w:t>
      </w:r>
      <w:r w:rsidR="009F51F7">
        <w:t xml:space="preserve"> This is typically referred to as the ‘January effect’. </w:t>
      </w:r>
    </w:p>
    <w:p w14:paraId="27139147" w14:textId="0D4762E5" w:rsidR="00CC6A3E" w:rsidRDefault="009F51F7" w:rsidP="00A15C75">
      <w:pPr>
        <w:spacing w:after="0" w:line="480" w:lineRule="auto"/>
        <w:ind w:firstLine="720"/>
      </w:pPr>
      <w:r>
        <w:t xml:space="preserve"> </w:t>
      </w:r>
      <w:r w:rsidR="008D52AE">
        <w:t>While the January effect</w:t>
      </w:r>
      <w:r>
        <w:t xml:space="preserve"> appears to have been declining in recent years </w:t>
      </w:r>
      <w:r w:rsidR="00DA7270">
        <w:t>for equities</w:t>
      </w:r>
      <w:r w:rsidR="004C1F47">
        <w:t xml:space="preserve">, </w:t>
      </w:r>
      <w:r w:rsidR="00311892">
        <w:t xml:space="preserve">it appears to persist for </w:t>
      </w:r>
      <w:r w:rsidR="00021417">
        <w:t>the bond market</w:t>
      </w:r>
      <w:r w:rsidR="003D3C31">
        <w:t xml:space="preserve"> </w:t>
      </w:r>
      <w:r>
        <w:t>(</w:t>
      </w:r>
      <w:r w:rsidR="007507D2">
        <w:t xml:space="preserve">Gu, 2003; </w:t>
      </w:r>
      <w:r>
        <w:t>Reid, 2017</w:t>
      </w:r>
      <w:r w:rsidR="005D2877">
        <w:t>; Albano, 2018</w:t>
      </w:r>
      <w:r>
        <w:t>).</w:t>
      </w:r>
      <w:r w:rsidR="00C0168C">
        <w:t xml:space="preserve"> </w:t>
      </w:r>
      <w:r w:rsidR="00B23EEA">
        <w:t>For example,</w:t>
      </w:r>
      <w:r w:rsidR="004D3285">
        <w:t xml:space="preserve"> </w:t>
      </w:r>
      <w:r w:rsidR="00096EBB">
        <w:t>Jordan and Jordan (</w:t>
      </w:r>
      <w:r w:rsidR="007B3305">
        <w:t>1991</w:t>
      </w:r>
      <w:r w:rsidR="00096EBB">
        <w:t>),</w:t>
      </w:r>
      <w:r w:rsidR="00B218BF">
        <w:t xml:space="preserve"> studied the Dow Jones Composite Bond Average from 1963-1986</w:t>
      </w:r>
      <w:r w:rsidR="00B23EEA">
        <w:t xml:space="preserve"> and found </w:t>
      </w:r>
      <w:r w:rsidR="004D3285">
        <w:t>corporate bonds to possess the</w:t>
      </w:r>
      <w:r w:rsidR="00B23EEA">
        <w:t xml:space="preserve"> January effect. </w:t>
      </w:r>
      <w:r w:rsidR="00DE7EF8">
        <w:t xml:space="preserve">With regards to municipal bonds, </w:t>
      </w:r>
      <w:r w:rsidR="003D3C31">
        <w:t xml:space="preserve">the literature provides mixed results. </w:t>
      </w:r>
      <w:r w:rsidR="00DE7EF8">
        <w:t>Greer (2015) examined seasonal trends in the municipal bond market by studying the 20-Bond General Obligation Index, from 1998 to 2008, with time-series methods and found higher than average yields in the spring months.</w:t>
      </w:r>
      <w:r w:rsidR="00144492">
        <w:t xml:space="preserve"> </w:t>
      </w:r>
      <w:r w:rsidR="003D3C31">
        <w:t xml:space="preserve">However, Starks, Yong, and Zheng (2006) study data on 168 municipal bond closed-ended funds from the Center for Research in Security Prices (CRSP) from 1990-2000 and find the January effect for closed-ended funds but not for the underlying individual municipal bonds. In addition, Cusatis and </w:t>
      </w:r>
      <w:proofErr w:type="spellStart"/>
      <w:r w:rsidR="003D3C31">
        <w:t>Tawatnuntachai</w:t>
      </w:r>
      <w:proofErr w:type="spellEnd"/>
      <w:r w:rsidR="003D3C31">
        <w:t xml:space="preserve"> (2011) find evidence of the January effect from 1980-1993, but not after 1993.</w:t>
      </w:r>
      <w:r w:rsidR="00060C55">
        <w:t xml:space="preserve"> </w:t>
      </w:r>
    </w:p>
    <w:p w14:paraId="30EBC443" w14:textId="6AE9D26F" w:rsidR="00B23EEA" w:rsidRDefault="00060C55" w:rsidP="00A15C75">
      <w:pPr>
        <w:spacing w:after="0" w:line="480" w:lineRule="auto"/>
        <w:ind w:firstLine="720"/>
      </w:pPr>
      <w:r>
        <w:t xml:space="preserve">The January effect for the municipal bond market has been attributed towards the tax loss selling and window dressing hypotheses. Starks, Yong and Zheng (2006) find evidence of the tax loss selling hypothesis which posits that individuals </w:t>
      </w:r>
      <w:r w:rsidR="007A3B5C">
        <w:t xml:space="preserve">tend to </w:t>
      </w:r>
      <w:r>
        <w:t>sell their investments at a loss at the end of the calendar year for tax purposes and re-invest those funds in January. This results in lower returns in December, and higher returns in Januar</w:t>
      </w:r>
      <w:r w:rsidR="008F7933">
        <w:t xml:space="preserve">y. The alternative explanation for the January effect is the window dressing hypothesis which posits that institutional investors sell securities that </w:t>
      </w:r>
      <w:r w:rsidR="008F7933">
        <w:lastRenderedPageBreak/>
        <w:t>are performing poorly</w:t>
      </w:r>
      <w:r w:rsidR="00522CAF">
        <w:t xml:space="preserve"> or are of relatively </w:t>
      </w:r>
      <w:r w:rsidR="009012C1">
        <w:t>poor</w:t>
      </w:r>
      <w:r w:rsidR="00522CAF">
        <w:t xml:space="preserve"> quality</w:t>
      </w:r>
      <w:r w:rsidR="008F7933">
        <w:t xml:space="preserve"> towards the end of the year to make their portfolios look</w:t>
      </w:r>
      <w:r w:rsidR="0056635D">
        <w:t xml:space="preserve"> or “dress”</w:t>
      </w:r>
      <w:r w:rsidR="008F7933">
        <w:t xml:space="preserve"> better. </w:t>
      </w:r>
      <w:r w:rsidR="003E7476" w:rsidRPr="003E7476">
        <w:t>Maxwell (1998</w:t>
      </w:r>
      <w:r w:rsidR="003E7476">
        <w:t xml:space="preserve">) </w:t>
      </w:r>
      <w:r w:rsidR="003E7476" w:rsidRPr="003E7476">
        <w:t xml:space="preserve">and Meier and Schaumburg (2004) </w:t>
      </w:r>
      <w:r w:rsidR="003E7476">
        <w:t xml:space="preserve">provide evidence that is consistent with the window dressing hypothesis. </w:t>
      </w:r>
      <w:r w:rsidR="00960008">
        <w:t>Since the essential prediction of both hypotheses are the same, it can be difficult to disentangle as to which effect has a larger or any effect, on the January phenomenon. However, several studies find more evidence for the tax loss selling hypothesis (</w:t>
      </w:r>
      <w:r w:rsidR="00960008" w:rsidRPr="00960008">
        <w:t>Sias and Starks</w:t>
      </w:r>
      <w:r w:rsidR="00960008">
        <w:t xml:space="preserve">, </w:t>
      </w:r>
      <w:r w:rsidR="00960008" w:rsidRPr="00960008">
        <w:t>1997</w:t>
      </w:r>
      <w:r w:rsidR="00960008">
        <w:t>;</w:t>
      </w:r>
      <w:r w:rsidR="00960008" w:rsidRPr="00960008">
        <w:t xml:space="preserve"> Poterba and </w:t>
      </w:r>
      <w:proofErr w:type="spellStart"/>
      <w:r w:rsidR="00960008" w:rsidRPr="00960008">
        <w:t>Weisbenner</w:t>
      </w:r>
      <w:proofErr w:type="spellEnd"/>
      <w:r w:rsidR="00960008">
        <w:t xml:space="preserve">, </w:t>
      </w:r>
      <w:r w:rsidR="00960008" w:rsidRPr="00960008">
        <w:t>2001)</w:t>
      </w:r>
      <w:r w:rsidR="00960008">
        <w:t xml:space="preserve">. </w:t>
      </w:r>
    </w:p>
    <w:p w14:paraId="7BDE9084" w14:textId="6D122A67" w:rsidR="0007008A" w:rsidRDefault="00351902" w:rsidP="0007008A">
      <w:pPr>
        <w:keepNext/>
        <w:spacing w:after="0" w:line="480" w:lineRule="auto"/>
        <w:ind w:firstLine="720"/>
      </w:pPr>
      <w:r>
        <w:t xml:space="preserve">As per Cusatis and </w:t>
      </w:r>
      <w:proofErr w:type="spellStart"/>
      <w:r>
        <w:t>Tawatnuntachai</w:t>
      </w:r>
      <w:proofErr w:type="spellEnd"/>
      <w:r>
        <w:t xml:space="preserve"> (2011), who did not find evidence of the January effect post 1993, this effect could have declined for the municipal bond market due to trends in the ownership of municipal bonds.</w:t>
      </w:r>
      <w:r w:rsidR="001B156B">
        <w:t xml:space="preserve"> </w:t>
      </w:r>
      <w:r w:rsidR="0007008A">
        <w:t>Figure 1 below displays this trend which indicates that a significant percentage of municipal bond ownership has transferred from households and individuals to banks, mutual funds and exchange-traded funds</w:t>
      </w:r>
      <w:r w:rsidR="002B72B0">
        <w:t xml:space="preserve"> (Belz, and Sheiner, 2017). </w:t>
      </w:r>
    </w:p>
    <w:p w14:paraId="6E8EF2B2" w14:textId="3A685D7D" w:rsidR="00CC6A3E" w:rsidRPr="0007008A" w:rsidRDefault="0007008A" w:rsidP="0007008A">
      <w:pPr>
        <w:pStyle w:val="Caption"/>
        <w:rPr>
          <w:b/>
          <w:i w:val="0"/>
          <w:color w:val="000000" w:themeColor="text1"/>
          <w:sz w:val="24"/>
          <w:szCs w:val="24"/>
        </w:rPr>
      </w:pPr>
      <w:r w:rsidRPr="0007008A">
        <w:rPr>
          <w:b/>
          <w:i w:val="0"/>
          <w:color w:val="000000" w:themeColor="text1"/>
          <w:sz w:val="24"/>
          <w:szCs w:val="24"/>
        </w:rPr>
        <w:t xml:space="preserve">Figure </w:t>
      </w:r>
      <w:r w:rsidRPr="0007008A">
        <w:rPr>
          <w:b/>
          <w:i w:val="0"/>
          <w:color w:val="000000" w:themeColor="text1"/>
          <w:sz w:val="24"/>
          <w:szCs w:val="24"/>
        </w:rPr>
        <w:fldChar w:fldCharType="begin"/>
      </w:r>
      <w:r w:rsidRPr="0007008A">
        <w:rPr>
          <w:b/>
          <w:i w:val="0"/>
          <w:color w:val="000000" w:themeColor="text1"/>
          <w:sz w:val="24"/>
          <w:szCs w:val="24"/>
        </w:rPr>
        <w:instrText xml:space="preserve"> SEQ Figure \* ARABIC </w:instrText>
      </w:r>
      <w:r w:rsidRPr="0007008A">
        <w:rPr>
          <w:b/>
          <w:i w:val="0"/>
          <w:color w:val="000000" w:themeColor="text1"/>
          <w:sz w:val="24"/>
          <w:szCs w:val="24"/>
        </w:rPr>
        <w:fldChar w:fldCharType="separate"/>
      </w:r>
      <w:r w:rsidR="0009609F">
        <w:rPr>
          <w:b/>
          <w:i w:val="0"/>
          <w:noProof/>
          <w:color w:val="000000" w:themeColor="text1"/>
          <w:sz w:val="24"/>
          <w:szCs w:val="24"/>
        </w:rPr>
        <w:t>1</w:t>
      </w:r>
      <w:r w:rsidRPr="0007008A">
        <w:rPr>
          <w:b/>
          <w:i w:val="0"/>
          <w:color w:val="000000" w:themeColor="text1"/>
          <w:sz w:val="24"/>
          <w:szCs w:val="24"/>
        </w:rPr>
        <w:fldChar w:fldCharType="end"/>
      </w:r>
    </w:p>
    <w:p w14:paraId="5EC22C9D" w14:textId="1D11A505" w:rsidR="008A5968" w:rsidRDefault="00950472" w:rsidP="008A5968">
      <w:pPr>
        <w:spacing w:after="0" w:line="480" w:lineRule="auto"/>
      </w:pPr>
      <w:r>
        <w:rPr>
          <w:noProof/>
        </w:rPr>
        <w:drawing>
          <wp:anchor distT="0" distB="0" distL="114300" distR="114300" simplePos="0" relativeHeight="251658240" behindDoc="1" locked="0" layoutInCell="1" allowOverlap="1" wp14:anchorId="6D5AE8FD" wp14:editId="72205DFA">
            <wp:simplePos x="0" y="0"/>
            <wp:positionH relativeFrom="column">
              <wp:posOffset>0</wp:posOffset>
            </wp:positionH>
            <wp:positionV relativeFrom="paragraph">
              <wp:posOffset>-4445</wp:posOffset>
            </wp:positionV>
            <wp:extent cx="4667250" cy="2676525"/>
            <wp:effectExtent l="0" t="0" r="0" b="9525"/>
            <wp:wrapTight wrapText="bothSides">
              <wp:wrapPolygon edited="0">
                <wp:start x="0" y="0"/>
                <wp:lineTo x="0" y="21523"/>
                <wp:lineTo x="21512" y="21523"/>
                <wp:lineTo x="21512" y="0"/>
                <wp:lineTo x="0" y="0"/>
              </wp:wrapPolygon>
            </wp:wrapTight>
            <wp:docPr id="1" name="Picture 1" descr="https://www.brookings.edu/wp-content/uploads/2017/07/es_20170717_bergstressermunicipalbo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rookings.edu/wp-content/uploads/2017/07/es_20170717_bergstressermunicipalbonds.png"/>
                    <pic:cNvPicPr>
                      <a:picLocks noChangeAspect="1" noChangeArrowheads="1"/>
                    </pic:cNvPicPr>
                  </pic:nvPicPr>
                  <pic:blipFill rotWithShape="1">
                    <a:blip r:embed="rId8">
                      <a:extLst>
                        <a:ext uri="{28A0092B-C50C-407E-A947-70E740481C1C}">
                          <a14:useLocalDpi xmlns:a14="http://schemas.microsoft.com/office/drawing/2010/main" val="0"/>
                        </a:ext>
                      </a:extLst>
                    </a:blip>
                    <a:srcRect r="20048" b="8867"/>
                    <a:stretch/>
                  </pic:blipFill>
                  <pic:spPr bwMode="auto">
                    <a:xfrm>
                      <a:off x="0" y="0"/>
                      <a:ext cx="4667250" cy="2676525"/>
                    </a:xfrm>
                    <a:prstGeom prst="rect">
                      <a:avLst/>
                    </a:prstGeom>
                    <a:noFill/>
                    <a:ln>
                      <a:noFill/>
                    </a:ln>
                    <a:extLst>
                      <a:ext uri="{53640926-AAD7-44D8-BBD7-CCE9431645EC}">
                        <a14:shadowObscured xmlns:a14="http://schemas.microsoft.com/office/drawing/2010/main"/>
                      </a:ext>
                    </a:extLst>
                  </pic:spPr>
                </pic:pic>
              </a:graphicData>
            </a:graphic>
          </wp:anchor>
        </w:drawing>
      </w:r>
    </w:p>
    <w:p w14:paraId="6C860264" w14:textId="1CA1A6CD" w:rsidR="008A5968" w:rsidRDefault="00DE19B0" w:rsidP="00DE19B0">
      <w:pPr>
        <w:pStyle w:val="ListParagraph"/>
        <w:spacing w:after="0" w:line="240" w:lineRule="auto"/>
        <w:contextualSpacing w:val="0"/>
        <w:jc w:val="left"/>
        <w:rPr>
          <w:sz w:val="20"/>
          <w:szCs w:val="20"/>
        </w:rPr>
      </w:pPr>
      <w:r>
        <w:rPr>
          <w:noProof/>
        </w:rPr>
        <mc:AlternateContent>
          <mc:Choice Requires="wps">
            <w:drawing>
              <wp:anchor distT="0" distB="0" distL="114300" distR="114300" simplePos="0" relativeHeight="251659264" behindDoc="0" locked="0" layoutInCell="1" allowOverlap="1" wp14:anchorId="59D8A0E9" wp14:editId="765871D0">
                <wp:simplePos x="0" y="0"/>
                <wp:positionH relativeFrom="column">
                  <wp:posOffset>4772025</wp:posOffset>
                </wp:positionH>
                <wp:positionV relativeFrom="paragraph">
                  <wp:posOffset>45085</wp:posOffset>
                </wp:positionV>
                <wp:extent cx="85725" cy="45719"/>
                <wp:effectExtent l="0" t="0" r="28575" b="12065"/>
                <wp:wrapNone/>
                <wp:docPr id="3" name="Oval 3"/>
                <wp:cNvGraphicFramePr/>
                <a:graphic xmlns:a="http://schemas.openxmlformats.org/drawingml/2006/main">
                  <a:graphicData uri="http://schemas.microsoft.com/office/word/2010/wordprocessingShape">
                    <wps:wsp>
                      <wps:cNvSpPr/>
                      <wps:spPr>
                        <a:xfrm>
                          <a:off x="0" y="0"/>
                          <a:ext cx="85725" cy="45719"/>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85DBC0" id="Oval 3" o:spid="_x0000_s1026" style="position:absolute;margin-left:375.75pt;margin-top:3.55pt;width:6.7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" fillcolor="#00b0f0" strokecolor="#1f3763 [1604]" strokeweight="1pt">
                <v:stroke joinstyle="miter"/>
              </v:oval>
            </w:pict>
          </mc:Fallback>
        </mc:AlternateContent>
      </w:r>
      <w:r>
        <w:t xml:space="preserve">    </w:t>
      </w:r>
      <w:r w:rsidRPr="00DE19B0">
        <w:rPr>
          <w:sz w:val="20"/>
          <w:szCs w:val="20"/>
        </w:rPr>
        <w:t>Other mutual funds and ETFs</w:t>
      </w:r>
    </w:p>
    <w:p w14:paraId="4950EB72" w14:textId="77777777" w:rsidR="00DE19B0" w:rsidRPr="00DE19B0" w:rsidRDefault="00DE19B0" w:rsidP="00DE19B0">
      <w:pPr>
        <w:pStyle w:val="ListParagraph"/>
        <w:spacing w:after="0" w:line="240" w:lineRule="auto"/>
        <w:contextualSpacing w:val="0"/>
        <w:jc w:val="left"/>
        <w:rPr>
          <w:sz w:val="20"/>
          <w:szCs w:val="20"/>
        </w:rPr>
      </w:pPr>
    </w:p>
    <w:p w14:paraId="0088B9CE" w14:textId="00F29B59" w:rsidR="00DE19B0" w:rsidRDefault="00DE19B0" w:rsidP="00DE19B0">
      <w:pPr>
        <w:pStyle w:val="ListParagraph"/>
        <w:spacing w:after="0" w:line="240" w:lineRule="auto"/>
        <w:contextualSpacing w:val="0"/>
        <w:jc w:val="left"/>
        <w:rPr>
          <w:sz w:val="20"/>
          <w:szCs w:val="20"/>
        </w:rPr>
      </w:pPr>
      <w:r>
        <w:rPr>
          <w:noProof/>
        </w:rPr>
        <mc:AlternateContent>
          <mc:Choice Requires="wps">
            <w:drawing>
              <wp:anchor distT="0" distB="0" distL="114300" distR="114300" simplePos="0" relativeHeight="251661312" behindDoc="0" locked="0" layoutInCell="1" allowOverlap="1" wp14:anchorId="69131770" wp14:editId="151E7B51">
                <wp:simplePos x="0" y="0"/>
                <wp:positionH relativeFrom="column">
                  <wp:posOffset>4762500</wp:posOffset>
                </wp:positionH>
                <wp:positionV relativeFrom="paragraph">
                  <wp:posOffset>0</wp:posOffset>
                </wp:positionV>
                <wp:extent cx="85725" cy="45719"/>
                <wp:effectExtent l="0" t="0" r="28575" b="12065"/>
                <wp:wrapNone/>
                <wp:docPr id="4" name="Oval 4"/>
                <wp:cNvGraphicFramePr/>
                <a:graphic xmlns:a="http://schemas.openxmlformats.org/drawingml/2006/main">
                  <a:graphicData uri="http://schemas.microsoft.com/office/word/2010/wordprocessingShape">
                    <wps:wsp>
                      <wps:cNvSpPr/>
                      <wps:spPr>
                        <a:xfrm>
                          <a:off x="0" y="0"/>
                          <a:ext cx="85725" cy="45719"/>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FB0C09" id="Oval 4" o:spid="_x0000_s1026" style="position:absolute;margin-left:375pt;margin-top:0;width:6.7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" fillcolor="#7030a0" strokecolor="#1f3763 [1604]" strokeweight="1pt">
                <v:stroke joinstyle="miter"/>
              </v:oval>
            </w:pict>
          </mc:Fallback>
        </mc:AlternateContent>
      </w:r>
      <w:r>
        <w:rPr>
          <w:sz w:val="20"/>
          <w:szCs w:val="20"/>
        </w:rPr>
        <w:t xml:space="preserve">     Money Market mutual funds</w:t>
      </w:r>
    </w:p>
    <w:p w14:paraId="4065578B" w14:textId="77777777" w:rsidR="00DE19B0" w:rsidRDefault="00DE19B0" w:rsidP="00DE19B0">
      <w:pPr>
        <w:pStyle w:val="ListParagraph"/>
        <w:spacing w:after="0" w:line="240" w:lineRule="auto"/>
        <w:contextualSpacing w:val="0"/>
        <w:jc w:val="left"/>
        <w:rPr>
          <w:sz w:val="20"/>
          <w:szCs w:val="20"/>
        </w:rPr>
      </w:pPr>
    </w:p>
    <w:p w14:paraId="4D6D9B7B" w14:textId="45BEF1D9" w:rsidR="00DE19B0" w:rsidRDefault="00DE19B0" w:rsidP="00DE19B0">
      <w:pPr>
        <w:pStyle w:val="ListParagraph"/>
        <w:spacing w:after="0" w:line="240" w:lineRule="auto"/>
        <w:contextualSpacing w:val="0"/>
        <w:jc w:val="left"/>
        <w:rPr>
          <w:sz w:val="20"/>
          <w:szCs w:val="20"/>
        </w:rPr>
      </w:pPr>
      <w:r>
        <w:rPr>
          <w:noProof/>
        </w:rPr>
        <mc:AlternateContent>
          <mc:Choice Requires="wps">
            <w:drawing>
              <wp:anchor distT="0" distB="0" distL="114300" distR="114300" simplePos="0" relativeHeight="251663360" behindDoc="0" locked="0" layoutInCell="1" allowOverlap="1" wp14:anchorId="512C8B82" wp14:editId="524BF00F">
                <wp:simplePos x="0" y="0"/>
                <wp:positionH relativeFrom="column">
                  <wp:posOffset>4762500</wp:posOffset>
                </wp:positionH>
                <wp:positionV relativeFrom="paragraph">
                  <wp:posOffset>0</wp:posOffset>
                </wp:positionV>
                <wp:extent cx="85725" cy="45719"/>
                <wp:effectExtent l="0" t="0" r="28575" b="12065"/>
                <wp:wrapNone/>
                <wp:docPr id="5" name="Oval 5"/>
                <wp:cNvGraphicFramePr/>
                <a:graphic xmlns:a="http://schemas.openxmlformats.org/drawingml/2006/main">
                  <a:graphicData uri="http://schemas.microsoft.com/office/word/2010/wordprocessingShape">
                    <wps:wsp>
                      <wps:cNvSpPr/>
                      <wps:spPr>
                        <a:xfrm>
                          <a:off x="0" y="0"/>
                          <a:ext cx="85725" cy="45719"/>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5C16DB" id="Oval 5" o:spid="_x0000_s1026" style="position:absolute;margin-left:375pt;margin-top:0;width:6.75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" fillcolor="#70ad47 [3209]" strokecolor="#1f3763 [1604]" strokeweight="1pt">
                <v:stroke joinstyle="miter"/>
              </v:oval>
            </w:pict>
          </mc:Fallback>
        </mc:AlternateContent>
      </w:r>
      <w:r>
        <w:rPr>
          <w:sz w:val="20"/>
          <w:szCs w:val="20"/>
        </w:rPr>
        <w:t xml:space="preserve">     P&amp;C insurers</w:t>
      </w:r>
    </w:p>
    <w:p w14:paraId="488E4916" w14:textId="4CD5D251" w:rsidR="00DE19B0" w:rsidRPr="00DE19B0" w:rsidRDefault="00DE19B0" w:rsidP="00DE19B0">
      <w:pPr>
        <w:pStyle w:val="ListParagraph"/>
        <w:spacing w:after="0" w:line="240" w:lineRule="auto"/>
        <w:contextualSpacing w:val="0"/>
        <w:jc w:val="left"/>
        <w:rPr>
          <w:sz w:val="20"/>
          <w:szCs w:val="20"/>
        </w:rPr>
      </w:pPr>
      <w:r>
        <w:rPr>
          <w:sz w:val="20"/>
          <w:szCs w:val="20"/>
        </w:rPr>
        <w:t xml:space="preserve">    </w:t>
      </w:r>
    </w:p>
    <w:p w14:paraId="41BF455A" w14:textId="2E6F5951" w:rsidR="00DE19B0" w:rsidRDefault="00DE19B0" w:rsidP="00DE19B0">
      <w:pPr>
        <w:pStyle w:val="ListParagraph"/>
        <w:spacing w:after="0" w:line="240" w:lineRule="auto"/>
        <w:contextualSpacing w:val="0"/>
        <w:jc w:val="left"/>
        <w:rPr>
          <w:sz w:val="20"/>
          <w:szCs w:val="20"/>
        </w:rPr>
      </w:pPr>
      <w:r>
        <w:rPr>
          <w:noProof/>
        </w:rPr>
        <mc:AlternateContent>
          <mc:Choice Requires="wps">
            <w:drawing>
              <wp:anchor distT="0" distB="0" distL="114300" distR="114300" simplePos="0" relativeHeight="251665408" behindDoc="0" locked="0" layoutInCell="1" allowOverlap="1" wp14:anchorId="2C0DAA85" wp14:editId="59EF3342">
                <wp:simplePos x="0" y="0"/>
                <wp:positionH relativeFrom="column">
                  <wp:posOffset>4762500</wp:posOffset>
                </wp:positionH>
                <wp:positionV relativeFrom="paragraph">
                  <wp:posOffset>0</wp:posOffset>
                </wp:positionV>
                <wp:extent cx="85725" cy="45719"/>
                <wp:effectExtent l="0" t="0" r="28575" b="12065"/>
                <wp:wrapNone/>
                <wp:docPr id="6" name="Oval 6"/>
                <wp:cNvGraphicFramePr/>
                <a:graphic xmlns:a="http://schemas.openxmlformats.org/drawingml/2006/main">
                  <a:graphicData uri="http://schemas.microsoft.com/office/word/2010/wordprocessingShape">
                    <wps:wsp>
                      <wps:cNvSpPr/>
                      <wps:spPr>
                        <a:xfrm>
                          <a:off x="0" y="0"/>
                          <a:ext cx="85725" cy="45719"/>
                        </a:xfrm>
                        <a:prstGeom prst="ellipse">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6BB65F" id="Oval 6" o:spid="_x0000_s1026" style="position:absolute;margin-left:375pt;margin-top:0;width:6.75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" fillcolor="#c00000" strokecolor="#1f3763 [1604]" strokeweight="1pt">
                <v:stroke joinstyle="miter"/>
              </v:oval>
            </w:pict>
          </mc:Fallback>
        </mc:AlternateContent>
      </w:r>
      <w:r>
        <w:rPr>
          <w:sz w:val="20"/>
          <w:szCs w:val="20"/>
        </w:rPr>
        <w:t xml:space="preserve">     Depository institutions &amp; credit unions</w:t>
      </w:r>
    </w:p>
    <w:p w14:paraId="07AA619C" w14:textId="77777777" w:rsidR="00DE19B0" w:rsidRDefault="00DE19B0" w:rsidP="00DE19B0">
      <w:pPr>
        <w:pStyle w:val="ListParagraph"/>
        <w:spacing w:after="0" w:line="240" w:lineRule="auto"/>
        <w:contextualSpacing w:val="0"/>
        <w:jc w:val="left"/>
        <w:rPr>
          <w:sz w:val="20"/>
          <w:szCs w:val="20"/>
        </w:rPr>
      </w:pPr>
    </w:p>
    <w:p w14:paraId="08D6D1AA" w14:textId="5D92D2CA" w:rsidR="008A5968" w:rsidRDefault="00DE19B0" w:rsidP="009054BD">
      <w:pPr>
        <w:pStyle w:val="ListParagraph"/>
        <w:spacing w:after="0" w:line="240" w:lineRule="auto"/>
        <w:contextualSpacing w:val="0"/>
        <w:jc w:val="left"/>
      </w:pPr>
      <w:r>
        <w:rPr>
          <w:noProof/>
        </w:rPr>
        <mc:AlternateContent>
          <mc:Choice Requires="wps">
            <w:drawing>
              <wp:anchor distT="0" distB="0" distL="114300" distR="114300" simplePos="0" relativeHeight="251667456" behindDoc="0" locked="0" layoutInCell="1" allowOverlap="1" wp14:anchorId="478FA772" wp14:editId="7AA638A8">
                <wp:simplePos x="0" y="0"/>
                <wp:positionH relativeFrom="column">
                  <wp:posOffset>4762500</wp:posOffset>
                </wp:positionH>
                <wp:positionV relativeFrom="paragraph">
                  <wp:posOffset>0</wp:posOffset>
                </wp:positionV>
                <wp:extent cx="85725" cy="45719"/>
                <wp:effectExtent l="0" t="0" r="28575" b="12065"/>
                <wp:wrapNone/>
                <wp:docPr id="7" name="Oval 7"/>
                <wp:cNvGraphicFramePr/>
                <a:graphic xmlns:a="http://schemas.openxmlformats.org/drawingml/2006/main">
                  <a:graphicData uri="http://schemas.microsoft.com/office/word/2010/wordprocessingShape">
                    <wps:wsp>
                      <wps:cNvSpPr/>
                      <wps:spPr>
                        <a:xfrm>
                          <a:off x="0" y="0"/>
                          <a:ext cx="85725" cy="45719"/>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18954C" id="Oval 7" o:spid="_x0000_s1026" style="position:absolute;margin-left:375pt;margin-top:0;width:6.75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" fillcolor="#0070c0" strokecolor="#1f3763 [1604]" strokeweight="1pt">
                <v:stroke joinstyle="miter"/>
              </v:oval>
            </w:pict>
          </mc:Fallback>
        </mc:AlternateContent>
      </w:r>
      <w:r>
        <w:rPr>
          <w:sz w:val="20"/>
          <w:szCs w:val="20"/>
        </w:rPr>
        <w:t xml:space="preserve">     Direct house-hold holdings</w:t>
      </w:r>
    </w:p>
    <w:p w14:paraId="34362AB8" w14:textId="77777777" w:rsidR="008A5968" w:rsidRDefault="008A5968" w:rsidP="00F655E1">
      <w:pPr>
        <w:spacing w:after="0" w:line="480" w:lineRule="auto"/>
        <w:ind w:firstLine="720"/>
      </w:pPr>
    </w:p>
    <w:p w14:paraId="04D305CD" w14:textId="6B6ADB99" w:rsidR="00F655E1" w:rsidRDefault="0031515B" w:rsidP="00F655E1">
      <w:pPr>
        <w:spacing w:after="0" w:line="480" w:lineRule="auto"/>
        <w:ind w:firstLine="720"/>
      </w:pPr>
      <w:r w:rsidRPr="0007008A">
        <w:t>The share of bonds held by depository institutions rose from 5 percent in 2005 to almost 15 percent in 2016. Over that same period, household ownership fell by a similar amount, from 53 percent to 44 percent</w:t>
      </w:r>
      <w:r w:rsidR="0033550E">
        <w:t>.</w:t>
      </w:r>
      <w:r w:rsidR="00745D57">
        <w:t xml:space="preserve"> Such a trend is pertinent to the January effect since it has the potential to affect the magnitude of the tax loss selling hypothesis</w:t>
      </w:r>
      <w:r w:rsidR="00D266E1">
        <w:t>.</w:t>
      </w:r>
      <w:r w:rsidR="00745D57">
        <w:t xml:space="preserve"> Typically, individuals engage in such </w:t>
      </w:r>
      <w:r w:rsidR="00745D57">
        <w:lastRenderedPageBreak/>
        <w:t xml:space="preserve">behavior. If they own a </w:t>
      </w:r>
      <w:r w:rsidR="007035D0">
        <w:t xml:space="preserve">relatively </w:t>
      </w:r>
      <w:r w:rsidR="00745D57">
        <w:t xml:space="preserve">smaller share of </w:t>
      </w:r>
      <w:r w:rsidR="00714552">
        <w:t>the municipal bond market, then their impact upon it via tax loss selling behavior would be smaller</w:t>
      </w:r>
      <w:r w:rsidR="007E3A24">
        <w:t xml:space="preserve">, which is a potential explanation that is offered by Cusatis and </w:t>
      </w:r>
      <w:proofErr w:type="spellStart"/>
      <w:r w:rsidR="007E3A24">
        <w:t>Tawatnuntachai</w:t>
      </w:r>
      <w:proofErr w:type="spellEnd"/>
      <w:r w:rsidR="007E3A24">
        <w:t xml:space="preserve"> (2011)</w:t>
      </w:r>
      <w:r w:rsidR="00576F22">
        <w:t xml:space="preserve"> for a decline in the January effect for municipal bonds. </w:t>
      </w:r>
    </w:p>
    <w:p w14:paraId="45698B46" w14:textId="19DBB0DD" w:rsidR="00C63EEB" w:rsidRDefault="00F655E1" w:rsidP="00C63EEB">
      <w:pPr>
        <w:spacing w:after="0" w:line="480" w:lineRule="auto"/>
        <w:ind w:firstLine="720"/>
      </w:pPr>
      <w:r>
        <w:t xml:space="preserve">Another interesting phenomenon with regards to the January effect is that it tends to be more severe for bonds that are riskier. For instance, </w:t>
      </w:r>
      <w:r w:rsidR="00CC6A3E">
        <w:t xml:space="preserve">Maxwell (1998), studied monthly returns on corporate bonds from 1986 to 1997 and found bonds that were rated below investment grade had a relatively higher January effect. </w:t>
      </w:r>
      <w:r w:rsidR="00F87238">
        <w:t xml:space="preserve">Fama &amp; French (1993) also find the January effect to increase </w:t>
      </w:r>
      <w:proofErr w:type="spellStart"/>
      <w:r w:rsidR="00F87238">
        <w:t>monotically</w:t>
      </w:r>
      <w:proofErr w:type="spellEnd"/>
      <w:r w:rsidR="00F87238">
        <w:t xml:space="preserve"> as the corporate bond credit rating declines. </w:t>
      </w:r>
      <w:r w:rsidR="009012C1">
        <w:t>Al-</w:t>
      </w:r>
      <w:proofErr w:type="spellStart"/>
      <w:r w:rsidR="00F87238" w:rsidRPr="00226B3D">
        <w:t>Khazali</w:t>
      </w:r>
      <w:proofErr w:type="spellEnd"/>
      <w:r w:rsidR="00F87238">
        <w:t xml:space="preserve"> (2001) confirms such a finding of the January effect for the U.S. high yield bond market by analyzing data from 1926 to 1993. Maxwell (1998)</w:t>
      </w:r>
      <w:r w:rsidR="00D8115D">
        <w:t xml:space="preserve"> </w:t>
      </w:r>
      <w:r w:rsidR="00F2696B">
        <w:t>found that investors had a significant</w:t>
      </w:r>
      <w:r w:rsidR="00451F3F">
        <w:t>ly</w:t>
      </w:r>
      <w:r w:rsidR="00F2696B">
        <w:t xml:space="preserve"> higher demand for non-investment grade debt in January than other months of the year.</w:t>
      </w:r>
      <w:r w:rsidR="004849B1">
        <w:t xml:space="preserve"> </w:t>
      </w:r>
      <w:r w:rsidR="00F37222">
        <w:t>He</w:t>
      </w:r>
      <w:r w:rsidR="004849B1">
        <w:t xml:space="preserve"> also found evidence of the window dressing hypothesis for such non-investment grade corporate bonds.</w:t>
      </w:r>
      <w:r w:rsidR="00F2696B">
        <w:t xml:space="preserve"> </w:t>
      </w:r>
      <w:r w:rsidR="00AF2D23">
        <w:t xml:space="preserve">As mentioned earlier, the window dressing hypothesis is more relevant </w:t>
      </w:r>
      <w:r w:rsidR="000B2E59">
        <w:t xml:space="preserve">to </w:t>
      </w:r>
      <w:r w:rsidR="00AF2D23">
        <w:t xml:space="preserve">institutional investors who </w:t>
      </w:r>
      <w:r w:rsidR="000B2E59">
        <w:t xml:space="preserve">may </w:t>
      </w:r>
      <w:r w:rsidR="00AF2D23">
        <w:t xml:space="preserve">want the quality of their portfolios to look or “dress” better towards the end of the year. An important characteristic with regards to high yield fixed income products is that </w:t>
      </w:r>
      <w:r w:rsidR="00C574FE">
        <w:t>most of</w:t>
      </w:r>
      <w:r w:rsidR="00AF2D23">
        <w:t xml:space="preserve"> its ownership lies amongst institutional investors such as </w:t>
      </w:r>
      <w:r w:rsidR="009C5D72">
        <w:t>pension funds, insurance companies and retail mutual funds (Acciavatti</w:t>
      </w:r>
      <w:r w:rsidR="00C574FE">
        <w:t xml:space="preserve"> et al.</w:t>
      </w:r>
      <w:r w:rsidR="009C5D72">
        <w:t xml:space="preserve">, 2016). </w:t>
      </w:r>
      <w:r w:rsidR="00744D6A">
        <w:t xml:space="preserve"> </w:t>
      </w:r>
      <w:r w:rsidR="00256D50">
        <w:t>Figure 2 displays the ownership of high yield fixed income products</w:t>
      </w:r>
      <w:r w:rsidR="00E16239">
        <w:t xml:space="preserve"> in 2016. </w:t>
      </w:r>
    </w:p>
    <w:p w14:paraId="6772033F" w14:textId="77777777" w:rsidR="00832377" w:rsidRDefault="00832377">
      <w:pPr>
        <w:jc w:val="left"/>
        <w:rPr>
          <w:b/>
          <w:iCs/>
          <w:color w:val="000000" w:themeColor="text1"/>
          <w:szCs w:val="24"/>
        </w:rPr>
      </w:pPr>
      <w:r>
        <w:rPr>
          <w:b/>
          <w:i/>
          <w:color w:val="000000" w:themeColor="text1"/>
          <w:szCs w:val="24"/>
        </w:rPr>
        <w:br w:type="page"/>
      </w:r>
    </w:p>
    <w:p w14:paraId="46D6B1F8" w14:textId="218ABCC5" w:rsidR="00256D50" w:rsidRPr="00C63EEB" w:rsidRDefault="00256D50" w:rsidP="00C63EEB">
      <w:pPr>
        <w:pStyle w:val="Caption"/>
        <w:rPr>
          <w:b/>
          <w:i w:val="0"/>
          <w:color w:val="000000" w:themeColor="text1"/>
          <w:sz w:val="24"/>
          <w:szCs w:val="24"/>
        </w:rPr>
      </w:pPr>
      <w:r w:rsidRPr="00256D50">
        <w:rPr>
          <w:b/>
          <w:i w:val="0"/>
          <w:color w:val="000000" w:themeColor="text1"/>
          <w:sz w:val="24"/>
          <w:szCs w:val="24"/>
        </w:rPr>
        <w:lastRenderedPageBreak/>
        <w:t xml:space="preserve">Figure </w:t>
      </w:r>
      <w:r w:rsidRPr="00256D50">
        <w:rPr>
          <w:b/>
          <w:i w:val="0"/>
          <w:color w:val="000000" w:themeColor="text1"/>
          <w:sz w:val="24"/>
          <w:szCs w:val="24"/>
        </w:rPr>
        <w:fldChar w:fldCharType="begin"/>
      </w:r>
      <w:r w:rsidRPr="00256D50">
        <w:rPr>
          <w:b/>
          <w:i w:val="0"/>
          <w:color w:val="000000" w:themeColor="text1"/>
          <w:sz w:val="24"/>
          <w:szCs w:val="24"/>
        </w:rPr>
        <w:instrText xml:space="preserve"> SEQ Figure \* ARABIC </w:instrText>
      </w:r>
      <w:r w:rsidRPr="00256D50">
        <w:rPr>
          <w:b/>
          <w:i w:val="0"/>
          <w:color w:val="000000" w:themeColor="text1"/>
          <w:sz w:val="24"/>
          <w:szCs w:val="24"/>
        </w:rPr>
        <w:fldChar w:fldCharType="separate"/>
      </w:r>
      <w:r w:rsidR="0009609F">
        <w:rPr>
          <w:b/>
          <w:i w:val="0"/>
          <w:noProof/>
          <w:color w:val="000000" w:themeColor="text1"/>
          <w:sz w:val="24"/>
          <w:szCs w:val="24"/>
        </w:rPr>
        <w:t>2</w:t>
      </w:r>
      <w:r w:rsidRPr="00256D50">
        <w:rPr>
          <w:b/>
          <w:i w:val="0"/>
          <w:color w:val="000000" w:themeColor="text1"/>
          <w:sz w:val="24"/>
          <w:szCs w:val="24"/>
        </w:rPr>
        <w:fldChar w:fldCharType="end"/>
      </w:r>
    </w:p>
    <w:p w14:paraId="662EA118" w14:textId="3A688119" w:rsidR="009216BA" w:rsidRDefault="00256D50" w:rsidP="009216BA">
      <w:pPr>
        <w:spacing w:after="0" w:line="480" w:lineRule="auto"/>
        <w:ind w:firstLine="720"/>
      </w:pPr>
      <w:r>
        <w:rPr>
          <w:noProof/>
        </w:rPr>
        <w:drawing>
          <wp:inline distT="0" distB="0" distL="0" distR="0" wp14:anchorId="7BEE0BD0" wp14:editId="1C331454">
            <wp:extent cx="4572000" cy="2562225"/>
            <wp:effectExtent l="0" t="0" r="0" b="9525"/>
            <wp:docPr id="2" name="Picture 2" descr="http://www.peritusasset.com/wp-content/uploads/2017/06/HY-market-ownership-201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eritusasset.com/wp-content/uploads/2017/06/HY-market-ownership-2016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562225"/>
                    </a:xfrm>
                    <a:prstGeom prst="rect">
                      <a:avLst/>
                    </a:prstGeom>
                    <a:noFill/>
                    <a:ln>
                      <a:noFill/>
                    </a:ln>
                  </pic:spPr>
                </pic:pic>
              </a:graphicData>
            </a:graphic>
          </wp:inline>
        </w:drawing>
      </w:r>
    </w:p>
    <w:p w14:paraId="4D35C8D7" w14:textId="5BE62098" w:rsidR="009216BA" w:rsidRPr="009216BA" w:rsidRDefault="009216BA" w:rsidP="00A15C75">
      <w:pPr>
        <w:spacing w:after="0" w:line="480" w:lineRule="auto"/>
        <w:ind w:firstLine="720"/>
        <w:rPr>
          <w:sz w:val="20"/>
          <w:szCs w:val="20"/>
        </w:rPr>
      </w:pPr>
      <w:r>
        <w:rPr>
          <w:sz w:val="20"/>
          <w:szCs w:val="20"/>
        </w:rPr>
        <w:t>Source: Acciavatti et al. (2016)</w:t>
      </w:r>
    </w:p>
    <w:p w14:paraId="33784075" w14:textId="4BBC8FE1" w:rsidR="00CC6A3E" w:rsidRDefault="00F97C2E" w:rsidP="00A15C75">
      <w:pPr>
        <w:spacing w:after="0" w:line="480" w:lineRule="auto"/>
        <w:ind w:firstLine="720"/>
      </w:pPr>
      <w:r>
        <w:t xml:space="preserve">About 10% of the high yield bond market is comprised of high yield municipal debt (Rupp, 2017). </w:t>
      </w:r>
      <w:r w:rsidR="006B0B8F">
        <w:t xml:space="preserve">It is possible that the findings of Maxwell (1998) and Fama and French (1993) might repeat </w:t>
      </w:r>
      <w:r w:rsidR="00A511FE">
        <w:t xml:space="preserve">themselves </w:t>
      </w:r>
      <w:r w:rsidR="006B0B8F">
        <w:t>for high yield municipal debt as well</w:t>
      </w:r>
      <w:r w:rsidR="00F86EBE">
        <w:t xml:space="preserve"> if the institutions that hold them exhibit such window dressing behavior </w:t>
      </w:r>
      <w:r w:rsidR="00DF1E26">
        <w:t>and/</w:t>
      </w:r>
      <w:r w:rsidR="00F86EBE">
        <w:t xml:space="preserve">or seasonal demand. </w:t>
      </w:r>
      <w:r w:rsidR="00750187">
        <w:t xml:space="preserve">The research on seasonality for high yield municipal debt is scarce, if not non-existent. </w:t>
      </w:r>
    </w:p>
    <w:p w14:paraId="6BC8021B" w14:textId="10D1FA31" w:rsidR="00C2412A" w:rsidRDefault="008C7A6A" w:rsidP="00927975">
      <w:pPr>
        <w:spacing w:after="0" w:line="480" w:lineRule="auto"/>
        <w:ind w:firstLine="720"/>
        <w:rPr>
          <w:b/>
        </w:rPr>
      </w:pPr>
      <w:r>
        <w:t>Knowing or predicting seasonality patterns in the yield of municipal debt can be important for both issuers and investors. Issuers can use this information to time their issuance of debt, and investors can utilize this information to shape their investment strategies. Therefore</w:t>
      </w:r>
      <w:r w:rsidR="008706A7">
        <w:t>, this study attempts to answer two research questions</w:t>
      </w:r>
      <w:r w:rsidR="002E73EA">
        <w:t xml:space="preserve"> to add to the discussion</w:t>
      </w:r>
      <w:r w:rsidR="008706A7">
        <w:t xml:space="preserve">: 1) Is there a decline in the January effect for municipal bonds? and 2) Is the January effect more pronounced for </w:t>
      </w:r>
      <w:r w:rsidR="00181F12">
        <w:t>non-investment grade</w:t>
      </w:r>
      <w:r w:rsidR="008706A7">
        <w:t xml:space="preserve"> municipal bonds than</w:t>
      </w:r>
      <w:r w:rsidR="007C4751">
        <w:t xml:space="preserve"> for</w:t>
      </w:r>
      <w:r w:rsidR="008706A7">
        <w:t xml:space="preserve"> investment grade municipal bonds?</w:t>
      </w:r>
      <w:r w:rsidR="007E69C0">
        <w:t xml:space="preserve"> To answer these </w:t>
      </w:r>
      <w:r w:rsidR="007E69C0">
        <w:lastRenderedPageBreak/>
        <w:t>questions index data on municipal bonds is gathered from Bloomberg Barclays Indices</w:t>
      </w:r>
      <w:r w:rsidR="007E69C0">
        <w:rPr>
          <w:rStyle w:val="FootnoteReference"/>
        </w:rPr>
        <w:footnoteReference w:id="1"/>
      </w:r>
      <w:r w:rsidR="00EE5A17">
        <w:t xml:space="preserve"> and analyzed via </w:t>
      </w:r>
      <w:r w:rsidR="001A2BAA">
        <w:t>regression with ARIMA error models</w:t>
      </w:r>
      <w:r w:rsidR="00CA62FF">
        <w:t xml:space="preserve"> (a special case of transfer function models). </w:t>
      </w:r>
      <w:r w:rsidR="00EE5A17">
        <w:t xml:space="preserve"> </w:t>
      </w:r>
    </w:p>
    <w:p w14:paraId="6DE352DE" w14:textId="50E133D2" w:rsidR="00C2412A" w:rsidRDefault="00C2412A" w:rsidP="0087520C">
      <w:pPr>
        <w:spacing w:after="0" w:line="480" w:lineRule="auto"/>
        <w:rPr>
          <w:b/>
        </w:rPr>
      </w:pPr>
      <w:r>
        <w:rPr>
          <w:b/>
        </w:rPr>
        <w:t>Data</w:t>
      </w:r>
      <w:r w:rsidR="009F67B5">
        <w:rPr>
          <w:b/>
        </w:rPr>
        <w:t xml:space="preserve"> and Methodology</w:t>
      </w:r>
    </w:p>
    <w:p w14:paraId="43F0B587" w14:textId="36694154" w:rsidR="000501EA" w:rsidRDefault="009C0594" w:rsidP="0087520C">
      <w:pPr>
        <w:spacing w:after="0" w:line="480" w:lineRule="auto"/>
      </w:pPr>
      <w:r>
        <w:tab/>
        <w:t>Index data on</w:t>
      </w:r>
      <w:r w:rsidR="00AF65F0">
        <w:t xml:space="preserve"> three categories of</w:t>
      </w:r>
      <w:r>
        <w:t xml:space="preserve"> municipal bonds is gathered from Bloomberg Barclays Indices</w:t>
      </w:r>
      <w:r w:rsidR="005C413E">
        <w:t xml:space="preserve"> (201</w:t>
      </w:r>
      <w:r w:rsidR="00DB29E5">
        <w:t xml:space="preserve">7). </w:t>
      </w:r>
      <w:r w:rsidR="00B768FF">
        <w:t>As of March 7, 2018, t</w:t>
      </w:r>
      <w:r w:rsidR="006B5714">
        <w:t xml:space="preserve">he index on </w:t>
      </w:r>
      <w:r w:rsidR="003D2D56">
        <w:t xml:space="preserve">investment grade </w:t>
      </w:r>
      <w:r w:rsidR="006B5714">
        <w:t xml:space="preserve">municipal bonds from Bloomberg </w:t>
      </w:r>
      <w:r w:rsidR="00B768FF">
        <w:t xml:space="preserve">is a market value weighted index that covers </w:t>
      </w:r>
      <w:r w:rsidR="006B5714">
        <w:t>the U.S. long-term tax exempt muni bond market</w:t>
      </w:r>
      <w:r w:rsidR="00B768FF">
        <w:t xml:space="preserve"> and spans from 1980-2017. According to Federated Investors, Inc. (2018), this index </w:t>
      </w:r>
      <w:r w:rsidR="00454B7E">
        <w:t>only includes bonds that have a minimum credit rating of Baa, as per Moody’s ratings</w:t>
      </w:r>
      <w:r w:rsidR="002C7646">
        <w:t xml:space="preserve">, </w:t>
      </w:r>
      <w:r w:rsidR="00AC1CBA">
        <w:t xml:space="preserve">and </w:t>
      </w:r>
      <w:r w:rsidR="00360215" w:rsidRPr="00360215">
        <w:t>an outstanding par value of at least $7 million</w:t>
      </w:r>
      <w:r w:rsidR="00AC1CBA">
        <w:t>. In addition, the bonds must have</w:t>
      </w:r>
      <w:r w:rsidR="002C7646">
        <w:t xml:space="preserve"> </w:t>
      </w:r>
      <w:r w:rsidR="00360215" w:rsidRPr="00360215">
        <w:t>be</w:t>
      </w:r>
      <w:r w:rsidR="006B6A1E">
        <w:t>en</w:t>
      </w:r>
      <w:r w:rsidR="00360215" w:rsidRPr="00360215">
        <w:t xml:space="preserve"> issued as part of a transaction of at least $75 million</w:t>
      </w:r>
      <w:r w:rsidR="002C7646">
        <w:t>,</w:t>
      </w:r>
      <w:r w:rsidR="00AC1CBA">
        <w:t xml:space="preserve"> have</w:t>
      </w:r>
      <w:r w:rsidR="002C7646">
        <w:t xml:space="preserve"> </w:t>
      </w:r>
      <w:r w:rsidR="006B6A1E">
        <w:t>a</w:t>
      </w:r>
      <w:r w:rsidR="00360215" w:rsidRPr="00360215">
        <w:t xml:space="preserve"> fixed rate,</w:t>
      </w:r>
      <w:r w:rsidR="006B6A1E">
        <w:t xml:space="preserve"> </w:t>
      </w:r>
      <w:r w:rsidR="00AC1CBA">
        <w:t>be</w:t>
      </w:r>
      <w:r w:rsidR="00360215" w:rsidRPr="00360215">
        <w:t xml:space="preserve"> dated</w:t>
      </w:r>
      <w:r w:rsidR="00937EC6">
        <w:t xml:space="preserve"> </w:t>
      </w:r>
      <w:r w:rsidR="00360215" w:rsidRPr="00360215">
        <w:t>after December 31, 1990, and</w:t>
      </w:r>
      <w:r w:rsidR="003D2D56">
        <w:t xml:space="preserve"> be</w:t>
      </w:r>
      <w:r w:rsidR="00360215" w:rsidRPr="00360215">
        <w:t xml:space="preserve"> at least one year from their maturity date.</w:t>
      </w:r>
      <w:r w:rsidR="00454B7E">
        <w:t xml:space="preserve"> </w:t>
      </w:r>
      <w:r w:rsidR="00B768FF">
        <w:t>In</w:t>
      </w:r>
      <w:r w:rsidR="00D5498B">
        <w:t>dex d</w:t>
      </w:r>
      <w:r w:rsidR="00B768FF">
        <w:t xml:space="preserve">ata on high yield municipal bonds is also gathered from Bloomberg which </w:t>
      </w:r>
      <w:r w:rsidR="00FD5D6A">
        <w:t xml:space="preserve">only covers municipal bonds that are </w:t>
      </w:r>
      <w:r w:rsidR="00FD5D6A" w:rsidRPr="00FD5D6A">
        <w:t>non-investment grade, unrated, or rated below Ba1</w:t>
      </w:r>
      <w:r w:rsidR="00FD5D6A">
        <w:t xml:space="preserve">, as per Moody’s ratings, </w:t>
      </w:r>
      <w:r w:rsidR="00FD5D6A" w:rsidRPr="00FD5D6A">
        <w:t>with a remaining maturity of at least one year.</w:t>
      </w:r>
      <w:r w:rsidR="00D5498B">
        <w:t xml:space="preserve"> This index spans from 1995 to 2017. Data on high yield municipal bonds with the exclusion of Puerto Rico is also available from Bloomberg from 2009 to 2017 and is included in the analysis. </w:t>
      </w:r>
    </w:p>
    <w:p w14:paraId="7185D440" w14:textId="5B4ABC9C" w:rsidR="00077611" w:rsidRDefault="000501EA" w:rsidP="0087520C">
      <w:pPr>
        <w:spacing w:after="0" w:line="480" w:lineRule="auto"/>
      </w:pPr>
      <w:r>
        <w:tab/>
        <w:t>From these indexes, the one month holding period return is estimated</w:t>
      </w:r>
      <w:r w:rsidR="000632C3">
        <w:rPr>
          <w:rStyle w:val="FootnoteReference"/>
        </w:rPr>
        <w:footnoteReference w:id="2"/>
      </w:r>
      <w:r>
        <w:t xml:space="preserve"> and prepared for the time-series regression analysis. </w:t>
      </w:r>
      <w:r w:rsidR="00EF6CF9">
        <w:t>These indexes</w:t>
      </w:r>
      <w:r w:rsidR="009143C5">
        <w:t xml:space="preserve"> from Bloomberg Barclays Indices (2017)</w:t>
      </w:r>
      <w:r w:rsidR="00EF6CF9">
        <w:t xml:space="preserve"> have not been extensively utilized in previous studies in the </w:t>
      </w:r>
      <w:r w:rsidR="003B22C7">
        <w:t xml:space="preserve">pertinent </w:t>
      </w:r>
      <w:r w:rsidR="00EF6CF9">
        <w:t>literature. However, since these indexes hav</w:t>
      </w:r>
      <w:r w:rsidR="00183161">
        <w:t xml:space="preserve">e data that is more recent, they are well suited for this study. It is important to note that many of the prior studies with regards to seasonality in municipal and corporate bonds did not analyze data beyond 1995. All the indexes from Bloomberg have data from 2009-2017. </w:t>
      </w:r>
    </w:p>
    <w:p w14:paraId="1C6DF395" w14:textId="48E45913" w:rsidR="00F36C67" w:rsidRDefault="00077611" w:rsidP="0087520C">
      <w:pPr>
        <w:spacing w:after="0" w:line="480" w:lineRule="auto"/>
      </w:pPr>
      <w:r>
        <w:lastRenderedPageBreak/>
        <w:tab/>
        <w:t xml:space="preserve">To analyze these indexes, </w:t>
      </w:r>
      <w:r w:rsidR="00AB1FA5">
        <w:t>regression with ARIMA error</w:t>
      </w:r>
      <w:r>
        <w:t xml:space="preserve"> models are utilized via </w:t>
      </w:r>
      <w:r w:rsidR="00502C0A">
        <w:t xml:space="preserve">the </w:t>
      </w:r>
      <w:proofErr w:type="spellStart"/>
      <w:r w:rsidR="00502C0A">
        <w:rPr>
          <w:i/>
        </w:rPr>
        <w:t>auto.arima</w:t>
      </w:r>
      <w:proofErr w:type="spellEnd"/>
      <w:r w:rsidR="00502C0A">
        <w:t xml:space="preserve"> function within the</w:t>
      </w:r>
      <w:r>
        <w:rPr>
          <w:i/>
        </w:rPr>
        <w:t xml:space="preserve"> </w:t>
      </w:r>
      <w:r>
        <w:t>algorithmic package</w:t>
      </w:r>
      <w:r w:rsidR="00502C0A">
        <w:t xml:space="preserve">, </w:t>
      </w:r>
      <w:r w:rsidR="00502C0A">
        <w:rPr>
          <w:i/>
        </w:rPr>
        <w:t>forecast,</w:t>
      </w:r>
      <w:r>
        <w:t xml:space="preserve"> in R </w:t>
      </w:r>
      <w:r w:rsidR="00E70AB4">
        <w:t>(</w:t>
      </w:r>
      <w:r>
        <w:t>Hyndman and Khandakar</w:t>
      </w:r>
      <w:r w:rsidR="00E70AB4">
        <w:t>, 2</w:t>
      </w:r>
      <w:r>
        <w:t>008</w:t>
      </w:r>
      <w:r w:rsidR="00E70AB4">
        <w:t>; Hyndman, et al., 2017</w:t>
      </w:r>
      <w:r>
        <w:t>)</w:t>
      </w:r>
      <w:r w:rsidR="00BA190C">
        <w:t>.</w:t>
      </w:r>
      <w:r w:rsidR="00606DB8">
        <w:t xml:space="preserve"> Constructing a typical </w:t>
      </w:r>
      <w:r w:rsidR="00621F56">
        <w:t>time-series</w:t>
      </w:r>
      <w:r w:rsidR="00606DB8">
        <w:t xml:space="preserve"> model with covariates can be useful for forecasting but not for interpretative purposes with regards to the co-efficients on the covariates included in the model (Hyndman, 2010). This is because the co-efficients in such models can only be interpreted conditionally on previous values of the dependent variable</w:t>
      </w:r>
      <w:r w:rsidR="00AA601B">
        <w:t xml:space="preserve"> (if AR terms are required and are included). </w:t>
      </w:r>
      <w:r w:rsidR="00380EC0">
        <w:t xml:space="preserve">Therefore, a special case of transfer function models, also called regression with ARIMA error </w:t>
      </w:r>
      <w:r w:rsidR="0079505C">
        <w:t>or dynamic regression models,</w:t>
      </w:r>
      <w:r w:rsidR="00380EC0">
        <w:t xml:space="preserve"> is suggested by Hyndman (2010)</w:t>
      </w:r>
      <w:r w:rsidR="0019186E">
        <w:t xml:space="preserve"> and Pankratz (</w:t>
      </w:r>
      <w:r w:rsidR="0079505C">
        <w:t>2012</w:t>
      </w:r>
      <w:r w:rsidR="0019186E">
        <w:t xml:space="preserve">). </w:t>
      </w:r>
    </w:p>
    <w:p w14:paraId="4168EA9D" w14:textId="7B3A1C0B" w:rsidR="00F36C67" w:rsidRDefault="00F36C67" w:rsidP="0087520C">
      <w:pPr>
        <w:spacing w:after="0" w:line="480" w:lineRule="auto"/>
      </w:pPr>
      <w:r>
        <w:t xml:space="preserve">Regression with ARIMA error models have a generalized form that is provided below, </w:t>
      </w:r>
    </w:p>
    <w:p w14:paraId="2E43FBAA" w14:textId="66B0B4D5" w:rsidR="00F36C67" w:rsidRPr="008F74A8" w:rsidRDefault="00F36C67" w:rsidP="0087520C">
      <w:pPr>
        <w:spacing w:after="0" w:line="480" w:lineRule="auto"/>
        <w:jc w:val="center"/>
        <w:rPr>
          <w:rFonts w:cs="Times New Roman"/>
          <w:b/>
          <w:sz w:val="28"/>
          <w:szCs w:val="28"/>
          <w:bdr w:val="none" w:sz="0" w:space="0" w:color="auto" w:frame="1"/>
        </w:rPr>
      </w:pPr>
      <w:proofErr w:type="spellStart"/>
      <w:r w:rsidRPr="008F74A8">
        <w:rPr>
          <w:rStyle w:val="mi"/>
          <w:rFonts w:cs="Times New Roman"/>
          <w:b/>
          <w:sz w:val="28"/>
          <w:szCs w:val="28"/>
          <w:bdr w:val="none" w:sz="0" w:space="0" w:color="auto" w:frame="1"/>
        </w:rPr>
        <w:t>y</w:t>
      </w:r>
      <w:r w:rsidRPr="008F74A8">
        <w:rPr>
          <w:rStyle w:val="mi"/>
          <w:rFonts w:cs="Times New Roman"/>
          <w:b/>
          <w:sz w:val="28"/>
          <w:szCs w:val="28"/>
          <w:bdr w:val="none" w:sz="0" w:space="0" w:color="auto" w:frame="1"/>
          <w:vertAlign w:val="subscript"/>
        </w:rPr>
        <w:t>t</w:t>
      </w:r>
      <w:proofErr w:type="spellEnd"/>
      <w:r w:rsidR="00D4710D" w:rsidRPr="008F74A8">
        <w:rPr>
          <w:rStyle w:val="mo"/>
          <w:rFonts w:cs="Times New Roman"/>
          <w:b/>
          <w:sz w:val="28"/>
          <w:szCs w:val="28"/>
          <w:bdr w:val="none" w:sz="0" w:space="0" w:color="auto" w:frame="1"/>
        </w:rPr>
        <w:t xml:space="preserve"> = </w:t>
      </w:r>
      <w:r w:rsidRPr="008F74A8">
        <w:rPr>
          <w:rStyle w:val="mi"/>
          <w:rFonts w:cs="Times New Roman"/>
          <w:b/>
          <w:sz w:val="28"/>
          <w:szCs w:val="28"/>
          <w:bdr w:val="none" w:sz="0" w:space="0" w:color="auto" w:frame="1"/>
        </w:rPr>
        <w:t>β</w:t>
      </w:r>
      <w:r w:rsidRPr="008F74A8">
        <w:rPr>
          <w:rStyle w:val="mn"/>
          <w:rFonts w:cs="Times New Roman"/>
          <w:b/>
          <w:sz w:val="28"/>
          <w:szCs w:val="28"/>
          <w:bdr w:val="none" w:sz="0" w:space="0" w:color="auto" w:frame="1"/>
          <w:vertAlign w:val="subscript"/>
        </w:rPr>
        <w:t>0</w:t>
      </w:r>
      <w:r w:rsidR="00D4710D" w:rsidRPr="008F74A8">
        <w:rPr>
          <w:rStyle w:val="mn"/>
          <w:rFonts w:cs="Times New Roman"/>
          <w:b/>
          <w:sz w:val="28"/>
          <w:szCs w:val="28"/>
          <w:bdr w:val="none" w:sz="0" w:space="0" w:color="auto" w:frame="1"/>
          <w:vertAlign w:val="subscript"/>
        </w:rPr>
        <w:t xml:space="preserve"> </w:t>
      </w:r>
      <w:r w:rsidRPr="008F74A8">
        <w:rPr>
          <w:rStyle w:val="mo"/>
          <w:rFonts w:cs="Times New Roman"/>
          <w:b/>
          <w:sz w:val="28"/>
          <w:szCs w:val="28"/>
          <w:bdr w:val="none" w:sz="0" w:space="0" w:color="auto" w:frame="1"/>
        </w:rPr>
        <w:t>+</w:t>
      </w:r>
      <w:r w:rsidR="00D4710D" w:rsidRPr="008F74A8">
        <w:rPr>
          <w:rStyle w:val="mo"/>
          <w:rFonts w:cs="Times New Roman"/>
          <w:b/>
          <w:sz w:val="28"/>
          <w:szCs w:val="28"/>
          <w:bdr w:val="none" w:sz="0" w:space="0" w:color="auto" w:frame="1"/>
        </w:rPr>
        <w:t xml:space="preserve"> </w:t>
      </w:r>
      <w:r w:rsidRPr="008F74A8">
        <w:rPr>
          <w:rStyle w:val="mi"/>
          <w:rFonts w:cs="Times New Roman"/>
          <w:b/>
          <w:sz w:val="28"/>
          <w:szCs w:val="28"/>
          <w:bdr w:val="none" w:sz="0" w:space="0" w:color="auto" w:frame="1"/>
        </w:rPr>
        <w:t>β</w:t>
      </w:r>
      <w:r w:rsidRPr="008F74A8">
        <w:rPr>
          <w:rStyle w:val="mn"/>
          <w:rFonts w:cs="Times New Roman"/>
          <w:b/>
          <w:sz w:val="28"/>
          <w:szCs w:val="28"/>
          <w:bdr w:val="none" w:sz="0" w:space="0" w:color="auto" w:frame="1"/>
          <w:vertAlign w:val="subscript"/>
        </w:rPr>
        <w:t>1</w:t>
      </w:r>
      <w:r w:rsidRPr="008F74A8">
        <w:rPr>
          <w:rStyle w:val="mi"/>
          <w:rFonts w:cs="Times New Roman"/>
          <w:b/>
          <w:sz w:val="28"/>
          <w:szCs w:val="28"/>
          <w:bdr w:val="none" w:sz="0" w:space="0" w:color="auto" w:frame="1"/>
        </w:rPr>
        <w:t>x</w:t>
      </w:r>
      <w:proofErr w:type="gramStart"/>
      <w:r w:rsidRPr="008F74A8">
        <w:rPr>
          <w:rStyle w:val="mn"/>
          <w:rFonts w:cs="Times New Roman"/>
          <w:b/>
          <w:sz w:val="28"/>
          <w:szCs w:val="28"/>
          <w:bdr w:val="none" w:sz="0" w:space="0" w:color="auto" w:frame="1"/>
          <w:vertAlign w:val="subscript"/>
        </w:rPr>
        <w:t>1</w:t>
      </w:r>
      <w:r w:rsidRPr="008F74A8">
        <w:rPr>
          <w:rStyle w:val="mo"/>
          <w:rFonts w:cs="Times New Roman"/>
          <w:b/>
          <w:sz w:val="28"/>
          <w:szCs w:val="28"/>
          <w:bdr w:val="none" w:sz="0" w:space="0" w:color="auto" w:frame="1"/>
        </w:rPr>
        <w:t>,</w:t>
      </w:r>
      <w:r w:rsidRPr="008F74A8">
        <w:rPr>
          <w:rStyle w:val="mi"/>
          <w:rFonts w:cs="Times New Roman"/>
          <w:b/>
          <w:sz w:val="28"/>
          <w:szCs w:val="28"/>
          <w:bdr w:val="none" w:sz="0" w:space="0" w:color="auto" w:frame="1"/>
          <w:vertAlign w:val="subscript"/>
        </w:rPr>
        <w:t>t</w:t>
      </w:r>
      <w:proofErr w:type="gramEnd"/>
      <w:r w:rsidR="00D4710D" w:rsidRPr="008F74A8">
        <w:rPr>
          <w:rStyle w:val="mi"/>
          <w:rFonts w:cs="Times New Roman"/>
          <w:b/>
          <w:sz w:val="28"/>
          <w:szCs w:val="28"/>
          <w:bdr w:val="none" w:sz="0" w:space="0" w:color="auto" w:frame="1"/>
          <w:vertAlign w:val="subscript"/>
        </w:rPr>
        <w:t xml:space="preserve"> </w:t>
      </w:r>
      <w:r w:rsidRPr="008F74A8">
        <w:rPr>
          <w:rStyle w:val="mo"/>
          <w:rFonts w:cs="Times New Roman"/>
          <w:b/>
          <w:sz w:val="28"/>
          <w:szCs w:val="28"/>
          <w:bdr w:val="none" w:sz="0" w:space="0" w:color="auto" w:frame="1"/>
        </w:rPr>
        <w:t>+</w:t>
      </w:r>
      <w:r w:rsidRPr="008F74A8">
        <w:rPr>
          <w:rStyle w:val="mo"/>
          <w:rFonts w:ascii="Cambria Math" w:hAnsi="Cambria Math" w:cs="Cambria Math"/>
          <w:b/>
          <w:sz w:val="28"/>
          <w:szCs w:val="28"/>
          <w:bdr w:val="none" w:sz="0" w:space="0" w:color="auto" w:frame="1"/>
        </w:rPr>
        <w:t>⋯</w:t>
      </w:r>
      <w:r w:rsidRPr="008F74A8">
        <w:rPr>
          <w:rStyle w:val="mo"/>
          <w:rFonts w:cs="Times New Roman"/>
          <w:b/>
          <w:sz w:val="28"/>
          <w:szCs w:val="28"/>
          <w:bdr w:val="none" w:sz="0" w:space="0" w:color="auto" w:frame="1"/>
        </w:rPr>
        <w:t>+</w:t>
      </w:r>
      <w:r w:rsidR="00D4710D" w:rsidRPr="008F74A8">
        <w:rPr>
          <w:rStyle w:val="mo"/>
          <w:rFonts w:cs="Times New Roman"/>
          <w:b/>
          <w:sz w:val="28"/>
          <w:szCs w:val="28"/>
          <w:bdr w:val="none" w:sz="0" w:space="0" w:color="auto" w:frame="1"/>
        </w:rPr>
        <w:t xml:space="preserve"> </w:t>
      </w:r>
      <w:r w:rsidRPr="008F74A8">
        <w:rPr>
          <w:rStyle w:val="mi"/>
          <w:rFonts w:cs="Times New Roman"/>
          <w:b/>
          <w:sz w:val="28"/>
          <w:szCs w:val="28"/>
          <w:bdr w:val="none" w:sz="0" w:space="0" w:color="auto" w:frame="1"/>
        </w:rPr>
        <w:t>β</w:t>
      </w:r>
      <w:proofErr w:type="spellStart"/>
      <w:r w:rsidRPr="008F74A8">
        <w:rPr>
          <w:rStyle w:val="mi"/>
          <w:rFonts w:cs="Times New Roman"/>
          <w:b/>
          <w:sz w:val="28"/>
          <w:szCs w:val="28"/>
          <w:bdr w:val="none" w:sz="0" w:space="0" w:color="auto" w:frame="1"/>
          <w:vertAlign w:val="subscript"/>
        </w:rPr>
        <w:t>k</w:t>
      </w:r>
      <w:r w:rsidRPr="008F74A8">
        <w:rPr>
          <w:rStyle w:val="mi"/>
          <w:rFonts w:cs="Times New Roman"/>
          <w:b/>
          <w:sz w:val="28"/>
          <w:szCs w:val="28"/>
          <w:bdr w:val="none" w:sz="0" w:space="0" w:color="auto" w:frame="1"/>
        </w:rPr>
        <w:t>x</w:t>
      </w:r>
      <w:r w:rsidRPr="008F74A8">
        <w:rPr>
          <w:rStyle w:val="mi"/>
          <w:rFonts w:cs="Times New Roman"/>
          <w:b/>
          <w:sz w:val="28"/>
          <w:szCs w:val="28"/>
          <w:bdr w:val="none" w:sz="0" w:space="0" w:color="auto" w:frame="1"/>
          <w:vertAlign w:val="subscript"/>
        </w:rPr>
        <w:t>k</w:t>
      </w:r>
      <w:r w:rsidRPr="008F74A8">
        <w:rPr>
          <w:rStyle w:val="mo"/>
          <w:rFonts w:cs="Times New Roman"/>
          <w:b/>
          <w:sz w:val="28"/>
          <w:szCs w:val="28"/>
          <w:bdr w:val="none" w:sz="0" w:space="0" w:color="auto" w:frame="1"/>
        </w:rPr>
        <w:t>,</w:t>
      </w:r>
      <w:r w:rsidRPr="008F74A8">
        <w:rPr>
          <w:rStyle w:val="mi"/>
          <w:rFonts w:cs="Times New Roman"/>
          <w:b/>
          <w:sz w:val="28"/>
          <w:szCs w:val="28"/>
          <w:bdr w:val="none" w:sz="0" w:space="0" w:color="auto" w:frame="1"/>
          <w:vertAlign w:val="subscript"/>
        </w:rPr>
        <w:t>t</w:t>
      </w:r>
      <w:proofErr w:type="spellEnd"/>
      <w:r w:rsidR="00D4710D" w:rsidRPr="008F74A8">
        <w:rPr>
          <w:rStyle w:val="mi"/>
          <w:rFonts w:cs="Times New Roman"/>
          <w:b/>
          <w:sz w:val="28"/>
          <w:szCs w:val="28"/>
          <w:bdr w:val="none" w:sz="0" w:space="0" w:color="auto" w:frame="1"/>
          <w:vertAlign w:val="subscript"/>
        </w:rPr>
        <w:t xml:space="preserve"> </w:t>
      </w:r>
      <w:r w:rsidRPr="008F74A8">
        <w:rPr>
          <w:rStyle w:val="mo"/>
          <w:rFonts w:cs="Times New Roman"/>
          <w:b/>
          <w:sz w:val="28"/>
          <w:szCs w:val="28"/>
          <w:bdr w:val="none" w:sz="0" w:space="0" w:color="auto" w:frame="1"/>
        </w:rPr>
        <w:t>+</w:t>
      </w:r>
      <w:r w:rsidR="00D4710D" w:rsidRPr="008F74A8">
        <w:rPr>
          <w:rStyle w:val="mo"/>
          <w:rFonts w:cs="Times New Roman"/>
          <w:b/>
          <w:sz w:val="28"/>
          <w:szCs w:val="28"/>
          <w:bdr w:val="none" w:sz="0" w:space="0" w:color="auto" w:frame="1"/>
        </w:rPr>
        <w:t xml:space="preserve"> </w:t>
      </w:r>
      <w:bookmarkStart w:id="1" w:name="_Hlk509789977"/>
      <w:proofErr w:type="spellStart"/>
      <w:r w:rsidRPr="008F74A8">
        <w:rPr>
          <w:rStyle w:val="mi"/>
          <w:rFonts w:cs="Times New Roman"/>
          <w:b/>
          <w:sz w:val="28"/>
          <w:szCs w:val="28"/>
          <w:bdr w:val="none" w:sz="0" w:space="0" w:color="auto" w:frame="1"/>
        </w:rPr>
        <w:t>n</w:t>
      </w:r>
      <w:r w:rsidRPr="008F74A8">
        <w:rPr>
          <w:rStyle w:val="mi"/>
          <w:rFonts w:cs="Times New Roman"/>
          <w:b/>
          <w:sz w:val="28"/>
          <w:szCs w:val="28"/>
          <w:bdr w:val="none" w:sz="0" w:space="0" w:color="auto" w:frame="1"/>
          <w:vertAlign w:val="subscript"/>
        </w:rPr>
        <w:t>t</w:t>
      </w:r>
      <w:proofErr w:type="spellEnd"/>
    </w:p>
    <w:bookmarkEnd w:id="1"/>
    <w:p w14:paraId="40624E34" w14:textId="2767FF80" w:rsidR="007D6F74" w:rsidRDefault="00F36C67" w:rsidP="0087520C">
      <w:pPr>
        <w:spacing w:after="0" w:line="480" w:lineRule="auto"/>
      </w:pPr>
      <w:r>
        <w:t xml:space="preserve">The model above is similar to that of a regression equation with a dependent variable on the left-hand side, and independent variables on the right-hand side. However, in this equation, </w:t>
      </w:r>
      <w:proofErr w:type="spellStart"/>
      <w:r w:rsidR="007D6F74">
        <w:t>n</w:t>
      </w:r>
      <w:r w:rsidR="007D6F74">
        <w:rPr>
          <w:vertAlign w:val="subscript"/>
        </w:rPr>
        <w:t>t</w:t>
      </w:r>
      <w:proofErr w:type="spellEnd"/>
      <w:r w:rsidR="007D6F74">
        <w:rPr>
          <w:vertAlign w:val="subscript"/>
        </w:rPr>
        <w:t xml:space="preserve"> </w:t>
      </w:r>
      <w:r w:rsidR="007D6F74">
        <w:t xml:space="preserve">is assumed to possess an ARIMA process, and not to be mere white noise. For instance, if </w:t>
      </w:r>
      <w:proofErr w:type="spellStart"/>
      <w:r w:rsidR="007D6F74">
        <w:t>n</w:t>
      </w:r>
      <w:r w:rsidR="007D6F74">
        <w:rPr>
          <w:vertAlign w:val="subscript"/>
        </w:rPr>
        <w:t>t</w:t>
      </w:r>
      <w:proofErr w:type="spellEnd"/>
      <w:r w:rsidR="007D6F74">
        <w:t xml:space="preserve"> possessed an </w:t>
      </w:r>
      <w:proofErr w:type="gramStart"/>
      <w:r w:rsidR="007D6F74">
        <w:t>ARIMA(</w:t>
      </w:r>
      <w:proofErr w:type="gramEnd"/>
      <w:r w:rsidR="007D6F74">
        <w:t xml:space="preserve">1,1,1) process it would have this form, </w:t>
      </w:r>
    </w:p>
    <w:p w14:paraId="22AC855C" w14:textId="20B542B2" w:rsidR="00F36C67" w:rsidRPr="008F74A8" w:rsidRDefault="007D6F74" w:rsidP="0087520C">
      <w:pPr>
        <w:spacing w:after="0" w:line="480" w:lineRule="auto"/>
        <w:jc w:val="center"/>
        <w:rPr>
          <w:rFonts w:cs="Times New Roman"/>
          <w:b/>
          <w:sz w:val="28"/>
          <w:szCs w:val="28"/>
        </w:rPr>
      </w:pPr>
      <w:r w:rsidRPr="008F74A8">
        <w:rPr>
          <w:rStyle w:val="mo"/>
          <w:rFonts w:cs="Times New Roman"/>
          <w:b/>
          <w:color w:val="333333"/>
          <w:sz w:val="28"/>
          <w:szCs w:val="28"/>
          <w:bdr w:val="none" w:sz="0" w:space="0" w:color="auto" w:frame="1"/>
          <w:shd w:val="clear" w:color="auto" w:fill="FFFFFF"/>
        </w:rPr>
        <w:t>(</w:t>
      </w:r>
      <w:r w:rsidRPr="008F74A8">
        <w:rPr>
          <w:rStyle w:val="mn"/>
          <w:rFonts w:cs="Times New Roman"/>
          <w:b/>
          <w:color w:val="333333"/>
          <w:sz w:val="28"/>
          <w:szCs w:val="28"/>
          <w:bdr w:val="none" w:sz="0" w:space="0" w:color="auto" w:frame="1"/>
          <w:shd w:val="clear" w:color="auto" w:fill="FFFFFF"/>
        </w:rPr>
        <w:t>1</w:t>
      </w:r>
      <w:r w:rsidR="00085567" w:rsidRPr="008F74A8">
        <w:rPr>
          <w:rStyle w:val="mn"/>
          <w:rFonts w:cs="Times New Roman"/>
          <w:b/>
          <w:color w:val="333333"/>
          <w:sz w:val="28"/>
          <w:szCs w:val="28"/>
          <w:bdr w:val="none" w:sz="0" w:space="0" w:color="auto" w:frame="1"/>
          <w:shd w:val="clear" w:color="auto" w:fill="FFFFFF"/>
        </w:rPr>
        <w:t xml:space="preserve"> </w:t>
      </w:r>
      <w:r w:rsidRPr="008F74A8">
        <w:rPr>
          <w:rStyle w:val="mo"/>
          <w:rFonts w:cs="Times New Roman"/>
          <w:b/>
          <w:color w:val="333333"/>
          <w:sz w:val="28"/>
          <w:szCs w:val="28"/>
          <w:bdr w:val="none" w:sz="0" w:space="0" w:color="auto" w:frame="1"/>
          <w:shd w:val="clear" w:color="auto" w:fill="FFFFFF"/>
        </w:rPr>
        <w:t>−</w:t>
      </w:r>
      <w:r w:rsidR="00085567" w:rsidRPr="008F74A8">
        <w:rPr>
          <w:rStyle w:val="mo"/>
          <w:rFonts w:cs="Times New Roman"/>
          <w:b/>
          <w:color w:val="333333"/>
          <w:sz w:val="28"/>
          <w:szCs w:val="28"/>
          <w:bdr w:val="none" w:sz="0" w:space="0" w:color="auto" w:frame="1"/>
          <w:shd w:val="clear" w:color="auto" w:fill="FFFFFF"/>
        </w:rPr>
        <w:t xml:space="preserve"> </w:t>
      </w:r>
      <w:r w:rsidRPr="008F74A8">
        <w:rPr>
          <w:rStyle w:val="mi"/>
          <w:rFonts w:cs="Times New Roman"/>
          <w:b/>
          <w:color w:val="333333"/>
          <w:sz w:val="28"/>
          <w:szCs w:val="28"/>
          <w:bdr w:val="none" w:sz="0" w:space="0" w:color="auto" w:frame="1"/>
        </w:rPr>
        <w:t>ϕ</w:t>
      </w:r>
      <w:r w:rsidRPr="008F74A8">
        <w:rPr>
          <w:rStyle w:val="mn"/>
          <w:rFonts w:cs="Times New Roman"/>
          <w:b/>
          <w:color w:val="333333"/>
          <w:sz w:val="28"/>
          <w:szCs w:val="28"/>
          <w:bdr w:val="none" w:sz="0" w:space="0" w:color="auto" w:frame="1"/>
          <w:vertAlign w:val="subscript"/>
        </w:rPr>
        <w:t>1</w:t>
      </w:r>
      <w:proofErr w:type="gramStart"/>
      <w:r w:rsidRPr="008F74A8">
        <w:rPr>
          <w:rStyle w:val="mi"/>
          <w:rFonts w:cs="Times New Roman"/>
          <w:b/>
          <w:color w:val="333333"/>
          <w:sz w:val="28"/>
          <w:szCs w:val="28"/>
          <w:bdr w:val="none" w:sz="0" w:space="0" w:color="auto" w:frame="1"/>
          <w:shd w:val="clear" w:color="auto" w:fill="FFFFFF"/>
        </w:rPr>
        <w:t>B</w:t>
      </w:r>
      <w:r w:rsidRPr="008F74A8">
        <w:rPr>
          <w:rStyle w:val="mo"/>
          <w:rFonts w:cs="Times New Roman"/>
          <w:b/>
          <w:color w:val="333333"/>
          <w:sz w:val="28"/>
          <w:szCs w:val="28"/>
          <w:bdr w:val="none" w:sz="0" w:space="0" w:color="auto" w:frame="1"/>
          <w:shd w:val="clear" w:color="auto" w:fill="FFFFFF"/>
        </w:rPr>
        <w:t>)(</w:t>
      </w:r>
      <w:proofErr w:type="gramEnd"/>
      <w:r w:rsidRPr="008F74A8">
        <w:rPr>
          <w:rStyle w:val="mn"/>
          <w:rFonts w:cs="Times New Roman"/>
          <w:b/>
          <w:color w:val="333333"/>
          <w:sz w:val="28"/>
          <w:szCs w:val="28"/>
          <w:bdr w:val="none" w:sz="0" w:space="0" w:color="auto" w:frame="1"/>
          <w:shd w:val="clear" w:color="auto" w:fill="FFFFFF"/>
        </w:rPr>
        <w:t>1</w:t>
      </w:r>
      <w:r w:rsidR="00085567" w:rsidRPr="008F74A8">
        <w:rPr>
          <w:rStyle w:val="mn"/>
          <w:rFonts w:cs="Times New Roman"/>
          <w:b/>
          <w:color w:val="333333"/>
          <w:sz w:val="28"/>
          <w:szCs w:val="28"/>
          <w:bdr w:val="none" w:sz="0" w:space="0" w:color="auto" w:frame="1"/>
          <w:shd w:val="clear" w:color="auto" w:fill="FFFFFF"/>
        </w:rPr>
        <w:t xml:space="preserve"> </w:t>
      </w:r>
      <w:r w:rsidRPr="008F74A8">
        <w:rPr>
          <w:rStyle w:val="mo"/>
          <w:rFonts w:cs="Times New Roman"/>
          <w:b/>
          <w:color w:val="333333"/>
          <w:sz w:val="28"/>
          <w:szCs w:val="28"/>
          <w:bdr w:val="none" w:sz="0" w:space="0" w:color="auto" w:frame="1"/>
          <w:shd w:val="clear" w:color="auto" w:fill="FFFFFF"/>
        </w:rPr>
        <w:t>−</w:t>
      </w:r>
      <w:r w:rsidR="00085567" w:rsidRPr="008F74A8">
        <w:rPr>
          <w:rStyle w:val="mo"/>
          <w:rFonts w:cs="Times New Roman"/>
          <w:b/>
          <w:color w:val="333333"/>
          <w:sz w:val="28"/>
          <w:szCs w:val="28"/>
          <w:bdr w:val="none" w:sz="0" w:space="0" w:color="auto" w:frame="1"/>
          <w:shd w:val="clear" w:color="auto" w:fill="FFFFFF"/>
        </w:rPr>
        <w:t xml:space="preserve"> </w:t>
      </w:r>
      <w:r w:rsidRPr="008F74A8">
        <w:rPr>
          <w:rStyle w:val="mi"/>
          <w:rFonts w:cs="Times New Roman"/>
          <w:b/>
          <w:color w:val="333333"/>
          <w:sz w:val="28"/>
          <w:szCs w:val="28"/>
          <w:bdr w:val="none" w:sz="0" w:space="0" w:color="auto" w:frame="1"/>
          <w:shd w:val="clear" w:color="auto" w:fill="FFFFFF"/>
        </w:rPr>
        <w:t>B</w:t>
      </w:r>
      <w:r w:rsidRPr="008F74A8">
        <w:rPr>
          <w:rStyle w:val="mo"/>
          <w:rFonts w:cs="Times New Roman"/>
          <w:b/>
          <w:color w:val="333333"/>
          <w:sz w:val="28"/>
          <w:szCs w:val="28"/>
          <w:bdr w:val="none" w:sz="0" w:space="0" w:color="auto" w:frame="1"/>
          <w:shd w:val="clear" w:color="auto" w:fill="FFFFFF"/>
        </w:rPr>
        <w:t>)</w:t>
      </w:r>
      <w:proofErr w:type="spellStart"/>
      <w:r w:rsidRPr="008F74A8">
        <w:rPr>
          <w:rStyle w:val="mi"/>
          <w:rFonts w:cs="Times New Roman"/>
          <w:b/>
          <w:color w:val="333333"/>
          <w:sz w:val="28"/>
          <w:szCs w:val="28"/>
          <w:bdr w:val="none" w:sz="0" w:space="0" w:color="auto" w:frame="1"/>
        </w:rPr>
        <w:t>n</w:t>
      </w:r>
      <w:r w:rsidRPr="008F74A8">
        <w:rPr>
          <w:rStyle w:val="mi"/>
          <w:rFonts w:cs="Times New Roman"/>
          <w:b/>
          <w:color w:val="333333"/>
          <w:sz w:val="28"/>
          <w:szCs w:val="28"/>
          <w:bdr w:val="none" w:sz="0" w:space="0" w:color="auto" w:frame="1"/>
          <w:vertAlign w:val="subscript"/>
        </w:rPr>
        <w:t>t</w:t>
      </w:r>
      <w:proofErr w:type="spellEnd"/>
      <w:r w:rsidR="00085567" w:rsidRPr="008F74A8">
        <w:rPr>
          <w:rStyle w:val="mi"/>
          <w:rFonts w:cs="Times New Roman"/>
          <w:b/>
          <w:color w:val="333333"/>
          <w:sz w:val="28"/>
          <w:szCs w:val="28"/>
          <w:bdr w:val="none" w:sz="0" w:space="0" w:color="auto" w:frame="1"/>
        </w:rPr>
        <w:t xml:space="preserve"> </w:t>
      </w:r>
      <w:r w:rsidRPr="008F74A8">
        <w:rPr>
          <w:rStyle w:val="mo"/>
          <w:rFonts w:cs="Times New Roman"/>
          <w:b/>
          <w:color w:val="333333"/>
          <w:sz w:val="28"/>
          <w:szCs w:val="28"/>
          <w:bdr w:val="none" w:sz="0" w:space="0" w:color="auto" w:frame="1"/>
          <w:shd w:val="clear" w:color="auto" w:fill="FFFFFF"/>
        </w:rPr>
        <w:t>=</w:t>
      </w:r>
      <w:r w:rsidR="00085567" w:rsidRPr="008F74A8">
        <w:rPr>
          <w:rStyle w:val="mo"/>
          <w:rFonts w:cs="Times New Roman"/>
          <w:b/>
          <w:color w:val="333333"/>
          <w:sz w:val="28"/>
          <w:szCs w:val="28"/>
          <w:bdr w:val="none" w:sz="0" w:space="0" w:color="auto" w:frame="1"/>
          <w:shd w:val="clear" w:color="auto" w:fill="FFFFFF"/>
        </w:rPr>
        <w:t xml:space="preserve"> </w:t>
      </w:r>
      <w:r w:rsidRPr="008F74A8">
        <w:rPr>
          <w:rStyle w:val="mo"/>
          <w:rFonts w:cs="Times New Roman"/>
          <w:b/>
          <w:color w:val="333333"/>
          <w:sz w:val="28"/>
          <w:szCs w:val="28"/>
          <w:bdr w:val="none" w:sz="0" w:space="0" w:color="auto" w:frame="1"/>
          <w:shd w:val="clear" w:color="auto" w:fill="FFFFFF"/>
        </w:rPr>
        <w:t>(</w:t>
      </w:r>
      <w:r w:rsidRPr="008F74A8">
        <w:rPr>
          <w:rStyle w:val="mn"/>
          <w:rFonts w:cs="Times New Roman"/>
          <w:b/>
          <w:color w:val="333333"/>
          <w:sz w:val="28"/>
          <w:szCs w:val="28"/>
          <w:bdr w:val="none" w:sz="0" w:space="0" w:color="auto" w:frame="1"/>
          <w:shd w:val="clear" w:color="auto" w:fill="FFFFFF"/>
        </w:rPr>
        <w:t>1</w:t>
      </w:r>
      <w:r w:rsidR="00085567" w:rsidRPr="008F74A8">
        <w:rPr>
          <w:rStyle w:val="mn"/>
          <w:rFonts w:cs="Times New Roman"/>
          <w:b/>
          <w:color w:val="333333"/>
          <w:sz w:val="28"/>
          <w:szCs w:val="28"/>
          <w:bdr w:val="none" w:sz="0" w:space="0" w:color="auto" w:frame="1"/>
          <w:shd w:val="clear" w:color="auto" w:fill="FFFFFF"/>
        </w:rPr>
        <w:t xml:space="preserve"> </w:t>
      </w:r>
      <w:r w:rsidRPr="008F74A8">
        <w:rPr>
          <w:rStyle w:val="mo"/>
          <w:rFonts w:cs="Times New Roman"/>
          <w:b/>
          <w:color w:val="333333"/>
          <w:sz w:val="28"/>
          <w:szCs w:val="28"/>
          <w:bdr w:val="none" w:sz="0" w:space="0" w:color="auto" w:frame="1"/>
          <w:shd w:val="clear" w:color="auto" w:fill="FFFFFF"/>
        </w:rPr>
        <w:t>+</w:t>
      </w:r>
      <w:r w:rsidR="00085567" w:rsidRPr="008F74A8">
        <w:rPr>
          <w:rStyle w:val="mo"/>
          <w:rFonts w:cs="Times New Roman"/>
          <w:b/>
          <w:color w:val="333333"/>
          <w:sz w:val="28"/>
          <w:szCs w:val="28"/>
          <w:bdr w:val="none" w:sz="0" w:space="0" w:color="auto" w:frame="1"/>
          <w:shd w:val="clear" w:color="auto" w:fill="FFFFFF"/>
        </w:rPr>
        <w:t xml:space="preserve"> </w:t>
      </w:r>
      <w:r w:rsidRPr="008F74A8">
        <w:rPr>
          <w:rStyle w:val="mi"/>
          <w:rFonts w:cs="Times New Roman"/>
          <w:b/>
          <w:color w:val="333333"/>
          <w:sz w:val="28"/>
          <w:szCs w:val="28"/>
          <w:bdr w:val="none" w:sz="0" w:space="0" w:color="auto" w:frame="1"/>
        </w:rPr>
        <w:t>θ</w:t>
      </w:r>
      <w:r w:rsidRPr="008F74A8">
        <w:rPr>
          <w:rStyle w:val="mn"/>
          <w:rFonts w:cs="Times New Roman"/>
          <w:b/>
          <w:color w:val="333333"/>
          <w:sz w:val="28"/>
          <w:szCs w:val="28"/>
          <w:bdr w:val="none" w:sz="0" w:space="0" w:color="auto" w:frame="1"/>
          <w:vertAlign w:val="subscript"/>
        </w:rPr>
        <w:t>1</w:t>
      </w:r>
      <w:r w:rsidRPr="008F74A8">
        <w:rPr>
          <w:rStyle w:val="mi"/>
          <w:rFonts w:cs="Times New Roman"/>
          <w:b/>
          <w:color w:val="333333"/>
          <w:sz w:val="28"/>
          <w:szCs w:val="28"/>
          <w:bdr w:val="none" w:sz="0" w:space="0" w:color="auto" w:frame="1"/>
          <w:shd w:val="clear" w:color="auto" w:fill="FFFFFF"/>
        </w:rPr>
        <w:t>B</w:t>
      </w:r>
      <w:r w:rsidRPr="008F74A8">
        <w:rPr>
          <w:rStyle w:val="mo"/>
          <w:rFonts w:cs="Times New Roman"/>
          <w:b/>
          <w:color w:val="333333"/>
          <w:sz w:val="28"/>
          <w:szCs w:val="28"/>
          <w:bdr w:val="none" w:sz="0" w:space="0" w:color="auto" w:frame="1"/>
          <w:shd w:val="clear" w:color="auto" w:fill="FFFFFF"/>
        </w:rPr>
        <w:t>)</w:t>
      </w:r>
      <w:r w:rsidRPr="008F74A8">
        <w:rPr>
          <w:rStyle w:val="mi"/>
          <w:rFonts w:cs="Times New Roman"/>
          <w:b/>
          <w:color w:val="333333"/>
          <w:sz w:val="28"/>
          <w:szCs w:val="28"/>
          <w:bdr w:val="none" w:sz="0" w:space="0" w:color="auto" w:frame="1"/>
        </w:rPr>
        <w:t>e</w:t>
      </w:r>
      <w:r w:rsidRPr="008F74A8">
        <w:rPr>
          <w:rStyle w:val="mi"/>
          <w:rFonts w:cs="Times New Roman"/>
          <w:b/>
          <w:color w:val="333333"/>
          <w:sz w:val="28"/>
          <w:szCs w:val="28"/>
          <w:bdr w:val="none" w:sz="0" w:space="0" w:color="auto" w:frame="1"/>
          <w:vertAlign w:val="subscript"/>
        </w:rPr>
        <w:t>t</w:t>
      </w:r>
    </w:p>
    <w:p w14:paraId="133023F0" w14:textId="6E2BD1FB" w:rsidR="009967F3" w:rsidRDefault="00AF024E" w:rsidP="0087520C">
      <w:pPr>
        <w:spacing w:after="0" w:line="480" w:lineRule="auto"/>
      </w:pPr>
      <w:proofErr w:type="gramStart"/>
      <w:r>
        <w:t>In order to</w:t>
      </w:r>
      <w:proofErr w:type="gramEnd"/>
      <w:r>
        <w:t xml:space="preserve"> estimate accurate parameters </w:t>
      </w:r>
      <w:r w:rsidR="00504E9A">
        <w:t>for</w:t>
      </w:r>
      <w:r>
        <w:t xml:space="preserve"> the model, one would need to minimize the sum of squared e</w:t>
      </w:r>
      <w:r>
        <w:rPr>
          <w:vertAlign w:val="subscript"/>
        </w:rPr>
        <w:t>t</w:t>
      </w:r>
      <w:r>
        <w:t xml:space="preserve"> values, and not the sum of squared </w:t>
      </w:r>
      <w:proofErr w:type="spellStart"/>
      <w:r>
        <w:t>n</w:t>
      </w:r>
      <w:r>
        <w:rPr>
          <w:vertAlign w:val="subscript"/>
        </w:rPr>
        <w:t>t</w:t>
      </w:r>
      <w:proofErr w:type="spellEnd"/>
      <w:r>
        <w:t xml:space="preserve"> values. </w:t>
      </w:r>
      <w:r w:rsidR="00F36C67">
        <w:t>The</w:t>
      </w:r>
      <w:r w:rsidR="00BA190C">
        <w:t xml:space="preserve"> algorithm </w:t>
      </w:r>
      <w:r>
        <w:t xml:space="preserve">provided by Hyndman et al. (2017) </w:t>
      </w:r>
      <w:r w:rsidR="00BA190C">
        <w:t>uses a step-wise process to identify th</w:t>
      </w:r>
      <w:r w:rsidR="006F5B79">
        <w:t xml:space="preserve">e most appropriate autoregressive, differencing, moving average, and seasonal parameters for the </w:t>
      </w:r>
      <w:r w:rsidR="00AB1FA5">
        <w:t>error term in the regression model</w:t>
      </w:r>
      <w:r w:rsidR="00EE482A">
        <w:t xml:space="preserve"> </w:t>
      </w:r>
      <w:r w:rsidR="002A00C2">
        <w:t>based on</w:t>
      </w:r>
      <w:r w:rsidR="00EE482A">
        <w:t xml:space="preserve"> which specification has the lowest Akaike’s Information Criterion (AIC). </w:t>
      </w:r>
    </w:p>
    <w:p w14:paraId="45CF2AD8" w14:textId="3BF05FBF" w:rsidR="0091494C" w:rsidRDefault="0091494C" w:rsidP="0087520C">
      <w:pPr>
        <w:spacing w:after="0" w:line="480" w:lineRule="auto"/>
      </w:pPr>
      <w:r>
        <w:lastRenderedPageBreak/>
        <w:tab/>
        <w:t xml:space="preserve">A preliminary step in this process is ensuring that all variables that are included in the model are stationary. </w:t>
      </w:r>
      <w:r w:rsidR="00807B97">
        <w:t xml:space="preserve">The dependent variable, one month holding period return </w:t>
      </w:r>
      <w:r w:rsidR="006967D2">
        <w:t xml:space="preserve">of the index, </w:t>
      </w:r>
      <w:r w:rsidR="00807B97">
        <w:t xml:space="preserve">is estimated as follows, </w:t>
      </w:r>
    </w:p>
    <w:p w14:paraId="2B2C037F" w14:textId="086FE972" w:rsidR="00807B97" w:rsidRPr="008F74A8" w:rsidRDefault="006967D2" w:rsidP="00807B97">
      <w:pPr>
        <w:spacing w:after="0" w:line="480" w:lineRule="auto"/>
        <w:jc w:val="center"/>
        <w:rPr>
          <w:b/>
        </w:rPr>
      </w:pPr>
      <w:r>
        <w:rPr>
          <w:b/>
        </w:rPr>
        <w:t>LN</w:t>
      </w:r>
      <w:r w:rsidR="00807B97" w:rsidRPr="008F74A8">
        <w:rPr>
          <w:b/>
        </w:rPr>
        <w:t xml:space="preserve">(Pt/Pt-1) where </w:t>
      </w:r>
      <w:proofErr w:type="spellStart"/>
      <w:r w:rsidR="00807B97" w:rsidRPr="008F74A8">
        <w:rPr>
          <w:b/>
        </w:rPr>
        <w:t>t</w:t>
      </w:r>
      <w:proofErr w:type="spellEnd"/>
      <w:r w:rsidR="00807B97" w:rsidRPr="008F74A8">
        <w:rPr>
          <w:b/>
        </w:rPr>
        <w:t xml:space="preserve"> is in months, and P is price of the index</w:t>
      </w:r>
    </w:p>
    <w:p w14:paraId="551201CF" w14:textId="1D2D1B14" w:rsidR="00807B97" w:rsidRDefault="00807B97" w:rsidP="00807B97">
      <w:pPr>
        <w:spacing w:after="0" w:line="480" w:lineRule="auto"/>
      </w:pPr>
      <w:r>
        <w:tab/>
        <w:t>This is equivalent to LN(P</w:t>
      </w:r>
      <w:r w:rsidRPr="00807B97">
        <w:rPr>
          <w:vertAlign w:val="subscript"/>
        </w:rPr>
        <w:t>t</w:t>
      </w:r>
      <w:r>
        <w:t>) – LN(P</w:t>
      </w:r>
      <w:r w:rsidRPr="00807B97">
        <w:rPr>
          <w:vertAlign w:val="subscript"/>
        </w:rPr>
        <w:t>t-1</w:t>
      </w:r>
      <w:r>
        <w:t>) which is the first difference of the natural logarithm of the price values in the index. This results in stationary dependent variables for all the estimated models as per results from Augmented Dickey Fuller tests for unit roots (</w:t>
      </w:r>
      <w:r w:rsidR="00754EE7">
        <w:t xml:space="preserve">Ruppert, 2011). </w:t>
      </w:r>
    </w:p>
    <w:p w14:paraId="27CE64AB" w14:textId="56967603" w:rsidR="00DB39EC" w:rsidRDefault="00C339DD" w:rsidP="009967F3">
      <w:pPr>
        <w:spacing w:after="0" w:line="480" w:lineRule="auto"/>
        <w:ind w:firstLine="720"/>
      </w:pPr>
      <w:r>
        <w:t>Then</w:t>
      </w:r>
      <w:r w:rsidR="009967F3">
        <w:t xml:space="preserve">, </w:t>
      </w:r>
      <w:r w:rsidR="00667F10">
        <w:t xml:space="preserve">regression with ARIMA error models are </w:t>
      </w:r>
      <w:r w:rsidR="006967D2">
        <w:t>utilized</w:t>
      </w:r>
      <w:r w:rsidR="009C1C08">
        <w:t xml:space="preserve"> to estimate the co-efficients on monthly dummy variables that are included into the models that are used to answer the aforementioned research questions. </w:t>
      </w:r>
      <w:r w:rsidR="003E1CB5">
        <w:t xml:space="preserve">With regards to the variables specified in the model above, </w:t>
      </w:r>
      <w:proofErr w:type="spellStart"/>
      <w:r w:rsidR="003E1CB5" w:rsidRPr="003E1CB5">
        <w:rPr>
          <w:rStyle w:val="mi"/>
          <w:rFonts w:cs="Times New Roman"/>
          <w:szCs w:val="24"/>
          <w:bdr w:val="none" w:sz="0" w:space="0" w:color="auto" w:frame="1"/>
        </w:rPr>
        <w:t>y</w:t>
      </w:r>
      <w:r w:rsidR="003E1CB5" w:rsidRPr="003E1CB5">
        <w:rPr>
          <w:rStyle w:val="mi"/>
          <w:rFonts w:cs="Times New Roman"/>
          <w:szCs w:val="24"/>
          <w:bdr w:val="none" w:sz="0" w:space="0" w:color="auto" w:frame="1"/>
          <w:vertAlign w:val="subscript"/>
        </w:rPr>
        <w:t>t</w:t>
      </w:r>
      <w:proofErr w:type="spellEnd"/>
      <w:r w:rsidR="003E1CB5" w:rsidRPr="003E1CB5">
        <w:rPr>
          <w:rStyle w:val="mi"/>
          <w:rFonts w:cs="Times New Roman"/>
          <w:szCs w:val="24"/>
          <w:bdr w:val="none" w:sz="0" w:space="0" w:color="auto" w:frame="1"/>
          <w:vertAlign w:val="subscript"/>
        </w:rPr>
        <w:t xml:space="preserve"> </w:t>
      </w:r>
      <w:r w:rsidR="003E1CB5">
        <w:t>refers to the one month holding period return at month t</w:t>
      </w:r>
      <w:r w:rsidR="009F44F4">
        <w:t xml:space="preserve"> of the municipal bond index that is being analyzed</w:t>
      </w:r>
      <w:r w:rsidR="003E1CB5">
        <w:t xml:space="preserve">, </w:t>
      </w:r>
      <w:r w:rsidR="003E1CB5" w:rsidRPr="003E1CB5">
        <w:rPr>
          <w:rStyle w:val="mi"/>
          <w:rFonts w:cs="Times New Roman"/>
          <w:szCs w:val="24"/>
          <w:bdr w:val="none" w:sz="0" w:space="0" w:color="auto" w:frame="1"/>
        </w:rPr>
        <w:t>β</w:t>
      </w:r>
      <w:r w:rsidR="003E1CB5" w:rsidRPr="003E1CB5">
        <w:rPr>
          <w:rStyle w:val="mn"/>
          <w:rFonts w:cs="Times New Roman"/>
          <w:szCs w:val="24"/>
          <w:bdr w:val="none" w:sz="0" w:space="0" w:color="auto" w:frame="1"/>
          <w:vertAlign w:val="subscript"/>
        </w:rPr>
        <w:t>1……..</w:t>
      </w:r>
      <w:r w:rsidR="003E1CB5" w:rsidRPr="003E1CB5">
        <w:rPr>
          <w:rStyle w:val="mi"/>
          <w:rFonts w:cs="Times New Roman"/>
          <w:szCs w:val="24"/>
          <w:bdr w:val="none" w:sz="0" w:space="0" w:color="auto" w:frame="1"/>
        </w:rPr>
        <w:t xml:space="preserve"> β</w:t>
      </w:r>
      <w:r w:rsidR="003E1CB5" w:rsidRPr="003E1CB5">
        <w:rPr>
          <w:rStyle w:val="mn"/>
          <w:rFonts w:cs="Times New Roman"/>
          <w:szCs w:val="24"/>
          <w:bdr w:val="none" w:sz="0" w:space="0" w:color="auto" w:frame="1"/>
          <w:vertAlign w:val="subscript"/>
        </w:rPr>
        <w:t>k</w:t>
      </w:r>
      <w:r w:rsidR="003E1CB5">
        <w:rPr>
          <w:rStyle w:val="mn"/>
          <w:rFonts w:cs="Times New Roman"/>
          <w:sz w:val="28"/>
          <w:szCs w:val="28"/>
          <w:bdr w:val="none" w:sz="0" w:space="0" w:color="auto" w:frame="1"/>
          <w:vertAlign w:val="subscript"/>
        </w:rPr>
        <w:t xml:space="preserve"> </w:t>
      </w:r>
      <w:r w:rsidR="003E1CB5">
        <w:t>refer to the co-efficients on the monthly dummy variables</w:t>
      </w:r>
      <w:r w:rsidR="00C30E47">
        <w:t xml:space="preserve"> (January is the base month dummy)</w:t>
      </w:r>
      <w:r w:rsidR="003E1CB5">
        <w:t xml:space="preserve">, and </w:t>
      </w:r>
      <w:proofErr w:type="spellStart"/>
      <w:r w:rsidR="003E1CB5" w:rsidRPr="003E1CB5">
        <w:t>n</w:t>
      </w:r>
      <w:r w:rsidR="003E1CB5" w:rsidRPr="005D282C">
        <w:rPr>
          <w:vertAlign w:val="subscript"/>
        </w:rPr>
        <w:t>t</w:t>
      </w:r>
      <w:proofErr w:type="spellEnd"/>
      <w:r w:rsidR="003E1CB5">
        <w:t xml:space="preserve"> refers to the error term that possesses an ARIMA process.</w:t>
      </w:r>
    </w:p>
    <w:p w14:paraId="3340AF67" w14:textId="25CADBD8" w:rsidR="005446F2" w:rsidRPr="005446F2" w:rsidRDefault="005446F2" w:rsidP="005446F2">
      <w:pPr>
        <w:spacing w:after="0" w:line="480" w:lineRule="auto"/>
        <w:rPr>
          <w:b/>
        </w:rPr>
      </w:pPr>
      <w:r>
        <w:rPr>
          <w:b/>
        </w:rPr>
        <w:t>Results</w:t>
      </w:r>
    </w:p>
    <w:p w14:paraId="11E93968" w14:textId="646086F3" w:rsidR="00E67EF4" w:rsidRPr="005446F2" w:rsidRDefault="00E67EF4" w:rsidP="0087520C">
      <w:pPr>
        <w:spacing w:after="0" w:line="480" w:lineRule="auto"/>
        <w:rPr>
          <w:b/>
          <w:i/>
        </w:rPr>
      </w:pPr>
      <w:r w:rsidRPr="005446F2">
        <w:rPr>
          <w:b/>
          <w:i/>
        </w:rPr>
        <w:t>Decline in the January Effec</w:t>
      </w:r>
      <w:r w:rsidR="007C0416" w:rsidRPr="005446F2">
        <w:rPr>
          <w:b/>
          <w:i/>
        </w:rPr>
        <w:t xml:space="preserve">t? </w:t>
      </w:r>
    </w:p>
    <w:p w14:paraId="7E4AAC56" w14:textId="77777777" w:rsidR="00FD3E4F" w:rsidRDefault="00E67EF4" w:rsidP="00DA7A8B">
      <w:pPr>
        <w:keepNext/>
        <w:spacing w:after="0" w:line="480" w:lineRule="auto"/>
      </w:pPr>
      <w:r>
        <w:tab/>
        <w:t xml:space="preserve">To assess if there has been a decline in the January effect, </w:t>
      </w:r>
      <w:r w:rsidR="00260D6D">
        <w:t xml:space="preserve">appropriate regression with ARIMA error specifications </w:t>
      </w:r>
      <w:r w:rsidR="006D61CA">
        <w:t>are</w:t>
      </w:r>
      <w:r>
        <w:t xml:space="preserve"> applied to the index on municipal bonds</w:t>
      </w:r>
      <w:r w:rsidR="004D0492">
        <w:t xml:space="preserve"> (rated at or above Baa)</w:t>
      </w:r>
      <w:r>
        <w:t xml:space="preserve"> from 1980-1999 and 2000-2017</w:t>
      </w:r>
      <w:r w:rsidR="00734DD8">
        <w:t>, and the index on high yield municipal bonds</w:t>
      </w:r>
      <w:r w:rsidR="00E30539">
        <w:t xml:space="preserve"> (rated at or below Ba1</w:t>
      </w:r>
      <w:r w:rsidR="00F152B0">
        <w:t xml:space="preserve"> or unrated</w:t>
      </w:r>
      <w:r w:rsidR="00E30539">
        <w:t>)</w:t>
      </w:r>
      <w:r w:rsidR="00734DD8">
        <w:t xml:space="preserve"> from 1996-2006 and 2007-2017</w:t>
      </w:r>
      <w:r>
        <w:t xml:space="preserve">. </w:t>
      </w:r>
    </w:p>
    <w:p w14:paraId="7D6FD691" w14:textId="7F70C629" w:rsidR="003B4C94" w:rsidRDefault="00BE6729" w:rsidP="00292813">
      <w:pPr>
        <w:keepNext/>
        <w:spacing w:after="0" w:line="480" w:lineRule="auto"/>
        <w:ind w:firstLine="720"/>
        <w:rPr>
          <w:b/>
          <w:iCs/>
          <w:color w:val="000000" w:themeColor="text1"/>
          <w:szCs w:val="24"/>
        </w:rPr>
      </w:pPr>
      <w:r>
        <w:t xml:space="preserve">The results </w:t>
      </w:r>
      <w:r w:rsidR="00CA550B">
        <w:t>for</w:t>
      </w:r>
      <w:r w:rsidR="00265D82">
        <w:t xml:space="preserve"> investment grade</w:t>
      </w:r>
      <w:r w:rsidR="00CA550B">
        <w:t xml:space="preserve"> mun</w:t>
      </w:r>
      <w:r w:rsidR="00C92871">
        <w:t>icipal bonds are presented</w:t>
      </w:r>
      <w:r w:rsidR="00CA550B">
        <w:t xml:space="preserve"> in</w:t>
      </w:r>
      <w:r w:rsidR="00262F14">
        <w:t xml:space="preserve"> Table 1</w:t>
      </w:r>
      <w:r w:rsidR="00C82F8D">
        <w:t xml:space="preserve">, along with </w:t>
      </w:r>
      <w:r w:rsidR="000C693D">
        <w:t>the p-value</w:t>
      </w:r>
      <w:r w:rsidR="00C82F8D">
        <w:t xml:space="preserve"> from the </w:t>
      </w:r>
      <w:r w:rsidR="00C82F8D" w:rsidRPr="00C82F8D">
        <w:t>Ljung-Box test</w:t>
      </w:r>
      <w:r w:rsidR="00C82F8D">
        <w:t xml:space="preserve"> on the residuals of the models. </w:t>
      </w:r>
      <w:r w:rsidR="00702650">
        <w:t xml:space="preserve">As per Hyndman (2014), the lags utilized in the Ljung-Box tests is the minimum of the length of the time-series divided by five or </w:t>
      </w:r>
      <w:r w:rsidR="00702650">
        <w:lastRenderedPageBreak/>
        <w:t>twice the seasonal period</w:t>
      </w:r>
      <w:r w:rsidR="00D54332">
        <w:t xml:space="preserve">, which would be 24. </w:t>
      </w:r>
      <w:r w:rsidR="009B6415">
        <w:t>Also</w:t>
      </w:r>
      <w:r w:rsidR="00376C65">
        <w:t xml:space="preserve">, a dummy for the recession </w:t>
      </w:r>
      <w:r w:rsidR="009B6415">
        <w:t xml:space="preserve">period (2008-2010) </w:t>
      </w:r>
      <w:r w:rsidR="00376C65">
        <w:t>is added in the model that covers data beyond 2000</w:t>
      </w:r>
      <w:r w:rsidR="0060779B">
        <w:t xml:space="preserve"> (in all subsequent models as well).</w:t>
      </w:r>
    </w:p>
    <w:p w14:paraId="470326E2" w14:textId="3237E1AF" w:rsidR="00DA7A8B" w:rsidRPr="00DA7A8B" w:rsidRDefault="00DA7A8B" w:rsidP="00DA7A8B">
      <w:pPr>
        <w:pStyle w:val="Caption"/>
        <w:rPr>
          <w:b/>
          <w:i w:val="0"/>
          <w:color w:val="000000" w:themeColor="text1"/>
          <w:sz w:val="24"/>
          <w:szCs w:val="24"/>
        </w:rPr>
      </w:pPr>
      <w:r w:rsidRPr="00DA7A8B">
        <w:rPr>
          <w:b/>
          <w:i w:val="0"/>
          <w:color w:val="000000" w:themeColor="text1"/>
          <w:sz w:val="24"/>
          <w:szCs w:val="24"/>
        </w:rPr>
        <w:t xml:space="preserve">Table </w:t>
      </w:r>
      <w:r w:rsidRPr="00DA7A8B">
        <w:rPr>
          <w:b/>
          <w:i w:val="0"/>
          <w:color w:val="000000" w:themeColor="text1"/>
          <w:sz w:val="24"/>
          <w:szCs w:val="24"/>
        </w:rPr>
        <w:fldChar w:fldCharType="begin"/>
      </w:r>
      <w:r w:rsidRPr="00DA7A8B">
        <w:rPr>
          <w:b/>
          <w:i w:val="0"/>
          <w:color w:val="000000" w:themeColor="text1"/>
          <w:sz w:val="24"/>
          <w:szCs w:val="24"/>
        </w:rPr>
        <w:instrText xml:space="preserve"> SEQ Table \* ARABIC </w:instrText>
      </w:r>
      <w:r w:rsidRPr="00DA7A8B">
        <w:rPr>
          <w:b/>
          <w:i w:val="0"/>
          <w:color w:val="000000" w:themeColor="text1"/>
          <w:sz w:val="24"/>
          <w:szCs w:val="24"/>
        </w:rPr>
        <w:fldChar w:fldCharType="separate"/>
      </w:r>
      <w:r w:rsidR="0009609F">
        <w:rPr>
          <w:b/>
          <w:i w:val="0"/>
          <w:noProof/>
          <w:color w:val="000000" w:themeColor="text1"/>
          <w:sz w:val="24"/>
          <w:szCs w:val="24"/>
        </w:rPr>
        <w:t>1</w:t>
      </w:r>
      <w:r w:rsidRPr="00DA7A8B">
        <w:rPr>
          <w:b/>
          <w:i w:val="0"/>
          <w:color w:val="000000" w:themeColor="text1"/>
          <w:sz w:val="24"/>
          <w:szCs w:val="24"/>
        </w:rPr>
        <w:fldChar w:fldCharType="end"/>
      </w:r>
    </w:p>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2249"/>
        <w:gridCol w:w="1438"/>
        <w:gridCol w:w="1259"/>
        <w:gridCol w:w="1537"/>
        <w:gridCol w:w="1350"/>
        <w:gridCol w:w="1517"/>
      </w:tblGrid>
      <w:tr w:rsidR="002C668C" w:rsidRPr="00AD59E0" w14:paraId="3ACA5C70" w14:textId="77777777" w:rsidTr="00A72941">
        <w:tc>
          <w:tcPr>
            <w:tcW w:w="1203" w:type="pct"/>
            <w:tcBorders>
              <w:right w:val="single" w:sz="4" w:space="0" w:color="auto"/>
            </w:tcBorders>
          </w:tcPr>
          <w:p w14:paraId="509F3A4A" w14:textId="2C69D974" w:rsidR="00262F14" w:rsidRPr="00AD59E0" w:rsidRDefault="00A87827" w:rsidP="00DF3E9B">
            <w:pPr>
              <w:rPr>
                <w:rFonts w:cs="Times New Roman"/>
                <w:b/>
                <w:sz w:val="22"/>
              </w:rPr>
            </w:pPr>
            <w:r w:rsidRPr="00AD59E0">
              <w:rPr>
                <w:rFonts w:cs="Times New Roman"/>
                <w:b/>
                <w:sz w:val="22"/>
              </w:rPr>
              <w:t>Municipal Bonds</w:t>
            </w:r>
          </w:p>
        </w:tc>
        <w:tc>
          <w:tcPr>
            <w:tcW w:w="1442" w:type="pct"/>
            <w:gridSpan w:val="2"/>
            <w:tcBorders>
              <w:left w:val="single" w:sz="4" w:space="0" w:color="auto"/>
              <w:right w:val="single" w:sz="4" w:space="0" w:color="auto"/>
            </w:tcBorders>
          </w:tcPr>
          <w:p w14:paraId="1FDB95B2" w14:textId="224A1F1E" w:rsidR="00262F14" w:rsidRPr="00AD59E0" w:rsidRDefault="00262F14" w:rsidP="00DF3E9B">
            <w:pPr>
              <w:jc w:val="center"/>
              <w:rPr>
                <w:rFonts w:cs="Times New Roman"/>
                <w:b/>
                <w:sz w:val="22"/>
              </w:rPr>
            </w:pPr>
            <w:r w:rsidRPr="00AD59E0">
              <w:rPr>
                <w:rFonts w:cs="Times New Roman"/>
                <w:b/>
                <w:sz w:val="22"/>
              </w:rPr>
              <w:t>1982-1999: M(1)</w:t>
            </w:r>
          </w:p>
        </w:tc>
        <w:tc>
          <w:tcPr>
            <w:tcW w:w="1544" w:type="pct"/>
            <w:gridSpan w:val="2"/>
            <w:tcBorders>
              <w:left w:val="single" w:sz="4" w:space="0" w:color="auto"/>
              <w:right w:val="single" w:sz="4" w:space="0" w:color="auto"/>
            </w:tcBorders>
          </w:tcPr>
          <w:p w14:paraId="1BC416DB" w14:textId="534E77DF" w:rsidR="00262F14" w:rsidRPr="00AD59E0" w:rsidRDefault="00262F14" w:rsidP="00DF3E9B">
            <w:pPr>
              <w:jc w:val="center"/>
              <w:rPr>
                <w:rFonts w:cs="Times New Roman"/>
                <w:b/>
                <w:sz w:val="22"/>
              </w:rPr>
            </w:pPr>
            <w:r w:rsidRPr="00AD59E0">
              <w:rPr>
                <w:rFonts w:cs="Times New Roman"/>
                <w:b/>
                <w:sz w:val="22"/>
              </w:rPr>
              <w:t>2000-2017: M(2)</w:t>
            </w:r>
          </w:p>
        </w:tc>
        <w:tc>
          <w:tcPr>
            <w:tcW w:w="811" w:type="pct"/>
            <w:tcBorders>
              <w:left w:val="single" w:sz="4" w:space="0" w:color="auto"/>
            </w:tcBorders>
          </w:tcPr>
          <w:p w14:paraId="4CAD98C3" w14:textId="4100F628" w:rsidR="00262F14" w:rsidRPr="00AD59E0" w:rsidRDefault="00FC3B6E" w:rsidP="00DF3E9B">
            <w:pPr>
              <w:rPr>
                <w:rFonts w:cs="Times New Roman"/>
                <w:b/>
                <w:sz w:val="22"/>
              </w:rPr>
            </w:pPr>
            <w:bookmarkStart w:id="2" w:name="_Hlk509790194"/>
            <w:r w:rsidRPr="00AD59E0">
              <w:rPr>
                <w:rFonts w:cs="Times New Roman"/>
                <w:b/>
                <w:sz w:val="22"/>
              </w:rPr>
              <w:t>|M(1)| - |M(2)|</w:t>
            </w:r>
            <w:bookmarkEnd w:id="2"/>
          </w:p>
        </w:tc>
      </w:tr>
      <w:tr w:rsidR="00E11DF6" w:rsidRPr="00AD59E0" w14:paraId="4B8F4BA7" w14:textId="77777777" w:rsidTr="00A72941">
        <w:tc>
          <w:tcPr>
            <w:tcW w:w="1203" w:type="pct"/>
            <w:tcBorders>
              <w:bottom w:val="single" w:sz="4" w:space="0" w:color="auto"/>
              <w:right w:val="single" w:sz="4" w:space="0" w:color="auto"/>
            </w:tcBorders>
          </w:tcPr>
          <w:p w14:paraId="0049083D" w14:textId="25ADC890" w:rsidR="00262F14" w:rsidRPr="00AD59E0" w:rsidRDefault="00A87827" w:rsidP="00DF3E9B">
            <w:pPr>
              <w:rPr>
                <w:rFonts w:cs="Times New Roman"/>
                <w:b/>
                <w:sz w:val="22"/>
              </w:rPr>
            </w:pPr>
            <w:r w:rsidRPr="00AD59E0">
              <w:rPr>
                <w:rFonts w:cs="Times New Roman"/>
                <w:b/>
                <w:sz w:val="22"/>
              </w:rPr>
              <w:t>(Baa or above)</w:t>
            </w:r>
          </w:p>
        </w:tc>
        <w:tc>
          <w:tcPr>
            <w:tcW w:w="769" w:type="pct"/>
            <w:tcBorders>
              <w:left w:val="single" w:sz="4" w:space="0" w:color="auto"/>
              <w:bottom w:val="single" w:sz="4" w:space="0" w:color="auto"/>
            </w:tcBorders>
          </w:tcPr>
          <w:p w14:paraId="0CCDAD95" w14:textId="22617D17" w:rsidR="00262F14" w:rsidRPr="00AD59E0" w:rsidRDefault="00262F14" w:rsidP="00DF3E9B">
            <w:pPr>
              <w:rPr>
                <w:rFonts w:cs="Times New Roman"/>
                <w:b/>
                <w:sz w:val="22"/>
              </w:rPr>
            </w:pPr>
            <w:r w:rsidRPr="00AD59E0">
              <w:rPr>
                <w:rFonts w:cs="Times New Roman"/>
                <w:b/>
                <w:sz w:val="22"/>
              </w:rPr>
              <w:t>Co-efficients</w:t>
            </w:r>
          </w:p>
        </w:tc>
        <w:tc>
          <w:tcPr>
            <w:tcW w:w="673" w:type="pct"/>
            <w:tcBorders>
              <w:bottom w:val="single" w:sz="4" w:space="0" w:color="auto"/>
              <w:right w:val="single" w:sz="4" w:space="0" w:color="auto"/>
            </w:tcBorders>
          </w:tcPr>
          <w:p w14:paraId="4988E10E" w14:textId="3D3CD126" w:rsidR="00262F14" w:rsidRPr="00AD59E0" w:rsidRDefault="00262F14" w:rsidP="00DF3E9B">
            <w:pPr>
              <w:rPr>
                <w:rFonts w:cs="Times New Roman"/>
                <w:b/>
                <w:sz w:val="22"/>
              </w:rPr>
            </w:pPr>
            <w:r w:rsidRPr="00AD59E0">
              <w:rPr>
                <w:rFonts w:cs="Times New Roman"/>
                <w:b/>
                <w:sz w:val="22"/>
              </w:rPr>
              <w:t>Std. Error</w:t>
            </w:r>
          </w:p>
        </w:tc>
        <w:tc>
          <w:tcPr>
            <w:tcW w:w="822" w:type="pct"/>
            <w:tcBorders>
              <w:left w:val="single" w:sz="4" w:space="0" w:color="auto"/>
              <w:bottom w:val="single" w:sz="4" w:space="0" w:color="auto"/>
            </w:tcBorders>
          </w:tcPr>
          <w:p w14:paraId="232EB995" w14:textId="4B6F856F" w:rsidR="00262F14" w:rsidRPr="00AD59E0" w:rsidRDefault="00262F14" w:rsidP="00DF3E9B">
            <w:pPr>
              <w:rPr>
                <w:rFonts w:cs="Times New Roman"/>
                <w:b/>
                <w:sz w:val="22"/>
              </w:rPr>
            </w:pPr>
            <w:r w:rsidRPr="00AD59E0">
              <w:rPr>
                <w:rFonts w:cs="Times New Roman"/>
                <w:b/>
                <w:sz w:val="22"/>
              </w:rPr>
              <w:t>Co-efficients</w:t>
            </w:r>
          </w:p>
        </w:tc>
        <w:tc>
          <w:tcPr>
            <w:tcW w:w="722" w:type="pct"/>
            <w:tcBorders>
              <w:bottom w:val="single" w:sz="4" w:space="0" w:color="auto"/>
              <w:right w:val="single" w:sz="4" w:space="0" w:color="auto"/>
            </w:tcBorders>
          </w:tcPr>
          <w:p w14:paraId="52925C13" w14:textId="105ED27D" w:rsidR="00262F14" w:rsidRPr="00AD59E0" w:rsidRDefault="00262F14" w:rsidP="00DF3E9B">
            <w:pPr>
              <w:rPr>
                <w:rFonts w:cs="Times New Roman"/>
                <w:b/>
                <w:sz w:val="22"/>
              </w:rPr>
            </w:pPr>
            <w:r w:rsidRPr="00AD59E0">
              <w:rPr>
                <w:rFonts w:cs="Times New Roman"/>
                <w:b/>
                <w:sz w:val="22"/>
              </w:rPr>
              <w:t>Std. Error</w:t>
            </w:r>
          </w:p>
        </w:tc>
        <w:tc>
          <w:tcPr>
            <w:tcW w:w="811" w:type="pct"/>
            <w:tcBorders>
              <w:left w:val="single" w:sz="4" w:space="0" w:color="auto"/>
              <w:bottom w:val="single" w:sz="4" w:space="0" w:color="auto"/>
            </w:tcBorders>
          </w:tcPr>
          <w:p w14:paraId="53E321AA" w14:textId="00ABABA8" w:rsidR="00262F14" w:rsidRPr="00AD59E0" w:rsidRDefault="00FC3B6E" w:rsidP="00DF3E9B">
            <w:pPr>
              <w:rPr>
                <w:rFonts w:cs="Times New Roman"/>
                <w:b/>
                <w:sz w:val="22"/>
              </w:rPr>
            </w:pPr>
            <w:r w:rsidRPr="00AD59E0">
              <w:rPr>
                <w:rFonts w:cs="Times New Roman"/>
                <w:b/>
                <w:sz w:val="22"/>
              </w:rPr>
              <w:t>Difference</w:t>
            </w:r>
          </w:p>
        </w:tc>
      </w:tr>
      <w:tr w:rsidR="00E11DF6" w:rsidRPr="00AD59E0" w14:paraId="3A066C08" w14:textId="77777777" w:rsidTr="00A72941">
        <w:tc>
          <w:tcPr>
            <w:tcW w:w="1203" w:type="pct"/>
            <w:tcBorders>
              <w:top w:val="single" w:sz="4" w:space="0" w:color="auto"/>
              <w:right w:val="single" w:sz="4" w:space="0" w:color="auto"/>
            </w:tcBorders>
          </w:tcPr>
          <w:p w14:paraId="535617CA" w14:textId="77777777" w:rsidR="00262F14" w:rsidRPr="00AD59E0" w:rsidRDefault="00262F14" w:rsidP="00262F14">
            <w:pPr>
              <w:rPr>
                <w:rFonts w:cs="Times New Roman"/>
                <w:sz w:val="22"/>
              </w:rPr>
            </w:pPr>
          </w:p>
        </w:tc>
        <w:tc>
          <w:tcPr>
            <w:tcW w:w="769" w:type="pct"/>
            <w:tcBorders>
              <w:top w:val="single" w:sz="4" w:space="0" w:color="auto"/>
              <w:left w:val="single" w:sz="4" w:space="0" w:color="auto"/>
            </w:tcBorders>
          </w:tcPr>
          <w:p w14:paraId="28DB7D39" w14:textId="77777777" w:rsidR="00262F14" w:rsidRPr="00AD59E0" w:rsidRDefault="00262F14" w:rsidP="001E06EA">
            <w:pPr>
              <w:jc w:val="center"/>
              <w:rPr>
                <w:rFonts w:cs="Times New Roman"/>
                <w:sz w:val="22"/>
              </w:rPr>
            </w:pPr>
          </w:p>
        </w:tc>
        <w:tc>
          <w:tcPr>
            <w:tcW w:w="673" w:type="pct"/>
            <w:tcBorders>
              <w:top w:val="single" w:sz="4" w:space="0" w:color="auto"/>
              <w:right w:val="single" w:sz="4" w:space="0" w:color="auto"/>
            </w:tcBorders>
          </w:tcPr>
          <w:p w14:paraId="075FA936" w14:textId="77777777" w:rsidR="00262F14" w:rsidRPr="00AD59E0" w:rsidRDefault="00262F14" w:rsidP="001E06EA">
            <w:pPr>
              <w:jc w:val="center"/>
              <w:rPr>
                <w:rFonts w:cs="Times New Roman"/>
                <w:sz w:val="22"/>
              </w:rPr>
            </w:pPr>
          </w:p>
        </w:tc>
        <w:tc>
          <w:tcPr>
            <w:tcW w:w="822" w:type="pct"/>
            <w:tcBorders>
              <w:top w:val="single" w:sz="4" w:space="0" w:color="auto"/>
              <w:left w:val="single" w:sz="4" w:space="0" w:color="auto"/>
            </w:tcBorders>
          </w:tcPr>
          <w:p w14:paraId="7BEB2440" w14:textId="77777777" w:rsidR="00262F14" w:rsidRPr="00AD59E0" w:rsidRDefault="00262F14" w:rsidP="00262F14">
            <w:pPr>
              <w:rPr>
                <w:rFonts w:cs="Times New Roman"/>
                <w:sz w:val="22"/>
              </w:rPr>
            </w:pPr>
          </w:p>
        </w:tc>
        <w:tc>
          <w:tcPr>
            <w:tcW w:w="722" w:type="pct"/>
            <w:tcBorders>
              <w:top w:val="single" w:sz="4" w:space="0" w:color="auto"/>
              <w:right w:val="single" w:sz="4" w:space="0" w:color="auto"/>
            </w:tcBorders>
          </w:tcPr>
          <w:p w14:paraId="06DAAED4" w14:textId="77777777" w:rsidR="00262F14" w:rsidRPr="00AD59E0" w:rsidRDefault="00262F14" w:rsidP="00262F14">
            <w:pPr>
              <w:rPr>
                <w:rFonts w:cs="Times New Roman"/>
                <w:sz w:val="22"/>
              </w:rPr>
            </w:pPr>
          </w:p>
        </w:tc>
        <w:tc>
          <w:tcPr>
            <w:tcW w:w="811" w:type="pct"/>
            <w:tcBorders>
              <w:top w:val="single" w:sz="4" w:space="0" w:color="auto"/>
              <w:left w:val="single" w:sz="4" w:space="0" w:color="auto"/>
            </w:tcBorders>
          </w:tcPr>
          <w:p w14:paraId="0E71ACFF" w14:textId="77777777" w:rsidR="00262F14" w:rsidRPr="00AD59E0" w:rsidRDefault="00262F14" w:rsidP="00262F14">
            <w:pPr>
              <w:rPr>
                <w:rFonts w:cs="Times New Roman"/>
                <w:b/>
                <w:sz w:val="22"/>
              </w:rPr>
            </w:pPr>
          </w:p>
        </w:tc>
      </w:tr>
      <w:tr w:rsidR="00795B42" w:rsidRPr="00AD59E0" w14:paraId="76C25601" w14:textId="77777777" w:rsidTr="00A72941">
        <w:tc>
          <w:tcPr>
            <w:tcW w:w="1203" w:type="pct"/>
            <w:tcBorders>
              <w:right w:val="single" w:sz="4" w:space="0" w:color="auto"/>
            </w:tcBorders>
            <w:vAlign w:val="center"/>
          </w:tcPr>
          <w:p w14:paraId="236B4DFE" w14:textId="59EE139C" w:rsidR="00795B42" w:rsidRPr="00AD59E0" w:rsidRDefault="00795B42" w:rsidP="00795B42">
            <w:pPr>
              <w:rPr>
                <w:rFonts w:cs="Times New Roman"/>
                <w:i/>
                <w:sz w:val="22"/>
              </w:rPr>
            </w:pPr>
            <w:r w:rsidRPr="00AD59E0">
              <w:rPr>
                <w:rFonts w:cs="Times New Roman"/>
                <w:i/>
                <w:color w:val="000000"/>
                <w:sz w:val="22"/>
              </w:rPr>
              <w:t>February</w:t>
            </w:r>
          </w:p>
        </w:tc>
        <w:tc>
          <w:tcPr>
            <w:tcW w:w="769" w:type="pct"/>
            <w:tcBorders>
              <w:left w:val="single" w:sz="4" w:space="0" w:color="auto"/>
            </w:tcBorders>
            <w:vAlign w:val="center"/>
          </w:tcPr>
          <w:p w14:paraId="669BD001" w14:textId="65DEB443" w:rsidR="00795B42" w:rsidRPr="00AD59E0" w:rsidRDefault="00795B42" w:rsidP="00795B42">
            <w:pPr>
              <w:jc w:val="center"/>
              <w:rPr>
                <w:rFonts w:cs="Times New Roman"/>
                <w:sz w:val="22"/>
              </w:rPr>
            </w:pPr>
            <w:r w:rsidRPr="00AD59E0">
              <w:rPr>
                <w:rFonts w:cs="Times New Roman"/>
                <w:color w:val="000000"/>
                <w:sz w:val="22"/>
              </w:rPr>
              <w:t>-1.25%**</w:t>
            </w:r>
          </w:p>
        </w:tc>
        <w:tc>
          <w:tcPr>
            <w:tcW w:w="673" w:type="pct"/>
            <w:tcBorders>
              <w:right w:val="single" w:sz="4" w:space="0" w:color="auto"/>
            </w:tcBorders>
            <w:vAlign w:val="center"/>
          </w:tcPr>
          <w:p w14:paraId="0287A230" w14:textId="50463611" w:rsidR="00795B42" w:rsidRPr="00AD59E0" w:rsidRDefault="00795B42" w:rsidP="00795B42">
            <w:pPr>
              <w:jc w:val="center"/>
              <w:rPr>
                <w:rFonts w:cs="Times New Roman"/>
                <w:sz w:val="22"/>
              </w:rPr>
            </w:pPr>
            <w:r w:rsidRPr="00AD59E0">
              <w:rPr>
                <w:rFonts w:cs="Times New Roman"/>
                <w:color w:val="000000"/>
                <w:sz w:val="22"/>
              </w:rPr>
              <w:t>0.01</w:t>
            </w:r>
          </w:p>
        </w:tc>
        <w:tc>
          <w:tcPr>
            <w:tcW w:w="822" w:type="pct"/>
            <w:tcBorders>
              <w:left w:val="single" w:sz="4" w:space="0" w:color="auto"/>
            </w:tcBorders>
            <w:vAlign w:val="center"/>
          </w:tcPr>
          <w:p w14:paraId="2865CD87" w14:textId="00326DF4" w:rsidR="00795B42" w:rsidRPr="00AD59E0" w:rsidRDefault="00795B42" w:rsidP="00795B42">
            <w:pPr>
              <w:jc w:val="center"/>
              <w:rPr>
                <w:rFonts w:cs="Times New Roman"/>
                <w:sz w:val="22"/>
              </w:rPr>
            </w:pPr>
            <w:r w:rsidRPr="00AD59E0">
              <w:rPr>
                <w:rFonts w:cs="Times New Roman"/>
                <w:color w:val="000000"/>
                <w:sz w:val="22"/>
              </w:rPr>
              <w:t>-0.54%</w:t>
            </w:r>
          </w:p>
        </w:tc>
        <w:tc>
          <w:tcPr>
            <w:tcW w:w="722" w:type="pct"/>
            <w:tcBorders>
              <w:right w:val="single" w:sz="4" w:space="0" w:color="auto"/>
            </w:tcBorders>
            <w:vAlign w:val="center"/>
          </w:tcPr>
          <w:p w14:paraId="648A6F76" w14:textId="29B0ECC7" w:rsidR="00795B42" w:rsidRPr="00AD59E0" w:rsidRDefault="00795B42" w:rsidP="00795B42">
            <w:pPr>
              <w:jc w:val="center"/>
              <w:rPr>
                <w:rFonts w:cs="Times New Roman"/>
                <w:sz w:val="22"/>
              </w:rPr>
            </w:pPr>
            <w:r w:rsidRPr="00AD59E0">
              <w:rPr>
                <w:rFonts w:cs="Times New Roman"/>
                <w:color w:val="000000"/>
                <w:sz w:val="22"/>
              </w:rPr>
              <w:t>0.003</w:t>
            </w:r>
          </w:p>
        </w:tc>
        <w:tc>
          <w:tcPr>
            <w:tcW w:w="811" w:type="pct"/>
            <w:tcBorders>
              <w:left w:val="single" w:sz="4" w:space="0" w:color="auto"/>
            </w:tcBorders>
            <w:vAlign w:val="bottom"/>
          </w:tcPr>
          <w:p w14:paraId="2DE2F449" w14:textId="473A67B1" w:rsidR="00795B42" w:rsidRPr="00795B42" w:rsidRDefault="00795B42" w:rsidP="00795B42">
            <w:pPr>
              <w:jc w:val="center"/>
              <w:rPr>
                <w:rFonts w:cs="Times New Roman"/>
                <w:b/>
                <w:sz w:val="22"/>
              </w:rPr>
            </w:pPr>
            <w:r w:rsidRPr="00795B42">
              <w:rPr>
                <w:rFonts w:cs="Times New Roman"/>
                <w:b/>
                <w:color w:val="000000"/>
                <w:sz w:val="22"/>
              </w:rPr>
              <w:t>0.71%</w:t>
            </w:r>
          </w:p>
        </w:tc>
      </w:tr>
      <w:tr w:rsidR="00795B42" w:rsidRPr="00AD59E0" w14:paraId="7F771997" w14:textId="77777777" w:rsidTr="00A72941">
        <w:tc>
          <w:tcPr>
            <w:tcW w:w="1203" w:type="pct"/>
            <w:tcBorders>
              <w:right w:val="single" w:sz="4" w:space="0" w:color="auto"/>
            </w:tcBorders>
            <w:vAlign w:val="center"/>
          </w:tcPr>
          <w:p w14:paraId="186A5B21" w14:textId="00C7AE80" w:rsidR="00795B42" w:rsidRPr="00AD59E0" w:rsidRDefault="00795B42" w:rsidP="00795B42">
            <w:pPr>
              <w:rPr>
                <w:rFonts w:cs="Times New Roman"/>
                <w:i/>
                <w:sz w:val="22"/>
              </w:rPr>
            </w:pPr>
            <w:r w:rsidRPr="00AD59E0">
              <w:rPr>
                <w:rFonts w:cs="Times New Roman"/>
                <w:i/>
                <w:color w:val="000000"/>
                <w:sz w:val="22"/>
              </w:rPr>
              <w:t>March</w:t>
            </w:r>
          </w:p>
        </w:tc>
        <w:tc>
          <w:tcPr>
            <w:tcW w:w="769" w:type="pct"/>
            <w:tcBorders>
              <w:left w:val="single" w:sz="4" w:space="0" w:color="auto"/>
            </w:tcBorders>
            <w:vAlign w:val="center"/>
          </w:tcPr>
          <w:p w14:paraId="4336B0B8" w14:textId="2478CD31" w:rsidR="00795B42" w:rsidRPr="00AD59E0" w:rsidRDefault="00795B42" w:rsidP="00795B42">
            <w:pPr>
              <w:jc w:val="center"/>
              <w:rPr>
                <w:rFonts w:cs="Times New Roman"/>
                <w:sz w:val="22"/>
              </w:rPr>
            </w:pPr>
            <w:r w:rsidRPr="00AD59E0">
              <w:rPr>
                <w:rFonts w:cs="Times New Roman"/>
                <w:color w:val="000000"/>
                <w:sz w:val="22"/>
              </w:rPr>
              <w:t>-2.52%***</w:t>
            </w:r>
          </w:p>
        </w:tc>
        <w:tc>
          <w:tcPr>
            <w:tcW w:w="673" w:type="pct"/>
            <w:tcBorders>
              <w:right w:val="single" w:sz="4" w:space="0" w:color="auto"/>
            </w:tcBorders>
            <w:vAlign w:val="center"/>
          </w:tcPr>
          <w:p w14:paraId="2426515F" w14:textId="05F944C0" w:rsidR="00795B42" w:rsidRPr="00AD59E0" w:rsidRDefault="00795B42" w:rsidP="00795B42">
            <w:pPr>
              <w:jc w:val="center"/>
              <w:rPr>
                <w:rFonts w:cs="Times New Roman"/>
                <w:sz w:val="22"/>
              </w:rPr>
            </w:pPr>
            <w:r w:rsidRPr="00AD59E0">
              <w:rPr>
                <w:rFonts w:cs="Times New Roman"/>
                <w:color w:val="000000"/>
                <w:sz w:val="22"/>
              </w:rPr>
              <w:t>0.01</w:t>
            </w:r>
          </w:p>
        </w:tc>
        <w:tc>
          <w:tcPr>
            <w:tcW w:w="822" w:type="pct"/>
            <w:tcBorders>
              <w:left w:val="single" w:sz="4" w:space="0" w:color="auto"/>
            </w:tcBorders>
            <w:vAlign w:val="center"/>
          </w:tcPr>
          <w:p w14:paraId="6D0C6AC6" w14:textId="71259498" w:rsidR="00795B42" w:rsidRPr="00AD59E0" w:rsidRDefault="00795B42" w:rsidP="00795B42">
            <w:pPr>
              <w:jc w:val="center"/>
              <w:rPr>
                <w:rFonts w:cs="Times New Roman"/>
                <w:sz w:val="22"/>
              </w:rPr>
            </w:pPr>
            <w:r w:rsidRPr="00AD59E0">
              <w:rPr>
                <w:rFonts w:cs="Times New Roman"/>
                <w:color w:val="000000"/>
                <w:sz w:val="22"/>
              </w:rPr>
              <w:t>-0.86%***</w:t>
            </w:r>
          </w:p>
        </w:tc>
        <w:tc>
          <w:tcPr>
            <w:tcW w:w="722" w:type="pct"/>
            <w:tcBorders>
              <w:right w:val="single" w:sz="4" w:space="0" w:color="auto"/>
            </w:tcBorders>
            <w:vAlign w:val="center"/>
          </w:tcPr>
          <w:p w14:paraId="10690FCA" w14:textId="3BCFD0F7" w:rsidR="00795B42" w:rsidRPr="00AD59E0" w:rsidRDefault="00795B42" w:rsidP="00795B42">
            <w:pPr>
              <w:jc w:val="center"/>
              <w:rPr>
                <w:rFonts w:cs="Times New Roman"/>
                <w:sz w:val="22"/>
              </w:rPr>
            </w:pPr>
            <w:r w:rsidRPr="00AD59E0">
              <w:rPr>
                <w:rFonts w:cs="Times New Roman"/>
                <w:color w:val="000000"/>
                <w:sz w:val="22"/>
              </w:rPr>
              <w:t>0.003</w:t>
            </w:r>
          </w:p>
        </w:tc>
        <w:tc>
          <w:tcPr>
            <w:tcW w:w="811" w:type="pct"/>
            <w:tcBorders>
              <w:left w:val="single" w:sz="4" w:space="0" w:color="auto"/>
            </w:tcBorders>
            <w:vAlign w:val="bottom"/>
          </w:tcPr>
          <w:p w14:paraId="298F748D" w14:textId="32E52881" w:rsidR="00795B42" w:rsidRPr="00795B42" w:rsidRDefault="00795B42" w:rsidP="00795B42">
            <w:pPr>
              <w:jc w:val="center"/>
              <w:rPr>
                <w:rFonts w:cs="Times New Roman"/>
                <w:b/>
                <w:sz w:val="22"/>
              </w:rPr>
            </w:pPr>
            <w:r w:rsidRPr="00795B42">
              <w:rPr>
                <w:rFonts w:cs="Times New Roman"/>
                <w:b/>
                <w:color w:val="000000"/>
                <w:sz w:val="22"/>
              </w:rPr>
              <w:t>1.66%</w:t>
            </w:r>
          </w:p>
        </w:tc>
      </w:tr>
      <w:tr w:rsidR="00795B42" w:rsidRPr="00AD59E0" w14:paraId="0A399D3E" w14:textId="77777777" w:rsidTr="00A72941">
        <w:tc>
          <w:tcPr>
            <w:tcW w:w="1203" w:type="pct"/>
            <w:tcBorders>
              <w:right w:val="single" w:sz="4" w:space="0" w:color="auto"/>
            </w:tcBorders>
            <w:vAlign w:val="center"/>
          </w:tcPr>
          <w:p w14:paraId="171DA3EE" w14:textId="3CCC6670" w:rsidR="00795B42" w:rsidRPr="00AD59E0" w:rsidRDefault="00795B42" w:rsidP="00795B42">
            <w:pPr>
              <w:rPr>
                <w:rFonts w:cs="Times New Roman"/>
                <w:i/>
                <w:sz w:val="22"/>
              </w:rPr>
            </w:pPr>
            <w:r w:rsidRPr="00AD59E0">
              <w:rPr>
                <w:rFonts w:cs="Times New Roman"/>
                <w:i/>
                <w:color w:val="000000"/>
                <w:sz w:val="22"/>
              </w:rPr>
              <w:t>April</w:t>
            </w:r>
          </w:p>
        </w:tc>
        <w:tc>
          <w:tcPr>
            <w:tcW w:w="769" w:type="pct"/>
            <w:tcBorders>
              <w:left w:val="single" w:sz="4" w:space="0" w:color="auto"/>
            </w:tcBorders>
            <w:vAlign w:val="center"/>
          </w:tcPr>
          <w:p w14:paraId="67268E7E" w14:textId="4964845A" w:rsidR="00795B42" w:rsidRPr="00AD59E0" w:rsidRDefault="00795B42" w:rsidP="00795B42">
            <w:pPr>
              <w:jc w:val="center"/>
              <w:rPr>
                <w:rFonts w:cs="Times New Roman"/>
                <w:sz w:val="22"/>
              </w:rPr>
            </w:pPr>
            <w:r w:rsidRPr="00AD59E0">
              <w:rPr>
                <w:rFonts w:cs="Times New Roman"/>
                <w:color w:val="000000"/>
                <w:sz w:val="22"/>
              </w:rPr>
              <w:t>-1.14%*</w:t>
            </w:r>
          </w:p>
        </w:tc>
        <w:tc>
          <w:tcPr>
            <w:tcW w:w="673" w:type="pct"/>
            <w:tcBorders>
              <w:right w:val="single" w:sz="4" w:space="0" w:color="auto"/>
            </w:tcBorders>
            <w:vAlign w:val="center"/>
          </w:tcPr>
          <w:p w14:paraId="4D3557FB" w14:textId="4CEEA0D0" w:rsidR="00795B42" w:rsidRPr="00AD59E0" w:rsidRDefault="00795B42" w:rsidP="00795B42">
            <w:pPr>
              <w:jc w:val="center"/>
              <w:rPr>
                <w:rFonts w:cs="Times New Roman"/>
                <w:sz w:val="22"/>
              </w:rPr>
            </w:pPr>
            <w:r w:rsidRPr="00AD59E0">
              <w:rPr>
                <w:rFonts w:cs="Times New Roman"/>
                <w:color w:val="000000"/>
                <w:sz w:val="22"/>
              </w:rPr>
              <w:t>0.01</w:t>
            </w:r>
          </w:p>
        </w:tc>
        <w:tc>
          <w:tcPr>
            <w:tcW w:w="822" w:type="pct"/>
            <w:tcBorders>
              <w:left w:val="single" w:sz="4" w:space="0" w:color="auto"/>
            </w:tcBorders>
            <w:vAlign w:val="center"/>
          </w:tcPr>
          <w:p w14:paraId="127D1AB8" w14:textId="2E905EBC" w:rsidR="00795B42" w:rsidRPr="00AD59E0" w:rsidRDefault="00795B42" w:rsidP="00795B42">
            <w:pPr>
              <w:jc w:val="center"/>
              <w:rPr>
                <w:rFonts w:cs="Times New Roman"/>
                <w:sz w:val="22"/>
              </w:rPr>
            </w:pPr>
            <w:r w:rsidRPr="00AD59E0">
              <w:rPr>
                <w:rFonts w:cs="Times New Roman"/>
                <w:color w:val="000000"/>
                <w:sz w:val="22"/>
              </w:rPr>
              <w:t>-0.31%</w:t>
            </w:r>
          </w:p>
        </w:tc>
        <w:tc>
          <w:tcPr>
            <w:tcW w:w="722" w:type="pct"/>
            <w:tcBorders>
              <w:right w:val="single" w:sz="4" w:space="0" w:color="auto"/>
            </w:tcBorders>
            <w:vAlign w:val="center"/>
          </w:tcPr>
          <w:p w14:paraId="6476B2D9" w14:textId="738F2551" w:rsidR="00795B42" w:rsidRPr="00AD59E0" w:rsidRDefault="00795B42" w:rsidP="00795B42">
            <w:pPr>
              <w:jc w:val="center"/>
              <w:rPr>
                <w:rFonts w:cs="Times New Roman"/>
                <w:sz w:val="22"/>
              </w:rPr>
            </w:pPr>
            <w:r w:rsidRPr="00AD59E0">
              <w:rPr>
                <w:rFonts w:cs="Times New Roman"/>
                <w:color w:val="000000"/>
                <w:sz w:val="22"/>
              </w:rPr>
              <w:t>0.003</w:t>
            </w:r>
          </w:p>
        </w:tc>
        <w:tc>
          <w:tcPr>
            <w:tcW w:w="811" w:type="pct"/>
            <w:tcBorders>
              <w:left w:val="single" w:sz="4" w:space="0" w:color="auto"/>
            </w:tcBorders>
            <w:vAlign w:val="bottom"/>
          </w:tcPr>
          <w:p w14:paraId="38B81CE7" w14:textId="369FE5E7" w:rsidR="00795B42" w:rsidRPr="00795B42" w:rsidRDefault="00795B42" w:rsidP="00795B42">
            <w:pPr>
              <w:jc w:val="center"/>
              <w:rPr>
                <w:rFonts w:cs="Times New Roman"/>
                <w:b/>
                <w:sz w:val="22"/>
              </w:rPr>
            </w:pPr>
            <w:r w:rsidRPr="00795B42">
              <w:rPr>
                <w:rFonts w:cs="Times New Roman"/>
                <w:b/>
                <w:color w:val="000000"/>
                <w:sz w:val="22"/>
              </w:rPr>
              <w:t>0.83%</w:t>
            </w:r>
          </w:p>
        </w:tc>
      </w:tr>
      <w:tr w:rsidR="00795B42" w:rsidRPr="00AD59E0" w14:paraId="6E522E4E" w14:textId="77777777" w:rsidTr="00A72941">
        <w:tc>
          <w:tcPr>
            <w:tcW w:w="1203" w:type="pct"/>
            <w:tcBorders>
              <w:right w:val="single" w:sz="4" w:space="0" w:color="auto"/>
            </w:tcBorders>
            <w:vAlign w:val="center"/>
          </w:tcPr>
          <w:p w14:paraId="5F520666" w14:textId="2AFABE6B" w:rsidR="00795B42" w:rsidRPr="00AD59E0" w:rsidRDefault="00795B42" w:rsidP="00795B42">
            <w:pPr>
              <w:rPr>
                <w:rFonts w:cs="Times New Roman"/>
                <w:i/>
                <w:sz w:val="22"/>
              </w:rPr>
            </w:pPr>
            <w:r w:rsidRPr="00AD59E0">
              <w:rPr>
                <w:rFonts w:cs="Times New Roman"/>
                <w:i/>
                <w:color w:val="000000"/>
                <w:sz w:val="22"/>
              </w:rPr>
              <w:t>May</w:t>
            </w:r>
          </w:p>
        </w:tc>
        <w:tc>
          <w:tcPr>
            <w:tcW w:w="769" w:type="pct"/>
            <w:tcBorders>
              <w:left w:val="single" w:sz="4" w:space="0" w:color="auto"/>
            </w:tcBorders>
            <w:vAlign w:val="center"/>
          </w:tcPr>
          <w:p w14:paraId="68CC5DB4" w14:textId="2A4C9931" w:rsidR="00795B42" w:rsidRPr="00AD59E0" w:rsidRDefault="00795B42" w:rsidP="00795B42">
            <w:pPr>
              <w:jc w:val="center"/>
              <w:rPr>
                <w:rFonts w:cs="Times New Roman"/>
                <w:sz w:val="22"/>
              </w:rPr>
            </w:pPr>
            <w:r w:rsidRPr="00AD59E0">
              <w:rPr>
                <w:rFonts w:cs="Times New Roman"/>
                <w:color w:val="000000"/>
                <w:sz w:val="22"/>
              </w:rPr>
              <w:t>-1.79%***</w:t>
            </w:r>
          </w:p>
        </w:tc>
        <w:tc>
          <w:tcPr>
            <w:tcW w:w="673" w:type="pct"/>
            <w:tcBorders>
              <w:right w:val="single" w:sz="4" w:space="0" w:color="auto"/>
            </w:tcBorders>
            <w:vAlign w:val="center"/>
          </w:tcPr>
          <w:p w14:paraId="0333BCC1" w14:textId="387E84CF" w:rsidR="00795B42" w:rsidRPr="00AD59E0" w:rsidRDefault="00795B42" w:rsidP="00795B42">
            <w:pPr>
              <w:jc w:val="center"/>
              <w:rPr>
                <w:rFonts w:cs="Times New Roman"/>
                <w:sz w:val="22"/>
              </w:rPr>
            </w:pPr>
            <w:r w:rsidRPr="00AD59E0">
              <w:rPr>
                <w:rFonts w:cs="Times New Roman"/>
                <w:color w:val="000000"/>
                <w:sz w:val="22"/>
              </w:rPr>
              <w:t>0.01</w:t>
            </w:r>
          </w:p>
        </w:tc>
        <w:tc>
          <w:tcPr>
            <w:tcW w:w="822" w:type="pct"/>
            <w:tcBorders>
              <w:left w:val="single" w:sz="4" w:space="0" w:color="auto"/>
            </w:tcBorders>
            <w:vAlign w:val="center"/>
          </w:tcPr>
          <w:p w14:paraId="72DCDCFA" w14:textId="55977828" w:rsidR="00795B42" w:rsidRPr="00AD59E0" w:rsidRDefault="00795B42" w:rsidP="00795B42">
            <w:pPr>
              <w:jc w:val="center"/>
              <w:rPr>
                <w:rFonts w:cs="Times New Roman"/>
                <w:sz w:val="22"/>
              </w:rPr>
            </w:pPr>
            <w:r w:rsidRPr="00AD59E0">
              <w:rPr>
                <w:rFonts w:cs="Times New Roman"/>
                <w:color w:val="000000"/>
                <w:sz w:val="22"/>
              </w:rPr>
              <w:t>-0.35%</w:t>
            </w:r>
          </w:p>
        </w:tc>
        <w:tc>
          <w:tcPr>
            <w:tcW w:w="722" w:type="pct"/>
            <w:tcBorders>
              <w:right w:val="single" w:sz="4" w:space="0" w:color="auto"/>
            </w:tcBorders>
            <w:vAlign w:val="center"/>
          </w:tcPr>
          <w:p w14:paraId="1E164AC0" w14:textId="2EE96761" w:rsidR="00795B42" w:rsidRPr="00AD59E0" w:rsidRDefault="00795B42" w:rsidP="00795B42">
            <w:pPr>
              <w:jc w:val="center"/>
              <w:rPr>
                <w:rFonts w:cs="Times New Roman"/>
                <w:sz w:val="22"/>
              </w:rPr>
            </w:pPr>
            <w:r w:rsidRPr="00AD59E0">
              <w:rPr>
                <w:rFonts w:cs="Times New Roman"/>
                <w:color w:val="000000"/>
                <w:sz w:val="22"/>
              </w:rPr>
              <w:t>0.003</w:t>
            </w:r>
          </w:p>
        </w:tc>
        <w:tc>
          <w:tcPr>
            <w:tcW w:w="811" w:type="pct"/>
            <w:tcBorders>
              <w:left w:val="single" w:sz="4" w:space="0" w:color="auto"/>
            </w:tcBorders>
            <w:vAlign w:val="bottom"/>
          </w:tcPr>
          <w:p w14:paraId="583E6FC1" w14:textId="515A8FE6" w:rsidR="00795B42" w:rsidRPr="00795B42" w:rsidRDefault="00795B42" w:rsidP="00795B42">
            <w:pPr>
              <w:jc w:val="center"/>
              <w:rPr>
                <w:rFonts w:cs="Times New Roman"/>
                <w:b/>
                <w:sz w:val="22"/>
              </w:rPr>
            </w:pPr>
            <w:r w:rsidRPr="00795B42">
              <w:rPr>
                <w:rFonts w:cs="Times New Roman"/>
                <w:b/>
                <w:color w:val="000000"/>
                <w:sz w:val="22"/>
              </w:rPr>
              <w:t>1.45%</w:t>
            </w:r>
          </w:p>
        </w:tc>
      </w:tr>
      <w:tr w:rsidR="00795B42" w:rsidRPr="00AD59E0" w14:paraId="233956E1" w14:textId="77777777" w:rsidTr="00A72941">
        <w:tc>
          <w:tcPr>
            <w:tcW w:w="1203" w:type="pct"/>
            <w:tcBorders>
              <w:right w:val="single" w:sz="4" w:space="0" w:color="auto"/>
            </w:tcBorders>
            <w:vAlign w:val="center"/>
          </w:tcPr>
          <w:p w14:paraId="61C75574" w14:textId="592B0729" w:rsidR="00795B42" w:rsidRPr="00AD59E0" w:rsidRDefault="00795B42" w:rsidP="00795B42">
            <w:pPr>
              <w:rPr>
                <w:rFonts w:cs="Times New Roman"/>
                <w:i/>
                <w:sz w:val="22"/>
              </w:rPr>
            </w:pPr>
            <w:r w:rsidRPr="00AD59E0">
              <w:rPr>
                <w:rFonts w:cs="Times New Roman"/>
                <w:i/>
                <w:color w:val="000000"/>
                <w:sz w:val="22"/>
              </w:rPr>
              <w:t>June</w:t>
            </w:r>
          </w:p>
        </w:tc>
        <w:tc>
          <w:tcPr>
            <w:tcW w:w="769" w:type="pct"/>
            <w:tcBorders>
              <w:left w:val="single" w:sz="4" w:space="0" w:color="auto"/>
            </w:tcBorders>
            <w:vAlign w:val="center"/>
          </w:tcPr>
          <w:p w14:paraId="37262B5E" w14:textId="4A156355" w:rsidR="00795B42" w:rsidRPr="00AD59E0" w:rsidRDefault="00795B42" w:rsidP="00795B42">
            <w:pPr>
              <w:jc w:val="center"/>
              <w:rPr>
                <w:rFonts w:cs="Times New Roman"/>
                <w:sz w:val="22"/>
              </w:rPr>
            </w:pPr>
            <w:r w:rsidRPr="00AD59E0">
              <w:rPr>
                <w:rFonts w:cs="Times New Roman"/>
                <w:color w:val="000000"/>
                <w:sz w:val="22"/>
              </w:rPr>
              <w:t>-1.50%***</w:t>
            </w:r>
          </w:p>
        </w:tc>
        <w:tc>
          <w:tcPr>
            <w:tcW w:w="673" w:type="pct"/>
            <w:tcBorders>
              <w:right w:val="single" w:sz="4" w:space="0" w:color="auto"/>
            </w:tcBorders>
            <w:vAlign w:val="center"/>
          </w:tcPr>
          <w:p w14:paraId="4E5A8206" w14:textId="480A58E5" w:rsidR="00795B42" w:rsidRPr="00AD59E0" w:rsidRDefault="00795B42" w:rsidP="00795B42">
            <w:pPr>
              <w:jc w:val="center"/>
              <w:rPr>
                <w:rFonts w:cs="Times New Roman"/>
                <w:sz w:val="22"/>
              </w:rPr>
            </w:pPr>
            <w:r w:rsidRPr="00AD59E0">
              <w:rPr>
                <w:rFonts w:cs="Times New Roman"/>
                <w:color w:val="000000"/>
                <w:sz w:val="22"/>
              </w:rPr>
              <w:t>0.01</w:t>
            </w:r>
          </w:p>
        </w:tc>
        <w:tc>
          <w:tcPr>
            <w:tcW w:w="822" w:type="pct"/>
            <w:tcBorders>
              <w:left w:val="single" w:sz="4" w:space="0" w:color="auto"/>
            </w:tcBorders>
            <w:vAlign w:val="center"/>
          </w:tcPr>
          <w:p w14:paraId="013B07F6" w14:textId="221F3BD3" w:rsidR="00795B42" w:rsidRPr="00AD59E0" w:rsidRDefault="00795B42" w:rsidP="00795B42">
            <w:pPr>
              <w:jc w:val="center"/>
              <w:rPr>
                <w:rFonts w:cs="Times New Roman"/>
                <w:sz w:val="22"/>
              </w:rPr>
            </w:pPr>
            <w:r w:rsidRPr="00AD59E0">
              <w:rPr>
                <w:rFonts w:cs="Times New Roman"/>
                <w:color w:val="000000"/>
                <w:sz w:val="22"/>
              </w:rPr>
              <w:t>-0.91%***</w:t>
            </w:r>
          </w:p>
        </w:tc>
        <w:tc>
          <w:tcPr>
            <w:tcW w:w="722" w:type="pct"/>
            <w:tcBorders>
              <w:right w:val="single" w:sz="4" w:space="0" w:color="auto"/>
            </w:tcBorders>
            <w:vAlign w:val="center"/>
          </w:tcPr>
          <w:p w14:paraId="50AD0B6F" w14:textId="03F34797" w:rsidR="00795B42" w:rsidRPr="00AD59E0" w:rsidRDefault="00795B42" w:rsidP="00795B42">
            <w:pPr>
              <w:jc w:val="center"/>
              <w:rPr>
                <w:rFonts w:cs="Times New Roman"/>
                <w:sz w:val="22"/>
              </w:rPr>
            </w:pPr>
            <w:r w:rsidRPr="00AD59E0">
              <w:rPr>
                <w:rFonts w:cs="Times New Roman"/>
                <w:color w:val="000000"/>
                <w:sz w:val="22"/>
              </w:rPr>
              <w:t>0.003</w:t>
            </w:r>
          </w:p>
        </w:tc>
        <w:tc>
          <w:tcPr>
            <w:tcW w:w="811" w:type="pct"/>
            <w:tcBorders>
              <w:left w:val="single" w:sz="4" w:space="0" w:color="auto"/>
            </w:tcBorders>
            <w:vAlign w:val="bottom"/>
          </w:tcPr>
          <w:p w14:paraId="199C7B77" w14:textId="6E980182" w:rsidR="00795B42" w:rsidRPr="00795B42" w:rsidRDefault="00795B42" w:rsidP="00795B42">
            <w:pPr>
              <w:jc w:val="center"/>
              <w:rPr>
                <w:rFonts w:cs="Times New Roman"/>
                <w:b/>
                <w:sz w:val="22"/>
              </w:rPr>
            </w:pPr>
            <w:r w:rsidRPr="00795B42">
              <w:rPr>
                <w:rFonts w:cs="Times New Roman"/>
                <w:b/>
                <w:color w:val="000000"/>
                <w:sz w:val="22"/>
              </w:rPr>
              <w:t>0.59%</w:t>
            </w:r>
          </w:p>
        </w:tc>
      </w:tr>
      <w:tr w:rsidR="00795B42" w:rsidRPr="00AD59E0" w14:paraId="2514E41A" w14:textId="77777777" w:rsidTr="00A72941">
        <w:tc>
          <w:tcPr>
            <w:tcW w:w="1203" w:type="pct"/>
            <w:tcBorders>
              <w:right w:val="single" w:sz="4" w:space="0" w:color="auto"/>
            </w:tcBorders>
            <w:vAlign w:val="center"/>
          </w:tcPr>
          <w:p w14:paraId="69C6B6A0" w14:textId="486DF2EB" w:rsidR="00795B42" w:rsidRPr="00AD59E0" w:rsidRDefault="00795B42" w:rsidP="00795B42">
            <w:pPr>
              <w:rPr>
                <w:rFonts w:cs="Times New Roman"/>
                <w:i/>
                <w:sz w:val="22"/>
              </w:rPr>
            </w:pPr>
            <w:r w:rsidRPr="00AD59E0">
              <w:rPr>
                <w:rFonts w:cs="Times New Roman"/>
                <w:i/>
                <w:color w:val="000000"/>
                <w:sz w:val="22"/>
              </w:rPr>
              <w:t>July</w:t>
            </w:r>
          </w:p>
        </w:tc>
        <w:tc>
          <w:tcPr>
            <w:tcW w:w="769" w:type="pct"/>
            <w:tcBorders>
              <w:left w:val="single" w:sz="4" w:space="0" w:color="auto"/>
            </w:tcBorders>
            <w:vAlign w:val="center"/>
          </w:tcPr>
          <w:p w14:paraId="0758FD82" w14:textId="13E9C2E1" w:rsidR="00795B42" w:rsidRPr="00AD59E0" w:rsidRDefault="00795B42" w:rsidP="00795B42">
            <w:pPr>
              <w:jc w:val="center"/>
              <w:rPr>
                <w:rFonts w:cs="Times New Roman"/>
                <w:sz w:val="22"/>
              </w:rPr>
            </w:pPr>
            <w:r w:rsidRPr="00AD59E0">
              <w:rPr>
                <w:rFonts w:cs="Times New Roman"/>
                <w:color w:val="000000"/>
                <w:sz w:val="22"/>
              </w:rPr>
              <w:t>-0.43%</w:t>
            </w:r>
          </w:p>
        </w:tc>
        <w:tc>
          <w:tcPr>
            <w:tcW w:w="673" w:type="pct"/>
            <w:tcBorders>
              <w:right w:val="single" w:sz="4" w:space="0" w:color="auto"/>
            </w:tcBorders>
            <w:vAlign w:val="center"/>
          </w:tcPr>
          <w:p w14:paraId="7C020E7C" w14:textId="1D680B38" w:rsidR="00795B42" w:rsidRPr="00AD59E0" w:rsidRDefault="00795B42" w:rsidP="00795B42">
            <w:pPr>
              <w:jc w:val="center"/>
              <w:rPr>
                <w:rFonts w:cs="Times New Roman"/>
                <w:sz w:val="22"/>
              </w:rPr>
            </w:pPr>
            <w:r w:rsidRPr="00AD59E0">
              <w:rPr>
                <w:rFonts w:cs="Times New Roman"/>
                <w:color w:val="000000"/>
                <w:sz w:val="22"/>
              </w:rPr>
              <w:t>0.01</w:t>
            </w:r>
          </w:p>
        </w:tc>
        <w:tc>
          <w:tcPr>
            <w:tcW w:w="822" w:type="pct"/>
            <w:tcBorders>
              <w:left w:val="single" w:sz="4" w:space="0" w:color="auto"/>
            </w:tcBorders>
            <w:vAlign w:val="center"/>
          </w:tcPr>
          <w:p w14:paraId="75F295F7" w14:textId="270E0D20" w:rsidR="00795B42" w:rsidRPr="00AD59E0" w:rsidRDefault="00795B42" w:rsidP="00795B42">
            <w:pPr>
              <w:jc w:val="center"/>
              <w:rPr>
                <w:rFonts w:cs="Times New Roman"/>
                <w:sz w:val="22"/>
              </w:rPr>
            </w:pPr>
            <w:r w:rsidRPr="00AD59E0">
              <w:rPr>
                <w:rFonts w:cs="Times New Roman"/>
                <w:color w:val="000000"/>
                <w:sz w:val="22"/>
              </w:rPr>
              <w:t>-0.37%</w:t>
            </w:r>
          </w:p>
        </w:tc>
        <w:tc>
          <w:tcPr>
            <w:tcW w:w="722" w:type="pct"/>
            <w:tcBorders>
              <w:right w:val="single" w:sz="4" w:space="0" w:color="auto"/>
            </w:tcBorders>
            <w:vAlign w:val="center"/>
          </w:tcPr>
          <w:p w14:paraId="76702CB9" w14:textId="611A50FA" w:rsidR="00795B42" w:rsidRPr="00AD59E0" w:rsidRDefault="00795B42" w:rsidP="00795B42">
            <w:pPr>
              <w:jc w:val="center"/>
              <w:rPr>
                <w:rFonts w:cs="Times New Roman"/>
                <w:sz w:val="22"/>
              </w:rPr>
            </w:pPr>
            <w:r w:rsidRPr="00AD59E0">
              <w:rPr>
                <w:rFonts w:cs="Times New Roman"/>
                <w:color w:val="000000"/>
                <w:sz w:val="22"/>
              </w:rPr>
              <w:t>0.003</w:t>
            </w:r>
          </w:p>
        </w:tc>
        <w:tc>
          <w:tcPr>
            <w:tcW w:w="811" w:type="pct"/>
            <w:tcBorders>
              <w:left w:val="single" w:sz="4" w:space="0" w:color="auto"/>
            </w:tcBorders>
            <w:vAlign w:val="bottom"/>
          </w:tcPr>
          <w:p w14:paraId="4870A91F" w14:textId="11341479" w:rsidR="00795B42" w:rsidRPr="00795B42" w:rsidRDefault="00795B42" w:rsidP="00795B42">
            <w:pPr>
              <w:jc w:val="center"/>
              <w:rPr>
                <w:rFonts w:cs="Times New Roman"/>
                <w:b/>
                <w:sz w:val="22"/>
              </w:rPr>
            </w:pPr>
            <w:r w:rsidRPr="00795B42">
              <w:rPr>
                <w:rFonts w:cs="Times New Roman"/>
                <w:b/>
                <w:color w:val="000000"/>
                <w:sz w:val="22"/>
              </w:rPr>
              <w:t>0.06%</w:t>
            </w:r>
          </w:p>
        </w:tc>
      </w:tr>
      <w:tr w:rsidR="00795B42" w:rsidRPr="00AD59E0" w14:paraId="0E0AE98B" w14:textId="77777777" w:rsidTr="00A72941">
        <w:tc>
          <w:tcPr>
            <w:tcW w:w="1203" w:type="pct"/>
            <w:tcBorders>
              <w:right w:val="single" w:sz="4" w:space="0" w:color="auto"/>
            </w:tcBorders>
            <w:vAlign w:val="center"/>
          </w:tcPr>
          <w:p w14:paraId="2D7F8B1E" w14:textId="7AE27E56" w:rsidR="00795B42" w:rsidRPr="00AD59E0" w:rsidRDefault="00795B42" w:rsidP="00795B42">
            <w:pPr>
              <w:rPr>
                <w:rFonts w:cs="Times New Roman"/>
                <w:i/>
                <w:sz w:val="22"/>
              </w:rPr>
            </w:pPr>
            <w:r w:rsidRPr="00AD59E0">
              <w:rPr>
                <w:rFonts w:cs="Times New Roman"/>
                <w:i/>
                <w:color w:val="000000"/>
                <w:sz w:val="22"/>
              </w:rPr>
              <w:t>August</w:t>
            </w:r>
          </w:p>
        </w:tc>
        <w:tc>
          <w:tcPr>
            <w:tcW w:w="769" w:type="pct"/>
            <w:tcBorders>
              <w:left w:val="single" w:sz="4" w:space="0" w:color="auto"/>
            </w:tcBorders>
            <w:vAlign w:val="center"/>
          </w:tcPr>
          <w:p w14:paraId="1108D74B" w14:textId="52C849F7" w:rsidR="00795B42" w:rsidRPr="00AD59E0" w:rsidRDefault="00795B42" w:rsidP="00795B42">
            <w:pPr>
              <w:jc w:val="center"/>
              <w:rPr>
                <w:rFonts w:cs="Times New Roman"/>
                <w:sz w:val="22"/>
              </w:rPr>
            </w:pPr>
            <w:r w:rsidRPr="00AD59E0">
              <w:rPr>
                <w:rFonts w:cs="Times New Roman"/>
                <w:color w:val="000000"/>
                <w:sz w:val="22"/>
              </w:rPr>
              <w:t>-1.20%**</w:t>
            </w:r>
          </w:p>
        </w:tc>
        <w:tc>
          <w:tcPr>
            <w:tcW w:w="673" w:type="pct"/>
            <w:tcBorders>
              <w:right w:val="single" w:sz="4" w:space="0" w:color="auto"/>
            </w:tcBorders>
            <w:vAlign w:val="center"/>
          </w:tcPr>
          <w:p w14:paraId="1B38001C" w14:textId="2379F5B0" w:rsidR="00795B42" w:rsidRPr="00AD59E0" w:rsidRDefault="00795B42" w:rsidP="00795B42">
            <w:pPr>
              <w:jc w:val="center"/>
              <w:rPr>
                <w:rFonts w:cs="Times New Roman"/>
                <w:sz w:val="22"/>
              </w:rPr>
            </w:pPr>
            <w:r w:rsidRPr="00AD59E0">
              <w:rPr>
                <w:rFonts w:cs="Times New Roman"/>
                <w:color w:val="000000"/>
                <w:sz w:val="22"/>
              </w:rPr>
              <w:t>0.01</w:t>
            </w:r>
          </w:p>
        </w:tc>
        <w:tc>
          <w:tcPr>
            <w:tcW w:w="822" w:type="pct"/>
            <w:tcBorders>
              <w:left w:val="single" w:sz="4" w:space="0" w:color="auto"/>
            </w:tcBorders>
            <w:vAlign w:val="center"/>
          </w:tcPr>
          <w:p w14:paraId="4E68FDEC" w14:textId="49A1642E" w:rsidR="00795B42" w:rsidRPr="00AD59E0" w:rsidRDefault="00795B42" w:rsidP="00795B42">
            <w:pPr>
              <w:jc w:val="center"/>
              <w:rPr>
                <w:rFonts w:cs="Times New Roman"/>
                <w:sz w:val="22"/>
              </w:rPr>
            </w:pPr>
            <w:r w:rsidRPr="00AD59E0">
              <w:rPr>
                <w:rFonts w:cs="Times New Roman"/>
                <w:color w:val="000000"/>
                <w:sz w:val="22"/>
              </w:rPr>
              <w:t>0.02%</w:t>
            </w:r>
          </w:p>
        </w:tc>
        <w:tc>
          <w:tcPr>
            <w:tcW w:w="722" w:type="pct"/>
            <w:tcBorders>
              <w:right w:val="single" w:sz="4" w:space="0" w:color="auto"/>
            </w:tcBorders>
            <w:vAlign w:val="center"/>
          </w:tcPr>
          <w:p w14:paraId="2CE23914" w14:textId="4F8D1EFD" w:rsidR="00795B42" w:rsidRPr="00AD59E0" w:rsidRDefault="00795B42" w:rsidP="00795B42">
            <w:pPr>
              <w:jc w:val="center"/>
              <w:rPr>
                <w:rFonts w:cs="Times New Roman"/>
                <w:sz w:val="22"/>
              </w:rPr>
            </w:pPr>
            <w:r w:rsidRPr="00AD59E0">
              <w:rPr>
                <w:rFonts w:cs="Times New Roman"/>
                <w:color w:val="000000"/>
                <w:sz w:val="22"/>
              </w:rPr>
              <w:t>0.003</w:t>
            </w:r>
          </w:p>
        </w:tc>
        <w:tc>
          <w:tcPr>
            <w:tcW w:w="811" w:type="pct"/>
            <w:tcBorders>
              <w:left w:val="single" w:sz="4" w:space="0" w:color="auto"/>
            </w:tcBorders>
            <w:vAlign w:val="bottom"/>
          </w:tcPr>
          <w:p w14:paraId="7DB46EC8" w14:textId="6A572054" w:rsidR="00795B42" w:rsidRPr="00795B42" w:rsidRDefault="00795B42" w:rsidP="00795B42">
            <w:pPr>
              <w:jc w:val="center"/>
              <w:rPr>
                <w:rFonts w:cs="Times New Roman"/>
                <w:b/>
                <w:sz w:val="22"/>
              </w:rPr>
            </w:pPr>
            <w:r w:rsidRPr="00795B42">
              <w:rPr>
                <w:rFonts w:cs="Times New Roman"/>
                <w:b/>
                <w:color w:val="000000"/>
                <w:sz w:val="22"/>
              </w:rPr>
              <w:t>1.18%</w:t>
            </w:r>
          </w:p>
        </w:tc>
      </w:tr>
      <w:tr w:rsidR="00795B42" w:rsidRPr="00AD59E0" w14:paraId="3932B3EA" w14:textId="77777777" w:rsidTr="00A72941">
        <w:tc>
          <w:tcPr>
            <w:tcW w:w="1203" w:type="pct"/>
            <w:tcBorders>
              <w:right w:val="single" w:sz="4" w:space="0" w:color="auto"/>
            </w:tcBorders>
            <w:vAlign w:val="center"/>
          </w:tcPr>
          <w:p w14:paraId="53AE28C6" w14:textId="41130AA7" w:rsidR="00795B42" w:rsidRPr="00AD59E0" w:rsidRDefault="00795B42" w:rsidP="00795B42">
            <w:pPr>
              <w:rPr>
                <w:rFonts w:cs="Times New Roman"/>
                <w:i/>
                <w:sz w:val="22"/>
              </w:rPr>
            </w:pPr>
            <w:r w:rsidRPr="00AD59E0">
              <w:rPr>
                <w:rFonts w:cs="Times New Roman"/>
                <w:i/>
                <w:color w:val="000000"/>
                <w:sz w:val="22"/>
              </w:rPr>
              <w:t>September</w:t>
            </w:r>
          </w:p>
        </w:tc>
        <w:tc>
          <w:tcPr>
            <w:tcW w:w="769" w:type="pct"/>
            <w:tcBorders>
              <w:left w:val="single" w:sz="4" w:space="0" w:color="auto"/>
            </w:tcBorders>
            <w:vAlign w:val="center"/>
          </w:tcPr>
          <w:p w14:paraId="5B5F255F" w14:textId="4160FF08" w:rsidR="00795B42" w:rsidRPr="00AD59E0" w:rsidRDefault="00795B42" w:rsidP="00795B42">
            <w:pPr>
              <w:jc w:val="center"/>
              <w:rPr>
                <w:rFonts w:cs="Times New Roman"/>
                <w:sz w:val="22"/>
              </w:rPr>
            </w:pPr>
            <w:r w:rsidRPr="00AD59E0">
              <w:rPr>
                <w:rFonts w:cs="Times New Roman"/>
                <w:color w:val="000000"/>
                <w:sz w:val="22"/>
              </w:rPr>
              <w:t>-1.46%***</w:t>
            </w:r>
          </w:p>
        </w:tc>
        <w:tc>
          <w:tcPr>
            <w:tcW w:w="673" w:type="pct"/>
            <w:tcBorders>
              <w:right w:val="single" w:sz="4" w:space="0" w:color="auto"/>
            </w:tcBorders>
            <w:vAlign w:val="center"/>
          </w:tcPr>
          <w:p w14:paraId="6C298780" w14:textId="5178A655" w:rsidR="00795B42" w:rsidRPr="00AD59E0" w:rsidRDefault="00795B42" w:rsidP="00795B42">
            <w:pPr>
              <w:jc w:val="center"/>
              <w:rPr>
                <w:rFonts w:cs="Times New Roman"/>
                <w:sz w:val="22"/>
              </w:rPr>
            </w:pPr>
            <w:r w:rsidRPr="00AD59E0">
              <w:rPr>
                <w:rFonts w:cs="Times New Roman"/>
                <w:color w:val="000000"/>
                <w:sz w:val="22"/>
              </w:rPr>
              <w:t>0.01</w:t>
            </w:r>
          </w:p>
        </w:tc>
        <w:tc>
          <w:tcPr>
            <w:tcW w:w="822" w:type="pct"/>
            <w:tcBorders>
              <w:left w:val="single" w:sz="4" w:space="0" w:color="auto"/>
            </w:tcBorders>
            <w:vAlign w:val="center"/>
          </w:tcPr>
          <w:p w14:paraId="1040191D" w14:textId="73EAA76C" w:rsidR="00795B42" w:rsidRPr="00AD59E0" w:rsidRDefault="00795B42" w:rsidP="00795B42">
            <w:pPr>
              <w:jc w:val="center"/>
              <w:rPr>
                <w:rFonts w:cs="Times New Roman"/>
                <w:sz w:val="22"/>
              </w:rPr>
            </w:pPr>
            <w:r w:rsidRPr="00AD59E0">
              <w:rPr>
                <w:rFonts w:cs="Times New Roman"/>
                <w:color w:val="000000"/>
                <w:sz w:val="22"/>
              </w:rPr>
              <w:t>-0.44%</w:t>
            </w:r>
          </w:p>
        </w:tc>
        <w:tc>
          <w:tcPr>
            <w:tcW w:w="722" w:type="pct"/>
            <w:tcBorders>
              <w:right w:val="single" w:sz="4" w:space="0" w:color="auto"/>
            </w:tcBorders>
            <w:vAlign w:val="center"/>
          </w:tcPr>
          <w:p w14:paraId="06101853" w14:textId="0C25E06F" w:rsidR="00795B42" w:rsidRPr="00AD59E0" w:rsidRDefault="00795B42" w:rsidP="00795B42">
            <w:pPr>
              <w:jc w:val="center"/>
              <w:rPr>
                <w:rFonts w:cs="Times New Roman"/>
                <w:sz w:val="22"/>
              </w:rPr>
            </w:pPr>
            <w:r w:rsidRPr="00AD59E0">
              <w:rPr>
                <w:rFonts w:cs="Times New Roman"/>
                <w:color w:val="000000"/>
                <w:sz w:val="22"/>
              </w:rPr>
              <w:t>0.003</w:t>
            </w:r>
          </w:p>
        </w:tc>
        <w:tc>
          <w:tcPr>
            <w:tcW w:w="811" w:type="pct"/>
            <w:tcBorders>
              <w:left w:val="single" w:sz="4" w:space="0" w:color="auto"/>
            </w:tcBorders>
            <w:vAlign w:val="bottom"/>
          </w:tcPr>
          <w:p w14:paraId="3281D0C4" w14:textId="6F8C705A" w:rsidR="00795B42" w:rsidRPr="00795B42" w:rsidRDefault="00795B42" w:rsidP="00795B42">
            <w:pPr>
              <w:jc w:val="center"/>
              <w:rPr>
                <w:rFonts w:cs="Times New Roman"/>
                <w:b/>
                <w:sz w:val="22"/>
              </w:rPr>
            </w:pPr>
            <w:r w:rsidRPr="00795B42">
              <w:rPr>
                <w:rFonts w:cs="Times New Roman"/>
                <w:b/>
                <w:color w:val="000000"/>
                <w:sz w:val="22"/>
              </w:rPr>
              <w:t>1.02%</w:t>
            </w:r>
          </w:p>
        </w:tc>
      </w:tr>
      <w:tr w:rsidR="00795B42" w:rsidRPr="00AD59E0" w14:paraId="56F93466" w14:textId="77777777" w:rsidTr="00A72941">
        <w:tc>
          <w:tcPr>
            <w:tcW w:w="1203" w:type="pct"/>
            <w:tcBorders>
              <w:right w:val="single" w:sz="4" w:space="0" w:color="auto"/>
            </w:tcBorders>
            <w:vAlign w:val="center"/>
          </w:tcPr>
          <w:p w14:paraId="692CE123" w14:textId="45E60087" w:rsidR="00795B42" w:rsidRPr="00AD59E0" w:rsidRDefault="00795B42" w:rsidP="00795B42">
            <w:pPr>
              <w:rPr>
                <w:rFonts w:cs="Times New Roman"/>
                <w:i/>
                <w:sz w:val="22"/>
              </w:rPr>
            </w:pPr>
            <w:r w:rsidRPr="00AD59E0">
              <w:rPr>
                <w:rFonts w:cs="Times New Roman"/>
                <w:i/>
                <w:color w:val="000000"/>
                <w:sz w:val="22"/>
              </w:rPr>
              <w:t>October</w:t>
            </w:r>
          </w:p>
        </w:tc>
        <w:tc>
          <w:tcPr>
            <w:tcW w:w="769" w:type="pct"/>
            <w:tcBorders>
              <w:left w:val="single" w:sz="4" w:space="0" w:color="auto"/>
            </w:tcBorders>
            <w:vAlign w:val="center"/>
          </w:tcPr>
          <w:p w14:paraId="79C5E057" w14:textId="39400F7F" w:rsidR="00795B42" w:rsidRPr="00AD59E0" w:rsidRDefault="00795B42" w:rsidP="00795B42">
            <w:pPr>
              <w:jc w:val="center"/>
              <w:rPr>
                <w:rFonts w:cs="Times New Roman"/>
                <w:sz w:val="22"/>
              </w:rPr>
            </w:pPr>
            <w:r w:rsidRPr="00AD59E0">
              <w:rPr>
                <w:rFonts w:cs="Times New Roman"/>
                <w:color w:val="000000"/>
                <w:sz w:val="22"/>
              </w:rPr>
              <w:t>-1.38%**</w:t>
            </w:r>
          </w:p>
        </w:tc>
        <w:tc>
          <w:tcPr>
            <w:tcW w:w="673" w:type="pct"/>
            <w:tcBorders>
              <w:right w:val="single" w:sz="4" w:space="0" w:color="auto"/>
            </w:tcBorders>
            <w:vAlign w:val="center"/>
          </w:tcPr>
          <w:p w14:paraId="373C67A3" w14:textId="73F61954" w:rsidR="00795B42" w:rsidRPr="00AD59E0" w:rsidRDefault="00795B42" w:rsidP="00795B42">
            <w:pPr>
              <w:jc w:val="center"/>
              <w:rPr>
                <w:rFonts w:cs="Times New Roman"/>
                <w:sz w:val="22"/>
              </w:rPr>
            </w:pPr>
            <w:r w:rsidRPr="00AD59E0">
              <w:rPr>
                <w:rFonts w:cs="Times New Roman"/>
                <w:color w:val="000000"/>
                <w:sz w:val="22"/>
              </w:rPr>
              <w:t>0.01</w:t>
            </w:r>
          </w:p>
        </w:tc>
        <w:tc>
          <w:tcPr>
            <w:tcW w:w="822" w:type="pct"/>
            <w:tcBorders>
              <w:left w:val="single" w:sz="4" w:space="0" w:color="auto"/>
            </w:tcBorders>
            <w:vAlign w:val="center"/>
          </w:tcPr>
          <w:p w14:paraId="23609FC6" w14:textId="2E0FB8E5" w:rsidR="00795B42" w:rsidRPr="00AD59E0" w:rsidRDefault="00795B42" w:rsidP="00795B42">
            <w:pPr>
              <w:jc w:val="center"/>
              <w:rPr>
                <w:rFonts w:cs="Times New Roman"/>
                <w:sz w:val="22"/>
              </w:rPr>
            </w:pPr>
            <w:r w:rsidRPr="00AD59E0">
              <w:rPr>
                <w:rFonts w:cs="Times New Roman"/>
                <w:color w:val="000000"/>
                <w:sz w:val="22"/>
              </w:rPr>
              <w:t>-0.99%***</w:t>
            </w:r>
          </w:p>
        </w:tc>
        <w:tc>
          <w:tcPr>
            <w:tcW w:w="722" w:type="pct"/>
            <w:tcBorders>
              <w:right w:val="single" w:sz="4" w:space="0" w:color="auto"/>
            </w:tcBorders>
            <w:vAlign w:val="center"/>
          </w:tcPr>
          <w:p w14:paraId="4CDE3450" w14:textId="7165B5EF" w:rsidR="00795B42" w:rsidRPr="00AD59E0" w:rsidRDefault="00795B42" w:rsidP="00795B42">
            <w:pPr>
              <w:jc w:val="center"/>
              <w:rPr>
                <w:rFonts w:cs="Times New Roman"/>
                <w:sz w:val="22"/>
              </w:rPr>
            </w:pPr>
            <w:r w:rsidRPr="00AD59E0">
              <w:rPr>
                <w:rFonts w:cs="Times New Roman"/>
                <w:color w:val="000000"/>
                <w:sz w:val="22"/>
              </w:rPr>
              <w:t>0.003</w:t>
            </w:r>
          </w:p>
        </w:tc>
        <w:tc>
          <w:tcPr>
            <w:tcW w:w="811" w:type="pct"/>
            <w:tcBorders>
              <w:left w:val="single" w:sz="4" w:space="0" w:color="auto"/>
            </w:tcBorders>
            <w:vAlign w:val="bottom"/>
          </w:tcPr>
          <w:p w14:paraId="0389C28C" w14:textId="333087A6" w:rsidR="00795B42" w:rsidRPr="00795B42" w:rsidRDefault="00795B42" w:rsidP="00795B42">
            <w:pPr>
              <w:jc w:val="center"/>
              <w:rPr>
                <w:rFonts w:cs="Times New Roman"/>
                <w:b/>
                <w:sz w:val="22"/>
              </w:rPr>
            </w:pPr>
            <w:r w:rsidRPr="00795B42">
              <w:rPr>
                <w:rFonts w:cs="Times New Roman"/>
                <w:b/>
                <w:color w:val="000000"/>
                <w:sz w:val="22"/>
              </w:rPr>
              <w:t>0.39%</w:t>
            </w:r>
          </w:p>
        </w:tc>
      </w:tr>
      <w:tr w:rsidR="00795B42" w:rsidRPr="00AD59E0" w14:paraId="05AEC716" w14:textId="77777777" w:rsidTr="00A72941">
        <w:tc>
          <w:tcPr>
            <w:tcW w:w="1203" w:type="pct"/>
            <w:tcBorders>
              <w:right w:val="single" w:sz="4" w:space="0" w:color="auto"/>
            </w:tcBorders>
            <w:vAlign w:val="center"/>
          </w:tcPr>
          <w:p w14:paraId="315C0818" w14:textId="19AC2279" w:rsidR="00795B42" w:rsidRPr="00AD59E0" w:rsidRDefault="00795B42" w:rsidP="00795B42">
            <w:pPr>
              <w:rPr>
                <w:rFonts w:cs="Times New Roman"/>
                <w:i/>
                <w:sz w:val="22"/>
              </w:rPr>
            </w:pPr>
            <w:r w:rsidRPr="00AD59E0">
              <w:rPr>
                <w:rFonts w:cs="Times New Roman"/>
                <w:i/>
                <w:color w:val="000000"/>
                <w:sz w:val="22"/>
              </w:rPr>
              <w:t>November</w:t>
            </w:r>
          </w:p>
        </w:tc>
        <w:tc>
          <w:tcPr>
            <w:tcW w:w="769" w:type="pct"/>
            <w:tcBorders>
              <w:left w:val="single" w:sz="4" w:space="0" w:color="auto"/>
            </w:tcBorders>
            <w:vAlign w:val="center"/>
          </w:tcPr>
          <w:p w14:paraId="32AF4ECC" w14:textId="241B9B85" w:rsidR="00795B42" w:rsidRPr="00AD59E0" w:rsidRDefault="00795B42" w:rsidP="00795B42">
            <w:pPr>
              <w:jc w:val="center"/>
              <w:rPr>
                <w:rFonts w:cs="Times New Roman"/>
                <w:sz w:val="22"/>
              </w:rPr>
            </w:pPr>
            <w:r w:rsidRPr="00AD59E0">
              <w:rPr>
                <w:rFonts w:cs="Times New Roman"/>
                <w:color w:val="000000"/>
                <w:sz w:val="22"/>
              </w:rPr>
              <w:t>-1.02%</w:t>
            </w:r>
          </w:p>
        </w:tc>
        <w:tc>
          <w:tcPr>
            <w:tcW w:w="673" w:type="pct"/>
            <w:tcBorders>
              <w:right w:val="single" w:sz="4" w:space="0" w:color="auto"/>
            </w:tcBorders>
            <w:vAlign w:val="center"/>
          </w:tcPr>
          <w:p w14:paraId="0A6EA5EE" w14:textId="3162E6C0" w:rsidR="00795B42" w:rsidRPr="00AD59E0" w:rsidRDefault="00795B42" w:rsidP="00795B42">
            <w:pPr>
              <w:jc w:val="center"/>
              <w:rPr>
                <w:rFonts w:cs="Times New Roman"/>
                <w:sz w:val="22"/>
              </w:rPr>
            </w:pPr>
            <w:r w:rsidRPr="00AD59E0">
              <w:rPr>
                <w:rFonts w:cs="Times New Roman"/>
                <w:color w:val="000000"/>
                <w:sz w:val="22"/>
              </w:rPr>
              <w:t>0.01</w:t>
            </w:r>
          </w:p>
        </w:tc>
        <w:tc>
          <w:tcPr>
            <w:tcW w:w="822" w:type="pct"/>
            <w:tcBorders>
              <w:left w:val="single" w:sz="4" w:space="0" w:color="auto"/>
            </w:tcBorders>
            <w:vAlign w:val="center"/>
          </w:tcPr>
          <w:p w14:paraId="51E04951" w14:textId="6E5BDF77" w:rsidR="00795B42" w:rsidRPr="00AD59E0" w:rsidRDefault="00795B42" w:rsidP="00795B42">
            <w:pPr>
              <w:jc w:val="center"/>
              <w:rPr>
                <w:rFonts w:cs="Times New Roman"/>
                <w:sz w:val="22"/>
              </w:rPr>
            </w:pPr>
            <w:r w:rsidRPr="00AD59E0">
              <w:rPr>
                <w:rFonts w:cs="Times New Roman"/>
                <w:color w:val="000000"/>
                <w:sz w:val="22"/>
              </w:rPr>
              <w:t>-0.98%***</w:t>
            </w:r>
          </w:p>
        </w:tc>
        <w:tc>
          <w:tcPr>
            <w:tcW w:w="722" w:type="pct"/>
            <w:tcBorders>
              <w:right w:val="single" w:sz="4" w:space="0" w:color="auto"/>
            </w:tcBorders>
            <w:vAlign w:val="center"/>
          </w:tcPr>
          <w:p w14:paraId="24698890" w14:textId="61AE51EE" w:rsidR="00795B42" w:rsidRPr="00AD59E0" w:rsidRDefault="00795B42" w:rsidP="00795B42">
            <w:pPr>
              <w:jc w:val="center"/>
              <w:rPr>
                <w:rFonts w:cs="Times New Roman"/>
                <w:sz w:val="22"/>
              </w:rPr>
            </w:pPr>
            <w:r w:rsidRPr="00AD59E0">
              <w:rPr>
                <w:rFonts w:cs="Times New Roman"/>
                <w:color w:val="000000"/>
                <w:sz w:val="22"/>
              </w:rPr>
              <w:t>0.003</w:t>
            </w:r>
          </w:p>
        </w:tc>
        <w:tc>
          <w:tcPr>
            <w:tcW w:w="811" w:type="pct"/>
            <w:tcBorders>
              <w:left w:val="single" w:sz="4" w:space="0" w:color="auto"/>
            </w:tcBorders>
            <w:vAlign w:val="bottom"/>
          </w:tcPr>
          <w:p w14:paraId="7FA8B182" w14:textId="4E1F7A03" w:rsidR="00795B42" w:rsidRPr="00795B42" w:rsidRDefault="00795B42" w:rsidP="00795B42">
            <w:pPr>
              <w:jc w:val="center"/>
              <w:rPr>
                <w:rFonts w:cs="Times New Roman"/>
                <w:b/>
                <w:sz w:val="22"/>
              </w:rPr>
            </w:pPr>
            <w:r w:rsidRPr="00795B42">
              <w:rPr>
                <w:rFonts w:cs="Times New Roman"/>
                <w:b/>
                <w:color w:val="000000"/>
                <w:sz w:val="22"/>
              </w:rPr>
              <w:t>0.04%</w:t>
            </w:r>
          </w:p>
        </w:tc>
      </w:tr>
      <w:tr w:rsidR="00795B42" w:rsidRPr="00AD59E0" w14:paraId="4A1B27F8" w14:textId="77777777" w:rsidTr="00A72941">
        <w:tc>
          <w:tcPr>
            <w:tcW w:w="1203" w:type="pct"/>
            <w:tcBorders>
              <w:right w:val="single" w:sz="4" w:space="0" w:color="auto"/>
            </w:tcBorders>
            <w:vAlign w:val="center"/>
          </w:tcPr>
          <w:p w14:paraId="1D18380A" w14:textId="1B14DFD7" w:rsidR="00795B42" w:rsidRPr="00AD59E0" w:rsidRDefault="00795B42" w:rsidP="00795B42">
            <w:pPr>
              <w:rPr>
                <w:rFonts w:cs="Times New Roman"/>
                <w:i/>
                <w:sz w:val="22"/>
              </w:rPr>
            </w:pPr>
            <w:r w:rsidRPr="00AD59E0">
              <w:rPr>
                <w:rFonts w:cs="Times New Roman"/>
                <w:i/>
                <w:color w:val="000000"/>
                <w:sz w:val="22"/>
              </w:rPr>
              <w:t>December</w:t>
            </w:r>
          </w:p>
        </w:tc>
        <w:tc>
          <w:tcPr>
            <w:tcW w:w="769" w:type="pct"/>
            <w:tcBorders>
              <w:left w:val="single" w:sz="4" w:space="0" w:color="auto"/>
            </w:tcBorders>
            <w:vAlign w:val="center"/>
          </w:tcPr>
          <w:p w14:paraId="452A8F14" w14:textId="0A903432" w:rsidR="00795B42" w:rsidRPr="00AD59E0" w:rsidRDefault="00795B42" w:rsidP="00795B42">
            <w:pPr>
              <w:jc w:val="center"/>
              <w:rPr>
                <w:rFonts w:cs="Times New Roman"/>
                <w:sz w:val="22"/>
              </w:rPr>
            </w:pPr>
            <w:r w:rsidRPr="00AD59E0">
              <w:rPr>
                <w:rFonts w:cs="Times New Roman"/>
                <w:color w:val="000000"/>
                <w:sz w:val="22"/>
              </w:rPr>
              <w:t>-0.82%</w:t>
            </w:r>
          </w:p>
        </w:tc>
        <w:tc>
          <w:tcPr>
            <w:tcW w:w="673" w:type="pct"/>
            <w:tcBorders>
              <w:right w:val="single" w:sz="4" w:space="0" w:color="auto"/>
            </w:tcBorders>
            <w:vAlign w:val="center"/>
          </w:tcPr>
          <w:p w14:paraId="0CBFDBFE" w14:textId="7F6F19F6" w:rsidR="00795B42" w:rsidRPr="00AD59E0" w:rsidRDefault="00795B42" w:rsidP="00795B42">
            <w:pPr>
              <w:jc w:val="center"/>
              <w:rPr>
                <w:rFonts w:cs="Times New Roman"/>
                <w:sz w:val="22"/>
              </w:rPr>
            </w:pPr>
            <w:r w:rsidRPr="00AD59E0">
              <w:rPr>
                <w:rFonts w:cs="Times New Roman"/>
                <w:color w:val="000000"/>
                <w:sz w:val="22"/>
              </w:rPr>
              <w:t>0.01</w:t>
            </w:r>
          </w:p>
        </w:tc>
        <w:tc>
          <w:tcPr>
            <w:tcW w:w="822" w:type="pct"/>
            <w:tcBorders>
              <w:left w:val="single" w:sz="4" w:space="0" w:color="auto"/>
            </w:tcBorders>
            <w:vAlign w:val="center"/>
          </w:tcPr>
          <w:p w14:paraId="37675E10" w14:textId="778A0E72" w:rsidR="00795B42" w:rsidRPr="00AD59E0" w:rsidRDefault="00795B42" w:rsidP="00795B42">
            <w:pPr>
              <w:jc w:val="center"/>
              <w:rPr>
                <w:rFonts w:cs="Times New Roman"/>
                <w:sz w:val="22"/>
              </w:rPr>
            </w:pPr>
            <w:r w:rsidRPr="00AD59E0">
              <w:rPr>
                <w:rFonts w:cs="Times New Roman"/>
                <w:color w:val="000000"/>
                <w:sz w:val="22"/>
              </w:rPr>
              <w:t>-0.38%</w:t>
            </w:r>
          </w:p>
        </w:tc>
        <w:tc>
          <w:tcPr>
            <w:tcW w:w="722" w:type="pct"/>
            <w:tcBorders>
              <w:right w:val="single" w:sz="4" w:space="0" w:color="auto"/>
            </w:tcBorders>
            <w:vAlign w:val="center"/>
          </w:tcPr>
          <w:p w14:paraId="13906DE6" w14:textId="06591657" w:rsidR="00795B42" w:rsidRPr="00AD59E0" w:rsidRDefault="00795B42" w:rsidP="00795B42">
            <w:pPr>
              <w:jc w:val="center"/>
              <w:rPr>
                <w:rFonts w:cs="Times New Roman"/>
                <w:sz w:val="22"/>
              </w:rPr>
            </w:pPr>
            <w:r w:rsidRPr="00AD59E0">
              <w:rPr>
                <w:rFonts w:cs="Times New Roman"/>
                <w:color w:val="000000"/>
                <w:sz w:val="22"/>
              </w:rPr>
              <w:t>0.003</w:t>
            </w:r>
          </w:p>
        </w:tc>
        <w:tc>
          <w:tcPr>
            <w:tcW w:w="811" w:type="pct"/>
            <w:tcBorders>
              <w:left w:val="single" w:sz="4" w:space="0" w:color="auto"/>
            </w:tcBorders>
            <w:vAlign w:val="bottom"/>
          </w:tcPr>
          <w:p w14:paraId="26D4BB1E" w14:textId="01582AAC" w:rsidR="00795B42" w:rsidRPr="00795B42" w:rsidRDefault="00795B42" w:rsidP="00795B42">
            <w:pPr>
              <w:jc w:val="center"/>
              <w:rPr>
                <w:rFonts w:cs="Times New Roman"/>
                <w:b/>
                <w:sz w:val="22"/>
              </w:rPr>
            </w:pPr>
            <w:r w:rsidRPr="00795B42">
              <w:rPr>
                <w:rFonts w:cs="Times New Roman"/>
                <w:b/>
                <w:color w:val="000000"/>
                <w:sz w:val="22"/>
              </w:rPr>
              <w:t>0.44%</w:t>
            </w:r>
          </w:p>
        </w:tc>
      </w:tr>
      <w:tr w:rsidR="00A72941" w:rsidRPr="00AD59E0" w14:paraId="2AD9FB84" w14:textId="77777777" w:rsidTr="00A72941">
        <w:tc>
          <w:tcPr>
            <w:tcW w:w="1203" w:type="pct"/>
            <w:tcBorders>
              <w:right w:val="single" w:sz="4" w:space="0" w:color="auto"/>
            </w:tcBorders>
            <w:vAlign w:val="center"/>
          </w:tcPr>
          <w:p w14:paraId="0ED9262B" w14:textId="7B660C62" w:rsidR="00A72941" w:rsidRPr="00AD59E0" w:rsidRDefault="00A72941" w:rsidP="00A72941">
            <w:pPr>
              <w:rPr>
                <w:rFonts w:cs="Times New Roman"/>
                <w:sz w:val="22"/>
              </w:rPr>
            </w:pPr>
            <w:r w:rsidRPr="00AD59E0">
              <w:rPr>
                <w:rFonts w:cs="Times New Roman"/>
                <w:i/>
                <w:sz w:val="22"/>
              </w:rPr>
              <w:t>Recession</w:t>
            </w:r>
          </w:p>
        </w:tc>
        <w:tc>
          <w:tcPr>
            <w:tcW w:w="769" w:type="pct"/>
            <w:tcBorders>
              <w:left w:val="single" w:sz="4" w:space="0" w:color="auto"/>
            </w:tcBorders>
            <w:vAlign w:val="center"/>
          </w:tcPr>
          <w:p w14:paraId="3B9A07A1" w14:textId="7722B7B7" w:rsidR="00A72941" w:rsidRPr="00AD59E0" w:rsidRDefault="00A72941" w:rsidP="001E06EA">
            <w:pPr>
              <w:jc w:val="center"/>
              <w:rPr>
                <w:rFonts w:cs="Times New Roman"/>
                <w:sz w:val="22"/>
              </w:rPr>
            </w:pPr>
          </w:p>
        </w:tc>
        <w:tc>
          <w:tcPr>
            <w:tcW w:w="673" w:type="pct"/>
            <w:tcBorders>
              <w:right w:val="single" w:sz="4" w:space="0" w:color="auto"/>
            </w:tcBorders>
            <w:vAlign w:val="center"/>
          </w:tcPr>
          <w:p w14:paraId="1F237452" w14:textId="0113FECD" w:rsidR="00A72941" w:rsidRPr="00AD59E0" w:rsidRDefault="00A72941" w:rsidP="001E06EA">
            <w:pPr>
              <w:jc w:val="center"/>
              <w:rPr>
                <w:rFonts w:cs="Times New Roman"/>
                <w:sz w:val="22"/>
              </w:rPr>
            </w:pPr>
          </w:p>
        </w:tc>
        <w:tc>
          <w:tcPr>
            <w:tcW w:w="822" w:type="pct"/>
            <w:tcBorders>
              <w:left w:val="single" w:sz="4" w:space="0" w:color="auto"/>
            </w:tcBorders>
            <w:vAlign w:val="center"/>
          </w:tcPr>
          <w:p w14:paraId="2E32368C" w14:textId="14F5F33B" w:rsidR="00A72941" w:rsidRPr="00AD59E0" w:rsidRDefault="00A72941" w:rsidP="00A72941">
            <w:pPr>
              <w:jc w:val="center"/>
              <w:rPr>
                <w:rFonts w:cs="Times New Roman"/>
                <w:sz w:val="22"/>
              </w:rPr>
            </w:pPr>
            <w:r w:rsidRPr="00AD59E0">
              <w:rPr>
                <w:rFonts w:cs="Times New Roman"/>
                <w:color w:val="000000"/>
                <w:sz w:val="22"/>
              </w:rPr>
              <w:t>-0.05%</w:t>
            </w:r>
          </w:p>
        </w:tc>
        <w:tc>
          <w:tcPr>
            <w:tcW w:w="722" w:type="pct"/>
            <w:tcBorders>
              <w:right w:val="single" w:sz="4" w:space="0" w:color="auto"/>
            </w:tcBorders>
            <w:vAlign w:val="center"/>
          </w:tcPr>
          <w:p w14:paraId="57635AA5" w14:textId="3A80DA01" w:rsidR="00A72941" w:rsidRPr="00AD59E0" w:rsidRDefault="00A72941" w:rsidP="00A72941">
            <w:pPr>
              <w:jc w:val="center"/>
              <w:rPr>
                <w:rFonts w:cs="Times New Roman"/>
                <w:sz w:val="22"/>
              </w:rPr>
            </w:pPr>
            <w:r w:rsidRPr="00AD59E0">
              <w:rPr>
                <w:rFonts w:cs="Times New Roman"/>
                <w:color w:val="000000"/>
                <w:sz w:val="22"/>
              </w:rPr>
              <w:t>0.00</w:t>
            </w:r>
          </w:p>
        </w:tc>
        <w:tc>
          <w:tcPr>
            <w:tcW w:w="811" w:type="pct"/>
            <w:tcBorders>
              <w:left w:val="single" w:sz="4" w:space="0" w:color="auto"/>
            </w:tcBorders>
          </w:tcPr>
          <w:p w14:paraId="19995837" w14:textId="77777777" w:rsidR="00A72941" w:rsidRPr="00AD59E0" w:rsidRDefault="00A72941" w:rsidP="00A72941">
            <w:pPr>
              <w:jc w:val="center"/>
              <w:rPr>
                <w:rFonts w:cs="Times New Roman"/>
                <w:b/>
                <w:sz w:val="22"/>
              </w:rPr>
            </w:pPr>
          </w:p>
        </w:tc>
      </w:tr>
      <w:tr w:rsidR="00A72941" w:rsidRPr="00AD59E0" w14:paraId="21F2EED7" w14:textId="77777777" w:rsidTr="00A72941">
        <w:tc>
          <w:tcPr>
            <w:tcW w:w="1203" w:type="pct"/>
            <w:tcBorders>
              <w:right w:val="single" w:sz="4" w:space="0" w:color="auto"/>
            </w:tcBorders>
            <w:vAlign w:val="center"/>
          </w:tcPr>
          <w:p w14:paraId="76A602F5" w14:textId="000848DF" w:rsidR="00A72941" w:rsidRPr="00AD59E0" w:rsidRDefault="00A72941" w:rsidP="00A72941">
            <w:pPr>
              <w:rPr>
                <w:rFonts w:cs="Times New Roman"/>
                <w:i/>
                <w:sz w:val="22"/>
              </w:rPr>
            </w:pPr>
          </w:p>
        </w:tc>
        <w:tc>
          <w:tcPr>
            <w:tcW w:w="769" w:type="pct"/>
            <w:tcBorders>
              <w:left w:val="single" w:sz="4" w:space="0" w:color="auto"/>
            </w:tcBorders>
            <w:vAlign w:val="center"/>
          </w:tcPr>
          <w:p w14:paraId="59CC7A7F" w14:textId="77777777" w:rsidR="00A72941" w:rsidRPr="00AD59E0" w:rsidRDefault="00A72941" w:rsidP="001E06EA">
            <w:pPr>
              <w:jc w:val="center"/>
              <w:rPr>
                <w:rFonts w:cs="Times New Roman"/>
                <w:sz w:val="22"/>
              </w:rPr>
            </w:pPr>
          </w:p>
        </w:tc>
        <w:tc>
          <w:tcPr>
            <w:tcW w:w="673" w:type="pct"/>
            <w:tcBorders>
              <w:right w:val="single" w:sz="4" w:space="0" w:color="auto"/>
            </w:tcBorders>
            <w:vAlign w:val="center"/>
          </w:tcPr>
          <w:p w14:paraId="14843FF8" w14:textId="77777777" w:rsidR="00A72941" w:rsidRPr="00AD59E0" w:rsidRDefault="00A72941" w:rsidP="001E06EA">
            <w:pPr>
              <w:jc w:val="center"/>
              <w:rPr>
                <w:rFonts w:cs="Times New Roman"/>
                <w:sz w:val="22"/>
              </w:rPr>
            </w:pPr>
          </w:p>
        </w:tc>
        <w:tc>
          <w:tcPr>
            <w:tcW w:w="822" w:type="pct"/>
            <w:tcBorders>
              <w:left w:val="single" w:sz="4" w:space="0" w:color="auto"/>
            </w:tcBorders>
            <w:vAlign w:val="center"/>
          </w:tcPr>
          <w:p w14:paraId="3096BACD" w14:textId="15F20075" w:rsidR="00A72941" w:rsidRPr="00AD59E0" w:rsidRDefault="00A72941" w:rsidP="00A72941">
            <w:pPr>
              <w:jc w:val="center"/>
              <w:rPr>
                <w:rFonts w:cs="Times New Roman"/>
                <w:sz w:val="22"/>
              </w:rPr>
            </w:pPr>
          </w:p>
        </w:tc>
        <w:tc>
          <w:tcPr>
            <w:tcW w:w="722" w:type="pct"/>
            <w:tcBorders>
              <w:right w:val="single" w:sz="4" w:space="0" w:color="auto"/>
            </w:tcBorders>
            <w:vAlign w:val="center"/>
          </w:tcPr>
          <w:p w14:paraId="21891CAC" w14:textId="5FA9F392" w:rsidR="00A72941" w:rsidRPr="00AD59E0" w:rsidRDefault="00A72941" w:rsidP="00A72941">
            <w:pPr>
              <w:jc w:val="center"/>
              <w:rPr>
                <w:rFonts w:cs="Times New Roman"/>
                <w:sz w:val="22"/>
              </w:rPr>
            </w:pPr>
          </w:p>
        </w:tc>
        <w:tc>
          <w:tcPr>
            <w:tcW w:w="811" w:type="pct"/>
            <w:tcBorders>
              <w:left w:val="single" w:sz="4" w:space="0" w:color="auto"/>
            </w:tcBorders>
          </w:tcPr>
          <w:p w14:paraId="241DAFED" w14:textId="77777777" w:rsidR="00A72941" w:rsidRPr="00AD59E0" w:rsidRDefault="00A72941" w:rsidP="00A72941">
            <w:pPr>
              <w:jc w:val="center"/>
              <w:rPr>
                <w:rFonts w:cs="Times New Roman"/>
                <w:b/>
                <w:sz w:val="22"/>
              </w:rPr>
            </w:pPr>
          </w:p>
        </w:tc>
      </w:tr>
      <w:tr w:rsidR="001E06EA" w:rsidRPr="00AD59E0" w14:paraId="3E1D3979" w14:textId="77777777" w:rsidTr="00A72941">
        <w:tc>
          <w:tcPr>
            <w:tcW w:w="1203" w:type="pct"/>
            <w:tcBorders>
              <w:right w:val="single" w:sz="4" w:space="0" w:color="auto"/>
            </w:tcBorders>
            <w:vAlign w:val="center"/>
          </w:tcPr>
          <w:p w14:paraId="0792C003" w14:textId="361F9E19" w:rsidR="001E06EA" w:rsidRPr="00AD59E0" w:rsidRDefault="001E06EA" w:rsidP="001E06EA">
            <w:pPr>
              <w:rPr>
                <w:rFonts w:cs="Times New Roman"/>
                <w:i/>
                <w:sz w:val="22"/>
              </w:rPr>
            </w:pPr>
            <w:r w:rsidRPr="00AD59E0">
              <w:rPr>
                <w:rFonts w:cs="Times New Roman"/>
                <w:i/>
                <w:color w:val="000000"/>
                <w:sz w:val="22"/>
              </w:rPr>
              <w:t>ar1</w:t>
            </w:r>
          </w:p>
        </w:tc>
        <w:tc>
          <w:tcPr>
            <w:tcW w:w="769" w:type="pct"/>
            <w:tcBorders>
              <w:left w:val="single" w:sz="4" w:space="0" w:color="auto"/>
            </w:tcBorders>
            <w:vAlign w:val="center"/>
          </w:tcPr>
          <w:p w14:paraId="23DCEA64" w14:textId="462845CC" w:rsidR="001E06EA" w:rsidRPr="00AD59E0" w:rsidRDefault="001E06EA" w:rsidP="001E06EA">
            <w:pPr>
              <w:jc w:val="center"/>
              <w:rPr>
                <w:rFonts w:cs="Times New Roman"/>
                <w:sz w:val="22"/>
              </w:rPr>
            </w:pPr>
            <w:r w:rsidRPr="00AD59E0">
              <w:rPr>
                <w:rFonts w:cs="Times New Roman"/>
                <w:color w:val="000000"/>
                <w:sz w:val="22"/>
              </w:rPr>
              <w:t>-26.74%</w:t>
            </w:r>
          </w:p>
        </w:tc>
        <w:tc>
          <w:tcPr>
            <w:tcW w:w="673" w:type="pct"/>
            <w:tcBorders>
              <w:right w:val="single" w:sz="4" w:space="0" w:color="auto"/>
            </w:tcBorders>
            <w:vAlign w:val="center"/>
          </w:tcPr>
          <w:p w14:paraId="6D18B3C0" w14:textId="120A8FD5" w:rsidR="001E06EA" w:rsidRPr="00AD59E0" w:rsidRDefault="001E06EA" w:rsidP="001E06EA">
            <w:pPr>
              <w:jc w:val="center"/>
              <w:rPr>
                <w:rFonts w:cs="Times New Roman"/>
                <w:sz w:val="22"/>
              </w:rPr>
            </w:pPr>
            <w:r w:rsidRPr="00AD59E0">
              <w:rPr>
                <w:rFonts w:cs="Times New Roman"/>
                <w:color w:val="000000"/>
                <w:sz w:val="22"/>
              </w:rPr>
              <w:t>0.17</w:t>
            </w:r>
          </w:p>
        </w:tc>
        <w:tc>
          <w:tcPr>
            <w:tcW w:w="822" w:type="pct"/>
            <w:tcBorders>
              <w:left w:val="single" w:sz="4" w:space="0" w:color="auto"/>
            </w:tcBorders>
          </w:tcPr>
          <w:p w14:paraId="67B4BA25" w14:textId="77777777" w:rsidR="001E06EA" w:rsidRPr="00AD59E0" w:rsidRDefault="001E06EA" w:rsidP="001E06EA">
            <w:pPr>
              <w:jc w:val="center"/>
              <w:rPr>
                <w:rFonts w:cs="Times New Roman"/>
                <w:sz w:val="22"/>
              </w:rPr>
            </w:pPr>
          </w:p>
        </w:tc>
        <w:tc>
          <w:tcPr>
            <w:tcW w:w="722" w:type="pct"/>
            <w:tcBorders>
              <w:right w:val="single" w:sz="4" w:space="0" w:color="auto"/>
            </w:tcBorders>
          </w:tcPr>
          <w:p w14:paraId="1B55FEC7" w14:textId="77777777" w:rsidR="001E06EA" w:rsidRPr="00AD59E0" w:rsidRDefault="001E06EA" w:rsidP="001E06EA">
            <w:pPr>
              <w:jc w:val="center"/>
              <w:rPr>
                <w:rFonts w:cs="Times New Roman"/>
                <w:sz w:val="22"/>
              </w:rPr>
            </w:pPr>
          </w:p>
        </w:tc>
        <w:tc>
          <w:tcPr>
            <w:tcW w:w="811" w:type="pct"/>
            <w:tcBorders>
              <w:left w:val="single" w:sz="4" w:space="0" w:color="auto"/>
            </w:tcBorders>
          </w:tcPr>
          <w:p w14:paraId="4D1BC9E5" w14:textId="77777777" w:rsidR="001E06EA" w:rsidRPr="00AD59E0" w:rsidRDefault="001E06EA" w:rsidP="001E06EA">
            <w:pPr>
              <w:jc w:val="center"/>
              <w:rPr>
                <w:rFonts w:cs="Times New Roman"/>
                <w:b/>
                <w:sz w:val="22"/>
              </w:rPr>
            </w:pPr>
          </w:p>
        </w:tc>
      </w:tr>
      <w:tr w:rsidR="001E06EA" w:rsidRPr="00AD59E0" w14:paraId="17F59AB8" w14:textId="77777777" w:rsidTr="00A72941">
        <w:tc>
          <w:tcPr>
            <w:tcW w:w="1203" w:type="pct"/>
            <w:tcBorders>
              <w:right w:val="single" w:sz="4" w:space="0" w:color="auto"/>
            </w:tcBorders>
            <w:vAlign w:val="center"/>
          </w:tcPr>
          <w:p w14:paraId="0232A44A" w14:textId="1E5D5FA0" w:rsidR="001E06EA" w:rsidRPr="00AD59E0" w:rsidRDefault="001E06EA" w:rsidP="001E06EA">
            <w:pPr>
              <w:rPr>
                <w:rFonts w:cs="Times New Roman"/>
                <w:i/>
                <w:sz w:val="22"/>
              </w:rPr>
            </w:pPr>
            <w:r w:rsidRPr="00AD59E0">
              <w:rPr>
                <w:rFonts w:cs="Times New Roman"/>
                <w:i/>
                <w:color w:val="000000"/>
                <w:sz w:val="22"/>
              </w:rPr>
              <w:t>ar2</w:t>
            </w:r>
          </w:p>
        </w:tc>
        <w:tc>
          <w:tcPr>
            <w:tcW w:w="769" w:type="pct"/>
            <w:tcBorders>
              <w:left w:val="single" w:sz="4" w:space="0" w:color="auto"/>
            </w:tcBorders>
            <w:vAlign w:val="center"/>
          </w:tcPr>
          <w:p w14:paraId="6BD54960" w14:textId="6F43664D" w:rsidR="001E06EA" w:rsidRPr="00AD59E0" w:rsidRDefault="001E06EA" w:rsidP="001E06EA">
            <w:pPr>
              <w:jc w:val="center"/>
              <w:rPr>
                <w:rFonts w:cs="Times New Roman"/>
                <w:sz w:val="22"/>
              </w:rPr>
            </w:pPr>
            <w:r w:rsidRPr="00AD59E0">
              <w:rPr>
                <w:rFonts w:cs="Times New Roman"/>
                <w:color w:val="000000"/>
                <w:sz w:val="22"/>
              </w:rPr>
              <w:t>-38.39%</w:t>
            </w:r>
            <w:r w:rsidR="00CD2636" w:rsidRPr="00AD59E0">
              <w:rPr>
                <w:rFonts w:cs="Times New Roman"/>
                <w:color w:val="000000"/>
                <w:sz w:val="22"/>
              </w:rPr>
              <w:t>***</w:t>
            </w:r>
          </w:p>
        </w:tc>
        <w:tc>
          <w:tcPr>
            <w:tcW w:w="673" w:type="pct"/>
            <w:tcBorders>
              <w:right w:val="single" w:sz="4" w:space="0" w:color="auto"/>
            </w:tcBorders>
            <w:vAlign w:val="center"/>
          </w:tcPr>
          <w:p w14:paraId="706CE54E" w14:textId="01677773" w:rsidR="001E06EA" w:rsidRPr="00AD59E0" w:rsidRDefault="001E06EA" w:rsidP="001E06EA">
            <w:pPr>
              <w:jc w:val="center"/>
              <w:rPr>
                <w:rFonts w:cs="Times New Roman"/>
                <w:sz w:val="22"/>
              </w:rPr>
            </w:pPr>
            <w:r w:rsidRPr="00AD59E0">
              <w:rPr>
                <w:rFonts w:cs="Times New Roman"/>
                <w:color w:val="000000"/>
                <w:sz w:val="22"/>
              </w:rPr>
              <w:t>0.15</w:t>
            </w:r>
          </w:p>
        </w:tc>
        <w:tc>
          <w:tcPr>
            <w:tcW w:w="822" w:type="pct"/>
            <w:tcBorders>
              <w:left w:val="single" w:sz="4" w:space="0" w:color="auto"/>
            </w:tcBorders>
          </w:tcPr>
          <w:p w14:paraId="1CA5D4CE" w14:textId="77777777" w:rsidR="001E06EA" w:rsidRPr="00AD59E0" w:rsidRDefault="001E06EA" w:rsidP="001E06EA">
            <w:pPr>
              <w:jc w:val="center"/>
              <w:rPr>
                <w:rFonts w:cs="Times New Roman"/>
                <w:sz w:val="22"/>
              </w:rPr>
            </w:pPr>
          </w:p>
        </w:tc>
        <w:tc>
          <w:tcPr>
            <w:tcW w:w="722" w:type="pct"/>
            <w:tcBorders>
              <w:right w:val="single" w:sz="4" w:space="0" w:color="auto"/>
            </w:tcBorders>
          </w:tcPr>
          <w:p w14:paraId="20E192DE" w14:textId="77777777" w:rsidR="001E06EA" w:rsidRPr="00AD59E0" w:rsidRDefault="001E06EA" w:rsidP="001E06EA">
            <w:pPr>
              <w:jc w:val="center"/>
              <w:rPr>
                <w:rFonts w:cs="Times New Roman"/>
                <w:sz w:val="22"/>
              </w:rPr>
            </w:pPr>
          </w:p>
        </w:tc>
        <w:tc>
          <w:tcPr>
            <w:tcW w:w="811" w:type="pct"/>
            <w:tcBorders>
              <w:left w:val="single" w:sz="4" w:space="0" w:color="auto"/>
            </w:tcBorders>
          </w:tcPr>
          <w:p w14:paraId="08CC12B0" w14:textId="77777777" w:rsidR="001E06EA" w:rsidRPr="00AD59E0" w:rsidRDefault="001E06EA" w:rsidP="001E06EA">
            <w:pPr>
              <w:jc w:val="center"/>
              <w:rPr>
                <w:rFonts w:cs="Times New Roman"/>
                <w:b/>
                <w:sz w:val="22"/>
              </w:rPr>
            </w:pPr>
          </w:p>
        </w:tc>
      </w:tr>
      <w:tr w:rsidR="001E06EA" w:rsidRPr="00AD59E0" w14:paraId="2CEAAAF2" w14:textId="77777777" w:rsidTr="00A72941">
        <w:tc>
          <w:tcPr>
            <w:tcW w:w="1203" w:type="pct"/>
            <w:tcBorders>
              <w:right w:val="single" w:sz="4" w:space="0" w:color="auto"/>
            </w:tcBorders>
            <w:vAlign w:val="center"/>
          </w:tcPr>
          <w:p w14:paraId="5E0E6033" w14:textId="1354B611" w:rsidR="001E06EA" w:rsidRPr="00AD59E0" w:rsidRDefault="001E06EA" w:rsidP="001E06EA">
            <w:pPr>
              <w:rPr>
                <w:rFonts w:cs="Times New Roman"/>
                <w:i/>
                <w:sz w:val="22"/>
              </w:rPr>
            </w:pPr>
            <w:r w:rsidRPr="00AD59E0">
              <w:rPr>
                <w:rFonts w:cs="Times New Roman"/>
                <w:i/>
                <w:color w:val="000000"/>
                <w:sz w:val="22"/>
              </w:rPr>
              <w:t>ar3</w:t>
            </w:r>
          </w:p>
        </w:tc>
        <w:tc>
          <w:tcPr>
            <w:tcW w:w="769" w:type="pct"/>
            <w:tcBorders>
              <w:left w:val="single" w:sz="4" w:space="0" w:color="auto"/>
            </w:tcBorders>
            <w:vAlign w:val="center"/>
          </w:tcPr>
          <w:p w14:paraId="688D6DA6" w14:textId="4B51BA88" w:rsidR="001E06EA" w:rsidRPr="00AD59E0" w:rsidRDefault="001E06EA" w:rsidP="001E06EA">
            <w:pPr>
              <w:jc w:val="center"/>
              <w:rPr>
                <w:rFonts w:cs="Times New Roman"/>
                <w:sz w:val="22"/>
              </w:rPr>
            </w:pPr>
            <w:r w:rsidRPr="00AD59E0">
              <w:rPr>
                <w:rFonts w:cs="Times New Roman"/>
                <w:color w:val="000000"/>
                <w:sz w:val="22"/>
              </w:rPr>
              <w:t>-31.57%</w:t>
            </w:r>
            <w:r w:rsidR="00CD2636" w:rsidRPr="00AD59E0">
              <w:rPr>
                <w:rFonts w:cs="Times New Roman"/>
                <w:color w:val="000000"/>
                <w:sz w:val="22"/>
              </w:rPr>
              <w:t>**</w:t>
            </w:r>
          </w:p>
        </w:tc>
        <w:tc>
          <w:tcPr>
            <w:tcW w:w="673" w:type="pct"/>
            <w:tcBorders>
              <w:right w:val="single" w:sz="4" w:space="0" w:color="auto"/>
            </w:tcBorders>
            <w:vAlign w:val="center"/>
          </w:tcPr>
          <w:p w14:paraId="14B47371" w14:textId="2B0ADE71" w:rsidR="001E06EA" w:rsidRPr="00AD59E0" w:rsidRDefault="001E06EA" w:rsidP="001E06EA">
            <w:pPr>
              <w:jc w:val="center"/>
              <w:rPr>
                <w:rFonts w:cs="Times New Roman"/>
                <w:sz w:val="22"/>
              </w:rPr>
            </w:pPr>
            <w:r w:rsidRPr="00AD59E0">
              <w:rPr>
                <w:rFonts w:cs="Times New Roman"/>
                <w:color w:val="000000"/>
                <w:sz w:val="22"/>
              </w:rPr>
              <w:t>0.15</w:t>
            </w:r>
          </w:p>
        </w:tc>
        <w:tc>
          <w:tcPr>
            <w:tcW w:w="822" w:type="pct"/>
            <w:tcBorders>
              <w:left w:val="single" w:sz="4" w:space="0" w:color="auto"/>
            </w:tcBorders>
          </w:tcPr>
          <w:p w14:paraId="69BD6C5F" w14:textId="77777777" w:rsidR="001E06EA" w:rsidRPr="00AD59E0" w:rsidRDefault="001E06EA" w:rsidP="001E06EA">
            <w:pPr>
              <w:jc w:val="center"/>
              <w:rPr>
                <w:rFonts w:cs="Times New Roman"/>
                <w:sz w:val="22"/>
              </w:rPr>
            </w:pPr>
          </w:p>
        </w:tc>
        <w:tc>
          <w:tcPr>
            <w:tcW w:w="722" w:type="pct"/>
            <w:tcBorders>
              <w:right w:val="single" w:sz="4" w:space="0" w:color="auto"/>
            </w:tcBorders>
          </w:tcPr>
          <w:p w14:paraId="22F36CCD" w14:textId="77777777" w:rsidR="001E06EA" w:rsidRPr="00AD59E0" w:rsidRDefault="001E06EA" w:rsidP="001E06EA">
            <w:pPr>
              <w:jc w:val="center"/>
              <w:rPr>
                <w:rFonts w:cs="Times New Roman"/>
                <w:sz w:val="22"/>
              </w:rPr>
            </w:pPr>
          </w:p>
        </w:tc>
        <w:tc>
          <w:tcPr>
            <w:tcW w:w="811" w:type="pct"/>
            <w:tcBorders>
              <w:left w:val="single" w:sz="4" w:space="0" w:color="auto"/>
            </w:tcBorders>
          </w:tcPr>
          <w:p w14:paraId="6FA1CAB6" w14:textId="77777777" w:rsidR="001E06EA" w:rsidRPr="00AD59E0" w:rsidRDefault="001E06EA" w:rsidP="001E06EA">
            <w:pPr>
              <w:jc w:val="center"/>
              <w:rPr>
                <w:rFonts w:cs="Times New Roman"/>
                <w:b/>
                <w:sz w:val="22"/>
              </w:rPr>
            </w:pPr>
          </w:p>
        </w:tc>
      </w:tr>
      <w:tr w:rsidR="001E06EA" w:rsidRPr="00AD59E0" w14:paraId="76C7382B" w14:textId="77777777" w:rsidTr="00A72941">
        <w:tc>
          <w:tcPr>
            <w:tcW w:w="1203" w:type="pct"/>
            <w:tcBorders>
              <w:right w:val="single" w:sz="4" w:space="0" w:color="auto"/>
            </w:tcBorders>
            <w:vAlign w:val="center"/>
          </w:tcPr>
          <w:p w14:paraId="6E1EF206" w14:textId="33A8AFD3" w:rsidR="001E06EA" w:rsidRPr="00AD59E0" w:rsidRDefault="001E06EA" w:rsidP="001E06EA">
            <w:pPr>
              <w:rPr>
                <w:rFonts w:cs="Times New Roman"/>
                <w:i/>
                <w:sz w:val="22"/>
              </w:rPr>
            </w:pPr>
            <w:r w:rsidRPr="00AD59E0">
              <w:rPr>
                <w:rFonts w:cs="Times New Roman"/>
                <w:i/>
                <w:color w:val="000000"/>
                <w:sz w:val="22"/>
              </w:rPr>
              <w:t>ar4</w:t>
            </w:r>
          </w:p>
        </w:tc>
        <w:tc>
          <w:tcPr>
            <w:tcW w:w="769" w:type="pct"/>
            <w:tcBorders>
              <w:left w:val="single" w:sz="4" w:space="0" w:color="auto"/>
            </w:tcBorders>
            <w:vAlign w:val="center"/>
          </w:tcPr>
          <w:p w14:paraId="3437C96A" w14:textId="196DCFB8" w:rsidR="001E06EA" w:rsidRPr="00AD59E0" w:rsidRDefault="001E06EA" w:rsidP="001E06EA">
            <w:pPr>
              <w:jc w:val="center"/>
              <w:rPr>
                <w:rFonts w:cs="Times New Roman"/>
                <w:sz w:val="22"/>
              </w:rPr>
            </w:pPr>
            <w:r w:rsidRPr="00AD59E0">
              <w:rPr>
                <w:rFonts w:cs="Times New Roman"/>
                <w:color w:val="000000"/>
                <w:sz w:val="22"/>
              </w:rPr>
              <w:t>-25.10%</w:t>
            </w:r>
            <w:r w:rsidR="00CD2636" w:rsidRPr="00AD59E0">
              <w:rPr>
                <w:rFonts w:cs="Times New Roman"/>
                <w:color w:val="000000"/>
                <w:sz w:val="22"/>
              </w:rPr>
              <w:t>*</w:t>
            </w:r>
          </w:p>
        </w:tc>
        <w:tc>
          <w:tcPr>
            <w:tcW w:w="673" w:type="pct"/>
            <w:tcBorders>
              <w:right w:val="single" w:sz="4" w:space="0" w:color="auto"/>
            </w:tcBorders>
            <w:vAlign w:val="center"/>
          </w:tcPr>
          <w:p w14:paraId="5B36BD73" w14:textId="2F64265C" w:rsidR="001E06EA" w:rsidRPr="00AD59E0" w:rsidRDefault="001E06EA" w:rsidP="001E06EA">
            <w:pPr>
              <w:jc w:val="center"/>
              <w:rPr>
                <w:rFonts w:cs="Times New Roman"/>
                <w:sz w:val="22"/>
              </w:rPr>
            </w:pPr>
            <w:r w:rsidRPr="00AD59E0">
              <w:rPr>
                <w:rFonts w:cs="Times New Roman"/>
                <w:color w:val="000000"/>
                <w:sz w:val="22"/>
              </w:rPr>
              <w:t>0.14</w:t>
            </w:r>
          </w:p>
        </w:tc>
        <w:tc>
          <w:tcPr>
            <w:tcW w:w="822" w:type="pct"/>
            <w:tcBorders>
              <w:left w:val="single" w:sz="4" w:space="0" w:color="auto"/>
            </w:tcBorders>
          </w:tcPr>
          <w:p w14:paraId="5E0ECBBA" w14:textId="77777777" w:rsidR="001E06EA" w:rsidRPr="00AD59E0" w:rsidRDefault="001E06EA" w:rsidP="001E06EA">
            <w:pPr>
              <w:jc w:val="center"/>
              <w:rPr>
                <w:rFonts w:cs="Times New Roman"/>
                <w:sz w:val="22"/>
              </w:rPr>
            </w:pPr>
          </w:p>
        </w:tc>
        <w:tc>
          <w:tcPr>
            <w:tcW w:w="722" w:type="pct"/>
            <w:tcBorders>
              <w:right w:val="single" w:sz="4" w:space="0" w:color="auto"/>
            </w:tcBorders>
          </w:tcPr>
          <w:p w14:paraId="78AA8E6F" w14:textId="77777777" w:rsidR="001E06EA" w:rsidRPr="00AD59E0" w:rsidRDefault="001E06EA" w:rsidP="001E06EA">
            <w:pPr>
              <w:jc w:val="center"/>
              <w:rPr>
                <w:rFonts w:cs="Times New Roman"/>
                <w:sz w:val="22"/>
              </w:rPr>
            </w:pPr>
          </w:p>
        </w:tc>
        <w:tc>
          <w:tcPr>
            <w:tcW w:w="811" w:type="pct"/>
            <w:tcBorders>
              <w:left w:val="single" w:sz="4" w:space="0" w:color="auto"/>
            </w:tcBorders>
          </w:tcPr>
          <w:p w14:paraId="42273FCB" w14:textId="77777777" w:rsidR="001E06EA" w:rsidRPr="00AD59E0" w:rsidRDefault="001E06EA" w:rsidP="001E06EA">
            <w:pPr>
              <w:jc w:val="center"/>
              <w:rPr>
                <w:rFonts w:cs="Times New Roman"/>
                <w:b/>
                <w:sz w:val="22"/>
              </w:rPr>
            </w:pPr>
          </w:p>
        </w:tc>
      </w:tr>
      <w:tr w:rsidR="001E06EA" w:rsidRPr="00AD59E0" w14:paraId="72EE71EF" w14:textId="77777777" w:rsidTr="00A72941">
        <w:tc>
          <w:tcPr>
            <w:tcW w:w="1203" w:type="pct"/>
            <w:tcBorders>
              <w:right w:val="single" w:sz="4" w:space="0" w:color="auto"/>
            </w:tcBorders>
            <w:vAlign w:val="center"/>
          </w:tcPr>
          <w:p w14:paraId="53C2B943" w14:textId="3DD87127" w:rsidR="001E06EA" w:rsidRPr="00AD59E0" w:rsidRDefault="001E06EA" w:rsidP="001E06EA">
            <w:pPr>
              <w:rPr>
                <w:rFonts w:cs="Times New Roman"/>
                <w:i/>
                <w:sz w:val="22"/>
              </w:rPr>
            </w:pPr>
            <w:r w:rsidRPr="00AD59E0">
              <w:rPr>
                <w:rFonts w:cs="Times New Roman"/>
                <w:i/>
                <w:color w:val="000000"/>
                <w:sz w:val="22"/>
              </w:rPr>
              <w:t>ar5</w:t>
            </w:r>
          </w:p>
        </w:tc>
        <w:tc>
          <w:tcPr>
            <w:tcW w:w="769" w:type="pct"/>
            <w:tcBorders>
              <w:left w:val="single" w:sz="4" w:space="0" w:color="auto"/>
            </w:tcBorders>
            <w:vAlign w:val="center"/>
          </w:tcPr>
          <w:p w14:paraId="704A320D" w14:textId="650B0703" w:rsidR="001E06EA" w:rsidRPr="00AD59E0" w:rsidRDefault="001E06EA" w:rsidP="001E06EA">
            <w:pPr>
              <w:jc w:val="center"/>
              <w:rPr>
                <w:rFonts w:cs="Times New Roman"/>
                <w:sz w:val="22"/>
              </w:rPr>
            </w:pPr>
            <w:r w:rsidRPr="00AD59E0">
              <w:rPr>
                <w:rFonts w:cs="Times New Roman"/>
                <w:color w:val="000000"/>
                <w:sz w:val="22"/>
              </w:rPr>
              <w:t>-10.20%</w:t>
            </w:r>
          </w:p>
        </w:tc>
        <w:tc>
          <w:tcPr>
            <w:tcW w:w="673" w:type="pct"/>
            <w:tcBorders>
              <w:right w:val="single" w:sz="4" w:space="0" w:color="auto"/>
            </w:tcBorders>
            <w:vAlign w:val="center"/>
          </w:tcPr>
          <w:p w14:paraId="696F2072" w14:textId="7318FAD8" w:rsidR="001E06EA" w:rsidRPr="00AD59E0" w:rsidRDefault="001E06EA" w:rsidP="001E06EA">
            <w:pPr>
              <w:jc w:val="center"/>
              <w:rPr>
                <w:rFonts w:cs="Times New Roman"/>
                <w:sz w:val="22"/>
              </w:rPr>
            </w:pPr>
            <w:r w:rsidRPr="00AD59E0">
              <w:rPr>
                <w:rFonts w:cs="Times New Roman"/>
                <w:color w:val="000000"/>
                <w:sz w:val="22"/>
              </w:rPr>
              <w:t>0.12</w:t>
            </w:r>
          </w:p>
        </w:tc>
        <w:tc>
          <w:tcPr>
            <w:tcW w:w="822" w:type="pct"/>
            <w:tcBorders>
              <w:left w:val="single" w:sz="4" w:space="0" w:color="auto"/>
            </w:tcBorders>
          </w:tcPr>
          <w:p w14:paraId="673C9BD7" w14:textId="77777777" w:rsidR="001E06EA" w:rsidRPr="00AD59E0" w:rsidRDefault="001E06EA" w:rsidP="001E06EA">
            <w:pPr>
              <w:jc w:val="center"/>
              <w:rPr>
                <w:rFonts w:cs="Times New Roman"/>
                <w:sz w:val="22"/>
              </w:rPr>
            </w:pPr>
          </w:p>
        </w:tc>
        <w:tc>
          <w:tcPr>
            <w:tcW w:w="722" w:type="pct"/>
            <w:tcBorders>
              <w:right w:val="single" w:sz="4" w:space="0" w:color="auto"/>
            </w:tcBorders>
          </w:tcPr>
          <w:p w14:paraId="1B336C90" w14:textId="77777777" w:rsidR="001E06EA" w:rsidRPr="00AD59E0" w:rsidRDefault="001E06EA" w:rsidP="001E06EA">
            <w:pPr>
              <w:jc w:val="center"/>
              <w:rPr>
                <w:rFonts w:cs="Times New Roman"/>
                <w:sz w:val="22"/>
              </w:rPr>
            </w:pPr>
          </w:p>
        </w:tc>
        <w:tc>
          <w:tcPr>
            <w:tcW w:w="811" w:type="pct"/>
            <w:tcBorders>
              <w:left w:val="single" w:sz="4" w:space="0" w:color="auto"/>
            </w:tcBorders>
          </w:tcPr>
          <w:p w14:paraId="1ED8818B" w14:textId="77777777" w:rsidR="001E06EA" w:rsidRPr="00AD59E0" w:rsidRDefault="001E06EA" w:rsidP="001E06EA">
            <w:pPr>
              <w:jc w:val="center"/>
              <w:rPr>
                <w:rFonts w:cs="Times New Roman"/>
                <w:b/>
                <w:sz w:val="22"/>
              </w:rPr>
            </w:pPr>
          </w:p>
        </w:tc>
      </w:tr>
      <w:tr w:rsidR="001E06EA" w:rsidRPr="00AD59E0" w14:paraId="266BD554" w14:textId="77777777" w:rsidTr="00A72941">
        <w:tc>
          <w:tcPr>
            <w:tcW w:w="1203" w:type="pct"/>
            <w:tcBorders>
              <w:right w:val="single" w:sz="4" w:space="0" w:color="auto"/>
            </w:tcBorders>
            <w:vAlign w:val="center"/>
          </w:tcPr>
          <w:p w14:paraId="4095BFC1" w14:textId="60230716" w:rsidR="001E06EA" w:rsidRPr="00AD59E0" w:rsidRDefault="001E06EA" w:rsidP="001E06EA">
            <w:pPr>
              <w:rPr>
                <w:rFonts w:cs="Times New Roman"/>
                <w:i/>
                <w:sz w:val="22"/>
              </w:rPr>
            </w:pPr>
            <w:r w:rsidRPr="00AD59E0">
              <w:rPr>
                <w:rFonts w:cs="Times New Roman"/>
                <w:i/>
                <w:color w:val="000000"/>
                <w:sz w:val="22"/>
              </w:rPr>
              <w:t>ar6</w:t>
            </w:r>
          </w:p>
        </w:tc>
        <w:tc>
          <w:tcPr>
            <w:tcW w:w="769" w:type="pct"/>
            <w:tcBorders>
              <w:left w:val="single" w:sz="4" w:space="0" w:color="auto"/>
            </w:tcBorders>
            <w:vAlign w:val="center"/>
          </w:tcPr>
          <w:p w14:paraId="4BEA3889" w14:textId="087F8DCB" w:rsidR="001E06EA" w:rsidRPr="00AD59E0" w:rsidRDefault="001E06EA" w:rsidP="001E06EA">
            <w:pPr>
              <w:jc w:val="center"/>
              <w:rPr>
                <w:rFonts w:cs="Times New Roman"/>
                <w:sz w:val="22"/>
              </w:rPr>
            </w:pPr>
            <w:r w:rsidRPr="00AD59E0">
              <w:rPr>
                <w:rFonts w:cs="Times New Roman"/>
                <w:color w:val="000000"/>
                <w:sz w:val="22"/>
              </w:rPr>
              <w:t>-14.06%</w:t>
            </w:r>
          </w:p>
        </w:tc>
        <w:tc>
          <w:tcPr>
            <w:tcW w:w="673" w:type="pct"/>
            <w:tcBorders>
              <w:right w:val="single" w:sz="4" w:space="0" w:color="auto"/>
            </w:tcBorders>
            <w:vAlign w:val="center"/>
          </w:tcPr>
          <w:p w14:paraId="7387CF69" w14:textId="206F61BD" w:rsidR="001E06EA" w:rsidRPr="00AD59E0" w:rsidRDefault="001E06EA" w:rsidP="001E06EA">
            <w:pPr>
              <w:jc w:val="center"/>
              <w:rPr>
                <w:rFonts w:cs="Times New Roman"/>
                <w:sz w:val="22"/>
              </w:rPr>
            </w:pPr>
            <w:r w:rsidRPr="00AD59E0">
              <w:rPr>
                <w:rFonts w:cs="Times New Roman"/>
                <w:color w:val="000000"/>
                <w:sz w:val="22"/>
              </w:rPr>
              <w:t>0.10</w:t>
            </w:r>
          </w:p>
        </w:tc>
        <w:tc>
          <w:tcPr>
            <w:tcW w:w="822" w:type="pct"/>
            <w:tcBorders>
              <w:left w:val="single" w:sz="4" w:space="0" w:color="auto"/>
            </w:tcBorders>
          </w:tcPr>
          <w:p w14:paraId="3C2CE1B6" w14:textId="77777777" w:rsidR="001E06EA" w:rsidRPr="00AD59E0" w:rsidRDefault="001E06EA" w:rsidP="001E06EA">
            <w:pPr>
              <w:jc w:val="center"/>
              <w:rPr>
                <w:rFonts w:cs="Times New Roman"/>
                <w:sz w:val="22"/>
              </w:rPr>
            </w:pPr>
          </w:p>
        </w:tc>
        <w:tc>
          <w:tcPr>
            <w:tcW w:w="722" w:type="pct"/>
            <w:tcBorders>
              <w:right w:val="single" w:sz="4" w:space="0" w:color="auto"/>
            </w:tcBorders>
          </w:tcPr>
          <w:p w14:paraId="20DBD29E" w14:textId="77777777" w:rsidR="001E06EA" w:rsidRPr="00AD59E0" w:rsidRDefault="001E06EA" w:rsidP="001E06EA">
            <w:pPr>
              <w:jc w:val="center"/>
              <w:rPr>
                <w:rFonts w:cs="Times New Roman"/>
                <w:sz w:val="22"/>
              </w:rPr>
            </w:pPr>
          </w:p>
        </w:tc>
        <w:tc>
          <w:tcPr>
            <w:tcW w:w="811" w:type="pct"/>
            <w:tcBorders>
              <w:left w:val="single" w:sz="4" w:space="0" w:color="auto"/>
            </w:tcBorders>
          </w:tcPr>
          <w:p w14:paraId="2C2BC686" w14:textId="77777777" w:rsidR="001E06EA" w:rsidRPr="00AD59E0" w:rsidRDefault="001E06EA" w:rsidP="001E06EA">
            <w:pPr>
              <w:jc w:val="center"/>
              <w:rPr>
                <w:rFonts w:cs="Times New Roman"/>
                <w:b/>
                <w:sz w:val="22"/>
              </w:rPr>
            </w:pPr>
          </w:p>
        </w:tc>
      </w:tr>
      <w:tr w:rsidR="001E06EA" w:rsidRPr="00AD59E0" w14:paraId="776F6EE6" w14:textId="77777777" w:rsidTr="00A72941">
        <w:tc>
          <w:tcPr>
            <w:tcW w:w="1203" w:type="pct"/>
            <w:tcBorders>
              <w:right w:val="single" w:sz="4" w:space="0" w:color="auto"/>
            </w:tcBorders>
            <w:vAlign w:val="center"/>
          </w:tcPr>
          <w:p w14:paraId="41ACBF16" w14:textId="6A4FBDB7" w:rsidR="001E06EA" w:rsidRPr="00AD59E0" w:rsidRDefault="001E06EA" w:rsidP="001E06EA">
            <w:pPr>
              <w:rPr>
                <w:rFonts w:cs="Times New Roman"/>
                <w:i/>
                <w:sz w:val="22"/>
              </w:rPr>
            </w:pPr>
            <w:r w:rsidRPr="00AD59E0">
              <w:rPr>
                <w:rFonts w:cs="Times New Roman"/>
                <w:i/>
                <w:color w:val="000000"/>
                <w:sz w:val="22"/>
              </w:rPr>
              <w:t>ma1</w:t>
            </w:r>
          </w:p>
        </w:tc>
        <w:tc>
          <w:tcPr>
            <w:tcW w:w="769" w:type="pct"/>
            <w:tcBorders>
              <w:left w:val="single" w:sz="4" w:space="0" w:color="auto"/>
            </w:tcBorders>
            <w:vAlign w:val="center"/>
          </w:tcPr>
          <w:p w14:paraId="1B2B792C" w14:textId="296ECC86" w:rsidR="001E06EA" w:rsidRPr="00AD59E0" w:rsidRDefault="001E06EA" w:rsidP="001E06EA">
            <w:pPr>
              <w:jc w:val="center"/>
              <w:rPr>
                <w:rFonts w:cs="Times New Roman"/>
                <w:sz w:val="22"/>
              </w:rPr>
            </w:pPr>
            <w:r w:rsidRPr="00AD59E0">
              <w:rPr>
                <w:rFonts w:cs="Times New Roman"/>
                <w:color w:val="000000"/>
                <w:sz w:val="22"/>
              </w:rPr>
              <w:t>-64.52%</w:t>
            </w:r>
            <w:r w:rsidR="00CD2636" w:rsidRPr="00AD59E0">
              <w:rPr>
                <w:rFonts w:cs="Times New Roman"/>
                <w:color w:val="000000"/>
                <w:sz w:val="22"/>
              </w:rPr>
              <w:t>***</w:t>
            </w:r>
          </w:p>
        </w:tc>
        <w:tc>
          <w:tcPr>
            <w:tcW w:w="673" w:type="pct"/>
            <w:tcBorders>
              <w:right w:val="single" w:sz="4" w:space="0" w:color="auto"/>
            </w:tcBorders>
            <w:vAlign w:val="center"/>
          </w:tcPr>
          <w:p w14:paraId="6DD46014" w14:textId="7B1D4676" w:rsidR="001E06EA" w:rsidRPr="00AD59E0" w:rsidRDefault="001E06EA" w:rsidP="001E06EA">
            <w:pPr>
              <w:jc w:val="center"/>
              <w:rPr>
                <w:rFonts w:cs="Times New Roman"/>
                <w:sz w:val="22"/>
              </w:rPr>
            </w:pPr>
            <w:r w:rsidRPr="00AD59E0">
              <w:rPr>
                <w:rFonts w:cs="Times New Roman"/>
                <w:color w:val="000000"/>
                <w:sz w:val="22"/>
              </w:rPr>
              <w:t>0.16</w:t>
            </w:r>
          </w:p>
        </w:tc>
        <w:tc>
          <w:tcPr>
            <w:tcW w:w="822" w:type="pct"/>
            <w:tcBorders>
              <w:left w:val="single" w:sz="4" w:space="0" w:color="auto"/>
            </w:tcBorders>
          </w:tcPr>
          <w:p w14:paraId="0776C9F8" w14:textId="77777777" w:rsidR="001E06EA" w:rsidRPr="00AD59E0" w:rsidRDefault="001E06EA" w:rsidP="001E06EA">
            <w:pPr>
              <w:jc w:val="center"/>
              <w:rPr>
                <w:rFonts w:cs="Times New Roman"/>
                <w:sz w:val="22"/>
              </w:rPr>
            </w:pPr>
          </w:p>
        </w:tc>
        <w:tc>
          <w:tcPr>
            <w:tcW w:w="722" w:type="pct"/>
            <w:tcBorders>
              <w:right w:val="single" w:sz="4" w:space="0" w:color="auto"/>
            </w:tcBorders>
          </w:tcPr>
          <w:p w14:paraId="732ED561" w14:textId="77777777" w:rsidR="001E06EA" w:rsidRPr="00AD59E0" w:rsidRDefault="001E06EA" w:rsidP="001E06EA">
            <w:pPr>
              <w:jc w:val="center"/>
              <w:rPr>
                <w:rFonts w:cs="Times New Roman"/>
                <w:sz w:val="22"/>
              </w:rPr>
            </w:pPr>
          </w:p>
        </w:tc>
        <w:tc>
          <w:tcPr>
            <w:tcW w:w="811" w:type="pct"/>
            <w:tcBorders>
              <w:left w:val="single" w:sz="4" w:space="0" w:color="auto"/>
            </w:tcBorders>
          </w:tcPr>
          <w:p w14:paraId="66BCE378" w14:textId="77777777" w:rsidR="001E06EA" w:rsidRPr="00AD59E0" w:rsidRDefault="001E06EA" w:rsidP="001E06EA">
            <w:pPr>
              <w:jc w:val="center"/>
              <w:rPr>
                <w:rFonts w:cs="Times New Roman"/>
                <w:b/>
                <w:sz w:val="22"/>
              </w:rPr>
            </w:pPr>
          </w:p>
        </w:tc>
      </w:tr>
      <w:tr w:rsidR="00A72941" w:rsidRPr="00AD59E0" w14:paraId="6AEA2648" w14:textId="77777777" w:rsidTr="00A72941">
        <w:tc>
          <w:tcPr>
            <w:tcW w:w="1203" w:type="pct"/>
            <w:tcBorders>
              <w:right w:val="single" w:sz="4" w:space="0" w:color="auto"/>
            </w:tcBorders>
            <w:vAlign w:val="center"/>
          </w:tcPr>
          <w:p w14:paraId="77DBE0EE" w14:textId="524DAD66" w:rsidR="00A72941" w:rsidRPr="00AD59E0" w:rsidRDefault="00A72941" w:rsidP="00A72941">
            <w:pPr>
              <w:rPr>
                <w:rFonts w:cs="Times New Roman"/>
                <w:i/>
                <w:sz w:val="22"/>
              </w:rPr>
            </w:pPr>
            <w:r w:rsidRPr="00AD59E0">
              <w:rPr>
                <w:rFonts w:cs="Times New Roman"/>
                <w:i/>
                <w:color w:val="000000"/>
                <w:sz w:val="22"/>
              </w:rPr>
              <w:t>sar1</w:t>
            </w:r>
          </w:p>
        </w:tc>
        <w:tc>
          <w:tcPr>
            <w:tcW w:w="769" w:type="pct"/>
            <w:tcBorders>
              <w:left w:val="single" w:sz="4" w:space="0" w:color="auto"/>
            </w:tcBorders>
            <w:vAlign w:val="center"/>
          </w:tcPr>
          <w:p w14:paraId="49511574" w14:textId="5FC0BC1C" w:rsidR="00A72941" w:rsidRPr="00AD59E0" w:rsidRDefault="00A72941" w:rsidP="001E06EA">
            <w:pPr>
              <w:jc w:val="center"/>
              <w:rPr>
                <w:rFonts w:cs="Times New Roman"/>
                <w:sz w:val="22"/>
              </w:rPr>
            </w:pPr>
          </w:p>
        </w:tc>
        <w:tc>
          <w:tcPr>
            <w:tcW w:w="673" w:type="pct"/>
            <w:tcBorders>
              <w:right w:val="single" w:sz="4" w:space="0" w:color="auto"/>
            </w:tcBorders>
            <w:vAlign w:val="center"/>
          </w:tcPr>
          <w:p w14:paraId="46B0DAE2" w14:textId="1AA8FB63" w:rsidR="00A72941" w:rsidRPr="00AD59E0" w:rsidRDefault="00A72941" w:rsidP="001E06EA">
            <w:pPr>
              <w:jc w:val="center"/>
              <w:rPr>
                <w:rFonts w:cs="Times New Roman"/>
                <w:sz w:val="22"/>
              </w:rPr>
            </w:pPr>
          </w:p>
        </w:tc>
        <w:tc>
          <w:tcPr>
            <w:tcW w:w="822" w:type="pct"/>
            <w:tcBorders>
              <w:left w:val="single" w:sz="4" w:space="0" w:color="auto"/>
            </w:tcBorders>
            <w:vAlign w:val="center"/>
          </w:tcPr>
          <w:p w14:paraId="09C9DE7B" w14:textId="6149E7CD" w:rsidR="00A72941" w:rsidRPr="00AD59E0" w:rsidRDefault="00A72941" w:rsidP="00A72941">
            <w:pPr>
              <w:jc w:val="center"/>
              <w:rPr>
                <w:rFonts w:cs="Times New Roman"/>
                <w:sz w:val="22"/>
              </w:rPr>
            </w:pPr>
            <w:r w:rsidRPr="00AD59E0">
              <w:rPr>
                <w:rFonts w:cs="Times New Roman"/>
                <w:color w:val="000000"/>
                <w:sz w:val="22"/>
              </w:rPr>
              <w:t>-13.71%**</w:t>
            </w:r>
          </w:p>
        </w:tc>
        <w:tc>
          <w:tcPr>
            <w:tcW w:w="722" w:type="pct"/>
            <w:tcBorders>
              <w:right w:val="single" w:sz="4" w:space="0" w:color="auto"/>
            </w:tcBorders>
            <w:vAlign w:val="center"/>
          </w:tcPr>
          <w:p w14:paraId="2068C803" w14:textId="74F57C7D" w:rsidR="00A72941" w:rsidRPr="00AD59E0" w:rsidRDefault="00A72941" w:rsidP="00A72941">
            <w:pPr>
              <w:jc w:val="center"/>
              <w:rPr>
                <w:rFonts w:cs="Times New Roman"/>
                <w:sz w:val="22"/>
              </w:rPr>
            </w:pPr>
            <w:r w:rsidRPr="00AD59E0">
              <w:rPr>
                <w:rFonts w:cs="Times New Roman"/>
                <w:color w:val="000000"/>
                <w:sz w:val="22"/>
              </w:rPr>
              <w:t>0.07</w:t>
            </w:r>
          </w:p>
        </w:tc>
        <w:tc>
          <w:tcPr>
            <w:tcW w:w="811" w:type="pct"/>
            <w:tcBorders>
              <w:left w:val="single" w:sz="4" w:space="0" w:color="auto"/>
            </w:tcBorders>
          </w:tcPr>
          <w:p w14:paraId="6ECDDED3" w14:textId="77777777" w:rsidR="00A72941" w:rsidRPr="00AD59E0" w:rsidRDefault="00A72941" w:rsidP="00A72941">
            <w:pPr>
              <w:jc w:val="center"/>
              <w:rPr>
                <w:rFonts w:cs="Times New Roman"/>
                <w:b/>
                <w:sz w:val="22"/>
              </w:rPr>
            </w:pPr>
          </w:p>
        </w:tc>
      </w:tr>
      <w:tr w:rsidR="00A72941" w:rsidRPr="00AD59E0" w14:paraId="1229A308" w14:textId="77777777" w:rsidTr="00A72941">
        <w:tc>
          <w:tcPr>
            <w:tcW w:w="1203" w:type="pct"/>
            <w:tcBorders>
              <w:right w:val="single" w:sz="4" w:space="0" w:color="auto"/>
            </w:tcBorders>
            <w:vAlign w:val="center"/>
          </w:tcPr>
          <w:p w14:paraId="626A3391" w14:textId="1774FFC8" w:rsidR="00A72941" w:rsidRPr="00AD59E0" w:rsidRDefault="00A72941" w:rsidP="00A72941">
            <w:pPr>
              <w:rPr>
                <w:rFonts w:cs="Times New Roman"/>
                <w:i/>
                <w:sz w:val="22"/>
              </w:rPr>
            </w:pPr>
            <w:r w:rsidRPr="00AD59E0">
              <w:rPr>
                <w:rFonts w:cs="Times New Roman"/>
                <w:i/>
                <w:color w:val="000000"/>
                <w:sz w:val="22"/>
              </w:rPr>
              <w:t>intercept</w:t>
            </w:r>
          </w:p>
        </w:tc>
        <w:tc>
          <w:tcPr>
            <w:tcW w:w="769" w:type="pct"/>
            <w:tcBorders>
              <w:left w:val="single" w:sz="4" w:space="0" w:color="auto"/>
            </w:tcBorders>
            <w:vAlign w:val="center"/>
          </w:tcPr>
          <w:p w14:paraId="1F4937B1" w14:textId="391A0F3D" w:rsidR="00A72941" w:rsidRPr="00AD59E0" w:rsidRDefault="00A72941" w:rsidP="001E06EA">
            <w:pPr>
              <w:jc w:val="center"/>
              <w:rPr>
                <w:rFonts w:cs="Times New Roman"/>
                <w:sz w:val="22"/>
              </w:rPr>
            </w:pPr>
          </w:p>
        </w:tc>
        <w:tc>
          <w:tcPr>
            <w:tcW w:w="673" w:type="pct"/>
            <w:tcBorders>
              <w:right w:val="single" w:sz="4" w:space="0" w:color="auto"/>
            </w:tcBorders>
            <w:vAlign w:val="center"/>
          </w:tcPr>
          <w:p w14:paraId="56EA37FF" w14:textId="7FFD7262" w:rsidR="00A72941" w:rsidRPr="00AD59E0" w:rsidRDefault="00A72941" w:rsidP="001E06EA">
            <w:pPr>
              <w:jc w:val="center"/>
              <w:rPr>
                <w:rFonts w:cs="Times New Roman"/>
                <w:sz w:val="22"/>
              </w:rPr>
            </w:pPr>
          </w:p>
        </w:tc>
        <w:tc>
          <w:tcPr>
            <w:tcW w:w="822" w:type="pct"/>
            <w:tcBorders>
              <w:left w:val="single" w:sz="4" w:space="0" w:color="auto"/>
            </w:tcBorders>
            <w:vAlign w:val="center"/>
          </w:tcPr>
          <w:p w14:paraId="72732267" w14:textId="1D7CCA10" w:rsidR="00A72941" w:rsidRPr="00AD59E0" w:rsidRDefault="00A72941" w:rsidP="00A72941">
            <w:pPr>
              <w:jc w:val="center"/>
              <w:rPr>
                <w:rFonts w:cs="Times New Roman"/>
                <w:sz w:val="22"/>
              </w:rPr>
            </w:pPr>
            <w:r w:rsidRPr="00AD59E0">
              <w:rPr>
                <w:rFonts w:cs="Times New Roman"/>
                <w:color w:val="000000"/>
                <w:sz w:val="22"/>
              </w:rPr>
              <w:t>0.93%***</w:t>
            </w:r>
          </w:p>
        </w:tc>
        <w:tc>
          <w:tcPr>
            <w:tcW w:w="722" w:type="pct"/>
            <w:tcBorders>
              <w:right w:val="single" w:sz="4" w:space="0" w:color="auto"/>
            </w:tcBorders>
            <w:vAlign w:val="center"/>
          </w:tcPr>
          <w:p w14:paraId="45FBB16B" w14:textId="37C777E5" w:rsidR="00A72941" w:rsidRPr="00AD59E0" w:rsidRDefault="00A72941" w:rsidP="00A72941">
            <w:pPr>
              <w:jc w:val="center"/>
              <w:rPr>
                <w:rFonts w:cs="Times New Roman"/>
                <w:sz w:val="22"/>
              </w:rPr>
            </w:pPr>
            <w:r w:rsidRPr="00AD59E0">
              <w:rPr>
                <w:rFonts w:cs="Times New Roman"/>
                <w:color w:val="000000"/>
                <w:sz w:val="22"/>
              </w:rPr>
              <w:t>0.00</w:t>
            </w:r>
            <w:r w:rsidR="00CD2636" w:rsidRPr="00AD59E0">
              <w:rPr>
                <w:rFonts w:cs="Times New Roman"/>
                <w:color w:val="000000"/>
                <w:sz w:val="22"/>
              </w:rPr>
              <w:t>2</w:t>
            </w:r>
          </w:p>
        </w:tc>
        <w:tc>
          <w:tcPr>
            <w:tcW w:w="811" w:type="pct"/>
            <w:tcBorders>
              <w:left w:val="single" w:sz="4" w:space="0" w:color="auto"/>
            </w:tcBorders>
          </w:tcPr>
          <w:p w14:paraId="63D23434" w14:textId="77777777" w:rsidR="00A72941" w:rsidRPr="00AD59E0" w:rsidRDefault="00A72941" w:rsidP="00A72941">
            <w:pPr>
              <w:jc w:val="center"/>
              <w:rPr>
                <w:rFonts w:cs="Times New Roman"/>
                <w:b/>
                <w:sz w:val="22"/>
              </w:rPr>
            </w:pPr>
          </w:p>
        </w:tc>
      </w:tr>
      <w:tr w:rsidR="00A72941" w:rsidRPr="00AD59E0" w14:paraId="638831C1" w14:textId="77777777" w:rsidTr="00A72941">
        <w:tc>
          <w:tcPr>
            <w:tcW w:w="1203" w:type="pct"/>
            <w:tcBorders>
              <w:bottom w:val="single" w:sz="4" w:space="0" w:color="auto"/>
              <w:right w:val="single" w:sz="4" w:space="0" w:color="auto"/>
            </w:tcBorders>
            <w:vAlign w:val="center"/>
          </w:tcPr>
          <w:p w14:paraId="62603236" w14:textId="256BCEB3" w:rsidR="00A72941" w:rsidRPr="00AD59E0" w:rsidRDefault="00A72941" w:rsidP="00A72941">
            <w:pPr>
              <w:rPr>
                <w:rFonts w:cs="Times New Roman"/>
                <w:sz w:val="22"/>
              </w:rPr>
            </w:pPr>
          </w:p>
        </w:tc>
        <w:tc>
          <w:tcPr>
            <w:tcW w:w="769" w:type="pct"/>
            <w:tcBorders>
              <w:left w:val="single" w:sz="4" w:space="0" w:color="auto"/>
              <w:bottom w:val="single" w:sz="4" w:space="0" w:color="auto"/>
            </w:tcBorders>
            <w:vAlign w:val="center"/>
          </w:tcPr>
          <w:p w14:paraId="1F732653" w14:textId="1FB6085E" w:rsidR="00A72941" w:rsidRPr="00AD59E0" w:rsidRDefault="00A72941" w:rsidP="001E06EA">
            <w:pPr>
              <w:jc w:val="center"/>
              <w:rPr>
                <w:rFonts w:cs="Times New Roman"/>
                <w:sz w:val="22"/>
              </w:rPr>
            </w:pPr>
          </w:p>
        </w:tc>
        <w:tc>
          <w:tcPr>
            <w:tcW w:w="673" w:type="pct"/>
            <w:tcBorders>
              <w:bottom w:val="single" w:sz="4" w:space="0" w:color="auto"/>
              <w:right w:val="single" w:sz="4" w:space="0" w:color="auto"/>
            </w:tcBorders>
            <w:vAlign w:val="center"/>
          </w:tcPr>
          <w:p w14:paraId="1F91F66D" w14:textId="7A1C0343" w:rsidR="00A72941" w:rsidRPr="00AD59E0" w:rsidRDefault="00A72941" w:rsidP="001E06EA">
            <w:pPr>
              <w:jc w:val="center"/>
              <w:rPr>
                <w:rFonts w:cs="Times New Roman"/>
                <w:sz w:val="22"/>
              </w:rPr>
            </w:pPr>
          </w:p>
        </w:tc>
        <w:tc>
          <w:tcPr>
            <w:tcW w:w="822" w:type="pct"/>
            <w:tcBorders>
              <w:left w:val="single" w:sz="4" w:space="0" w:color="auto"/>
              <w:bottom w:val="single" w:sz="4" w:space="0" w:color="auto"/>
            </w:tcBorders>
          </w:tcPr>
          <w:p w14:paraId="3DA776E2" w14:textId="77777777" w:rsidR="00A72941" w:rsidRPr="00AD59E0" w:rsidRDefault="00A72941" w:rsidP="00A72941">
            <w:pPr>
              <w:jc w:val="center"/>
              <w:rPr>
                <w:rFonts w:cs="Times New Roman"/>
                <w:sz w:val="22"/>
              </w:rPr>
            </w:pPr>
          </w:p>
        </w:tc>
        <w:tc>
          <w:tcPr>
            <w:tcW w:w="722" w:type="pct"/>
            <w:tcBorders>
              <w:bottom w:val="single" w:sz="4" w:space="0" w:color="auto"/>
              <w:right w:val="single" w:sz="4" w:space="0" w:color="auto"/>
            </w:tcBorders>
          </w:tcPr>
          <w:p w14:paraId="5C889A49" w14:textId="77777777" w:rsidR="00A72941" w:rsidRPr="00AD59E0" w:rsidRDefault="00A72941" w:rsidP="00A72941">
            <w:pPr>
              <w:jc w:val="center"/>
              <w:rPr>
                <w:rFonts w:cs="Times New Roman"/>
                <w:sz w:val="22"/>
              </w:rPr>
            </w:pPr>
          </w:p>
        </w:tc>
        <w:tc>
          <w:tcPr>
            <w:tcW w:w="811" w:type="pct"/>
            <w:tcBorders>
              <w:left w:val="single" w:sz="4" w:space="0" w:color="auto"/>
              <w:bottom w:val="single" w:sz="4" w:space="0" w:color="auto"/>
            </w:tcBorders>
          </w:tcPr>
          <w:p w14:paraId="7F93C8B8" w14:textId="77777777" w:rsidR="00A72941" w:rsidRPr="00AD59E0" w:rsidRDefault="00A72941" w:rsidP="00A72941">
            <w:pPr>
              <w:jc w:val="center"/>
              <w:rPr>
                <w:rFonts w:cs="Times New Roman"/>
                <w:b/>
                <w:sz w:val="22"/>
              </w:rPr>
            </w:pPr>
          </w:p>
        </w:tc>
      </w:tr>
      <w:tr w:rsidR="00A72941" w:rsidRPr="00AD59E0" w14:paraId="0FC24DC2" w14:textId="77777777" w:rsidTr="00A72941">
        <w:tc>
          <w:tcPr>
            <w:tcW w:w="1203" w:type="pct"/>
            <w:tcBorders>
              <w:top w:val="single" w:sz="4" w:space="0" w:color="auto"/>
              <w:right w:val="single" w:sz="4" w:space="0" w:color="auto"/>
            </w:tcBorders>
            <w:vAlign w:val="center"/>
          </w:tcPr>
          <w:p w14:paraId="69B20533" w14:textId="618BCCE7" w:rsidR="00A72941" w:rsidRPr="00AD59E0" w:rsidRDefault="00A72941" w:rsidP="00A72941">
            <w:pPr>
              <w:rPr>
                <w:rFonts w:cs="Times New Roman"/>
                <w:sz w:val="22"/>
              </w:rPr>
            </w:pPr>
            <w:r w:rsidRPr="00AD59E0">
              <w:rPr>
                <w:rFonts w:cs="Times New Roman"/>
                <w:sz w:val="22"/>
              </w:rPr>
              <w:t>Observations</w:t>
            </w:r>
          </w:p>
        </w:tc>
        <w:tc>
          <w:tcPr>
            <w:tcW w:w="1442" w:type="pct"/>
            <w:gridSpan w:val="2"/>
            <w:tcBorders>
              <w:top w:val="single" w:sz="4" w:space="0" w:color="auto"/>
              <w:left w:val="single" w:sz="4" w:space="0" w:color="auto"/>
              <w:right w:val="single" w:sz="4" w:space="0" w:color="auto"/>
            </w:tcBorders>
            <w:vAlign w:val="center"/>
          </w:tcPr>
          <w:p w14:paraId="2407C02E" w14:textId="78AD9EE5" w:rsidR="00A72941" w:rsidRPr="00AD59E0" w:rsidRDefault="00A72941" w:rsidP="00A72941">
            <w:pPr>
              <w:jc w:val="center"/>
              <w:rPr>
                <w:rFonts w:cs="Times New Roman"/>
                <w:sz w:val="22"/>
              </w:rPr>
            </w:pPr>
            <w:r w:rsidRPr="00AD59E0">
              <w:rPr>
                <w:rFonts w:cs="Times New Roman"/>
                <w:sz w:val="22"/>
              </w:rPr>
              <w:t>216</w:t>
            </w:r>
          </w:p>
        </w:tc>
        <w:tc>
          <w:tcPr>
            <w:tcW w:w="1544" w:type="pct"/>
            <w:gridSpan w:val="2"/>
            <w:tcBorders>
              <w:top w:val="single" w:sz="4" w:space="0" w:color="auto"/>
              <w:left w:val="single" w:sz="4" w:space="0" w:color="auto"/>
              <w:right w:val="single" w:sz="4" w:space="0" w:color="auto"/>
            </w:tcBorders>
            <w:vAlign w:val="center"/>
          </w:tcPr>
          <w:p w14:paraId="2188C235" w14:textId="7D9D6972" w:rsidR="00A72941" w:rsidRPr="00AD59E0" w:rsidRDefault="00A72941" w:rsidP="00A72941">
            <w:pPr>
              <w:jc w:val="center"/>
              <w:rPr>
                <w:rFonts w:cs="Times New Roman"/>
                <w:sz w:val="22"/>
              </w:rPr>
            </w:pPr>
            <w:r w:rsidRPr="00AD59E0">
              <w:rPr>
                <w:rFonts w:cs="Times New Roman"/>
                <w:sz w:val="22"/>
              </w:rPr>
              <w:t>216</w:t>
            </w:r>
          </w:p>
        </w:tc>
        <w:tc>
          <w:tcPr>
            <w:tcW w:w="811" w:type="pct"/>
            <w:tcBorders>
              <w:top w:val="single" w:sz="4" w:space="0" w:color="auto"/>
              <w:left w:val="single" w:sz="4" w:space="0" w:color="auto"/>
            </w:tcBorders>
          </w:tcPr>
          <w:p w14:paraId="168F3A75" w14:textId="77777777" w:rsidR="00A72941" w:rsidRPr="00AD59E0" w:rsidRDefault="00A72941" w:rsidP="00A72941">
            <w:pPr>
              <w:rPr>
                <w:rFonts w:cs="Times New Roman"/>
                <w:b/>
                <w:sz w:val="22"/>
              </w:rPr>
            </w:pPr>
          </w:p>
        </w:tc>
      </w:tr>
      <w:tr w:rsidR="00A72941" w:rsidRPr="00AD59E0" w14:paraId="6BF0C09C" w14:textId="77777777" w:rsidTr="00A72941">
        <w:tc>
          <w:tcPr>
            <w:tcW w:w="1203" w:type="pct"/>
            <w:tcBorders>
              <w:right w:val="single" w:sz="4" w:space="0" w:color="auto"/>
            </w:tcBorders>
            <w:vAlign w:val="center"/>
          </w:tcPr>
          <w:p w14:paraId="4644774D" w14:textId="5B5CB5FF" w:rsidR="00A72941" w:rsidRPr="00AD59E0" w:rsidRDefault="00A72941" w:rsidP="00A72941">
            <w:pPr>
              <w:rPr>
                <w:rFonts w:cs="Times New Roman"/>
                <w:sz w:val="22"/>
              </w:rPr>
            </w:pPr>
            <w:r w:rsidRPr="00AD59E0">
              <w:rPr>
                <w:rFonts w:cs="Times New Roman"/>
                <w:sz w:val="22"/>
              </w:rPr>
              <w:t>Order</w:t>
            </w:r>
          </w:p>
        </w:tc>
        <w:tc>
          <w:tcPr>
            <w:tcW w:w="1442" w:type="pct"/>
            <w:gridSpan w:val="2"/>
            <w:tcBorders>
              <w:left w:val="single" w:sz="4" w:space="0" w:color="auto"/>
              <w:right w:val="single" w:sz="4" w:space="0" w:color="auto"/>
            </w:tcBorders>
            <w:vAlign w:val="center"/>
          </w:tcPr>
          <w:p w14:paraId="4BA1A2DB" w14:textId="637EC1EF" w:rsidR="00A72941" w:rsidRPr="00AD59E0" w:rsidRDefault="00A72941" w:rsidP="00A72941">
            <w:pPr>
              <w:jc w:val="center"/>
              <w:rPr>
                <w:rFonts w:cs="Times New Roman"/>
                <w:sz w:val="22"/>
              </w:rPr>
            </w:pPr>
            <w:r w:rsidRPr="00AD59E0">
              <w:rPr>
                <w:rFonts w:cs="Times New Roman"/>
                <w:sz w:val="22"/>
              </w:rPr>
              <w:t>(</w:t>
            </w:r>
            <w:r w:rsidR="006874A2">
              <w:rPr>
                <w:rFonts w:cs="Times New Roman"/>
                <w:sz w:val="22"/>
              </w:rPr>
              <w:t>6,1,1)</w:t>
            </w:r>
          </w:p>
        </w:tc>
        <w:tc>
          <w:tcPr>
            <w:tcW w:w="1544" w:type="pct"/>
            <w:gridSpan w:val="2"/>
            <w:tcBorders>
              <w:left w:val="single" w:sz="4" w:space="0" w:color="auto"/>
              <w:right w:val="single" w:sz="4" w:space="0" w:color="auto"/>
            </w:tcBorders>
            <w:vAlign w:val="center"/>
          </w:tcPr>
          <w:p w14:paraId="12F19C41" w14:textId="330831EA" w:rsidR="00A72941" w:rsidRPr="00AD59E0" w:rsidRDefault="00A72941" w:rsidP="00A72941">
            <w:pPr>
              <w:jc w:val="center"/>
              <w:rPr>
                <w:rFonts w:cs="Times New Roman"/>
                <w:sz w:val="22"/>
              </w:rPr>
            </w:pPr>
            <w:r w:rsidRPr="00AD59E0">
              <w:rPr>
                <w:rFonts w:cs="Times New Roman"/>
                <w:sz w:val="22"/>
              </w:rPr>
              <w:t>(0,0,0)(1,0,0)</w:t>
            </w:r>
            <w:r w:rsidRPr="00AD59E0">
              <w:rPr>
                <w:rFonts w:cs="Times New Roman"/>
                <w:sz w:val="22"/>
                <w:vertAlign w:val="subscript"/>
              </w:rPr>
              <w:t>[12]</w:t>
            </w:r>
          </w:p>
        </w:tc>
        <w:tc>
          <w:tcPr>
            <w:tcW w:w="811" w:type="pct"/>
            <w:tcBorders>
              <w:left w:val="single" w:sz="4" w:space="0" w:color="auto"/>
            </w:tcBorders>
          </w:tcPr>
          <w:p w14:paraId="5A042448" w14:textId="77777777" w:rsidR="00A72941" w:rsidRPr="00AD59E0" w:rsidRDefault="00A72941" w:rsidP="00A72941">
            <w:pPr>
              <w:rPr>
                <w:rFonts w:cs="Times New Roman"/>
                <w:b/>
                <w:sz w:val="22"/>
              </w:rPr>
            </w:pPr>
          </w:p>
        </w:tc>
      </w:tr>
      <w:tr w:rsidR="00A72941" w:rsidRPr="00AD59E0" w14:paraId="64E91BC8" w14:textId="77777777" w:rsidTr="00A72941">
        <w:tc>
          <w:tcPr>
            <w:tcW w:w="1203" w:type="pct"/>
            <w:tcBorders>
              <w:right w:val="single" w:sz="4" w:space="0" w:color="auto"/>
            </w:tcBorders>
            <w:vAlign w:val="center"/>
          </w:tcPr>
          <w:p w14:paraId="69E3EE85" w14:textId="1A72E7EF" w:rsidR="00A72941" w:rsidRPr="00AD59E0" w:rsidRDefault="00A72941" w:rsidP="00A72941">
            <w:pPr>
              <w:rPr>
                <w:rFonts w:cs="Times New Roman"/>
                <w:sz w:val="22"/>
              </w:rPr>
            </w:pPr>
            <w:r w:rsidRPr="00AD59E0">
              <w:rPr>
                <w:rFonts w:cs="Times New Roman"/>
                <w:sz w:val="22"/>
              </w:rPr>
              <w:t>Ljung Box-test (h=24)</w:t>
            </w:r>
          </w:p>
        </w:tc>
        <w:tc>
          <w:tcPr>
            <w:tcW w:w="1442" w:type="pct"/>
            <w:gridSpan w:val="2"/>
            <w:tcBorders>
              <w:left w:val="single" w:sz="4" w:space="0" w:color="auto"/>
              <w:right w:val="single" w:sz="4" w:space="0" w:color="auto"/>
            </w:tcBorders>
            <w:vAlign w:val="center"/>
          </w:tcPr>
          <w:p w14:paraId="68425947" w14:textId="3B180E84" w:rsidR="00A72941" w:rsidRPr="00AD59E0" w:rsidRDefault="00A72941" w:rsidP="00A72941">
            <w:pPr>
              <w:jc w:val="center"/>
              <w:rPr>
                <w:rFonts w:cs="Times New Roman"/>
                <w:sz w:val="22"/>
              </w:rPr>
            </w:pPr>
            <w:r w:rsidRPr="00AD59E0">
              <w:rPr>
                <w:rFonts w:cs="Times New Roman"/>
                <w:sz w:val="22"/>
              </w:rPr>
              <w:t>.</w:t>
            </w:r>
            <w:r w:rsidR="006874A2">
              <w:rPr>
                <w:rFonts w:cs="Times New Roman"/>
                <w:sz w:val="22"/>
              </w:rPr>
              <w:t>54</w:t>
            </w:r>
          </w:p>
        </w:tc>
        <w:tc>
          <w:tcPr>
            <w:tcW w:w="1544" w:type="pct"/>
            <w:gridSpan w:val="2"/>
            <w:tcBorders>
              <w:left w:val="single" w:sz="4" w:space="0" w:color="auto"/>
              <w:right w:val="single" w:sz="4" w:space="0" w:color="auto"/>
            </w:tcBorders>
            <w:vAlign w:val="center"/>
          </w:tcPr>
          <w:p w14:paraId="5467E763" w14:textId="08224865" w:rsidR="00A72941" w:rsidRPr="00AD59E0" w:rsidRDefault="00A72941" w:rsidP="00A72941">
            <w:pPr>
              <w:jc w:val="center"/>
              <w:rPr>
                <w:rFonts w:cs="Times New Roman"/>
                <w:sz w:val="22"/>
              </w:rPr>
            </w:pPr>
            <w:r w:rsidRPr="00AD59E0">
              <w:rPr>
                <w:rFonts w:cs="Times New Roman"/>
                <w:sz w:val="22"/>
              </w:rPr>
              <w:t>.97</w:t>
            </w:r>
          </w:p>
        </w:tc>
        <w:tc>
          <w:tcPr>
            <w:tcW w:w="811" w:type="pct"/>
            <w:tcBorders>
              <w:left w:val="single" w:sz="4" w:space="0" w:color="auto"/>
            </w:tcBorders>
          </w:tcPr>
          <w:p w14:paraId="31249EB4" w14:textId="77777777" w:rsidR="00A72941" w:rsidRPr="00AD59E0" w:rsidRDefault="00A72941" w:rsidP="00A72941">
            <w:pPr>
              <w:rPr>
                <w:rFonts w:cs="Times New Roman"/>
                <w:b/>
                <w:sz w:val="22"/>
              </w:rPr>
            </w:pPr>
          </w:p>
        </w:tc>
      </w:tr>
      <w:tr w:rsidR="00A72941" w:rsidRPr="00AD59E0" w14:paraId="70A7E8FF" w14:textId="77777777" w:rsidTr="00A72941">
        <w:tc>
          <w:tcPr>
            <w:tcW w:w="1203" w:type="pct"/>
            <w:tcBorders>
              <w:right w:val="single" w:sz="4" w:space="0" w:color="auto"/>
            </w:tcBorders>
            <w:vAlign w:val="center"/>
          </w:tcPr>
          <w:p w14:paraId="2A6BE651" w14:textId="51979C99" w:rsidR="00A72941" w:rsidRPr="00AD59E0" w:rsidRDefault="00A72941" w:rsidP="00A72941">
            <w:pPr>
              <w:rPr>
                <w:rFonts w:cs="Times New Roman"/>
                <w:sz w:val="22"/>
              </w:rPr>
            </w:pPr>
            <w:r w:rsidRPr="00AD59E0">
              <w:rPr>
                <w:rFonts w:cs="Times New Roman"/>
                <w:sz w:val="22"/>
              </w:rPr>
              <w:t>AIC</w:t>
            </w:r>
          </w:p>
        </w:tc>
        <w:tc>
          <w:tcPr>
            <w:tcW w:w="1442" w:type="pct"/>
            <w:gridSpan w:val="2"/>
            <w:tcBorders>
              <w:left w:val="single" w:sz="4" w:space="0" w:color="auto"/>
              <w:right w:val="single" w:sz="4" w:space="0" w:color="auto"/>
            </w:tcBorders>
            <w:vAlign w:val="center"/>
          </w:tcPr>
          <w:p w14:paraId="086F8D24" w14:textId="1BD17921" w:rsidR="00A72941" w:rsidRPr="00AD59E0" w:rsidRDefault="00A72941" w:rsidP="00A72941">
            <w:pPr>
              <w:jc w:val="center"/>
              <w:rPr>
                <w:rFonts w:cs="Times New Roman"/>
                <w:sz w:val="22"/>
              </w:rPr>
            </w:pPr>
            <w:r w:rsidRPr="00AD59E0">
              <w:rPr>
                <w:rFonts w:cs="Times New Roman"/>
                <w:sz w:val="22"/>
              </w:rPr>
              <w:t>-109</w:t>
            </w:r>
            <w:r w:rsidR="006874A2">
              <w:rPr>
                <w:rFonts w:cs="Times New Roman"/>
                <w:sz w:val="22"/>
              </w:rPr>
              <w:t>1.37</w:t>
            </w:r>
          </w:p>
        </w:tc>
        <w:tc>
          <w:tcPr>
            <w:tcW w:w="1544" w:type="pct"/>
            <w:gridSpan w:val="2"/>
            <w:tcBorders>
              <w:left w:val="single" w:sz="4" w:space="0" w:color="auto"/>
              <w:right w:val="single" w:sz="4" w:space="0" w:color="auto"/>
            </w:tcBorders>
            <w:vAlign w:val="center"/>
          </w:tcPr>
          <w:p w14:paraId="3A865E24" w14:textId="10219E6F" w:rsidR="00A72941" w:rsidRPr="00AD59E0" w:rsidRDefault="00A72941" w:rsidP="00A72941">
            <w:pPr>
              <w:jc w:val="center"/>
              <w:rPr>
                <w:rFonts w:cs="Times New Roman"/>
                <w:sz w:val="22"/>
              </w:rPr>
            </w:pPr>
            <w:r w:rsidRPr="00AD59E0">
              <w:rPr>
                <w:rFonts w:cs="Times New Roman"/>
                <w:sz w:val="22"/>
              </w:rPr>
              <w:t>-1282.35</w:t>
            </w:r>
          </w:p>
        </w:tc>
        <w:tc>
          <w:tcPr>
            <w:tcW w:w="811" w:type="pct"/>
            <w:tcBorders>
              <w:left w:val="single" w:sz="4" w:space="0" w:color="auto"/>
            </w:tcBorders>
          </w:tcPr>
          <w:p w14:paraId="4FD67088" w14:textId="77777777" w:rsidR="00A72941" w:rsidRPr="00AD59E0" w:rsidRDefault="00A72941" w:rsidP="00A72941">
            <w:pPr>
              <w:rPr>
                <w:rFonts w:cs="Times New Roman"/>
                <w:b/>
                <w:sz w:val="22"/>
              </w:rPr>
            </w:pPr>
          </w:p>
        </w:tc>
      </w:tr>
    </w:tbl>
    <w:p w14:paraId="084F9A8C" w14:textId="4327DC79" w:rsidR="00096974" w:rsidRPr="00F02823" w:rsidRDefault="00F7531C" w:rsidP="0087520C">
      <w:pPr>
        <w:spacing w:after="0" w:line="480" w:lineRule="auto"/>
        <w:rPr>
          <w:sz w:val="20"/>
          <w:szCs w:val="20"/>
        </w:rPr>
      </w:pPr>
      <w:r>
        <w:rPr>
          <w:sz w:val="20"/>
          <w:szCs w:val="20"/>
        </w:rPr>
        <w:t xml:space="preserve">*** Significant at the 1% level; ** Significant at the 5% level; * Significant at the 10% level </w:t>
      </w:r>
    </w:p>
    <w:p w14:paraId="54523736" w14:textId="246F21EF" w:rsidR="003B4C94" w:rsidRDefault="00C63341" w:rsidP="002D2C24">
      <w:pPr>
        <w:keepNext/>
        <w:spacing w:after="0" w:line="480" w:lineRule="auto"/>
        <w:ind w:firstLine="720"/>
        <w:rPr>
          <w:b/>
          <w:iCs/>
          <w:color w:val="000000" w:themeColor="text1"/>
          <w:szCs w:val="24"/>
        </w:rPr>
      </w:pPr>
      <w:r>
        <w:t>The fourth column titled “</w:t>
      </w:r>
      <w:r w:rsidRPr="00C63341">
        <w:t>|M(1)| - |M(2)|</w:t>
      </w:r>
      <w:r>
        <w:t>” displays the value of the absolute value of the coefficients on the month dummies in M(2) subtracted from the absolute value of the coefficients on the month dummies in M(1</w:t>
      </w:r>
      <w:r w:rsidR="001E399F">
        <w:t>). The resulting values in this column indicate that the</w:t>
      </w:r>
      <w:r w:rsidR="004E7DD2">
        <w:t xml:space="preserve"> magnitude o</w:t>
      </w:r>
      <w:r w:rsidR="00227577">
        <w:t xml:space="preserve">f the January effect appears to have declined for </w:t>
      </w:r>
      <w:r w:rsidR="001E399F">
        <w:t>investment grade</w:t>
      </w:r>
      <w:r w:rsidR="00227577">
        <w:t xml:space="preserve"> municipal </w:t>
      </w:r>
      <w:r w:rsidR="0037759B">
        <w:t>bonds</w:t>
      </w:r>
      <w:r w:rsidR="00F514C6">
        <w:t xml:space="preserve">. </w:t>
      </w:r>
      <w:r w:rsidR="005E77C8">
        <w:t>For instance, during 1982-1999, the return in the month of January, on average, was 2.5</w:t>
      </w:r>
      <w:r w:rsidR="000C3AB5">
        <w:t>2</w:t>
      </w:r>
      <w:r w:rsidR="005E77C8">
        <w:t xml:space="preserve">% higher than that of March. During 2000-2017, the return in the month of January, on average, was only 0.86% higher </w:t>
      </w:r>
      <w:r w:rsidR="005E77C8">
        <w:lastRenderedPageBreak/>
        <w:t xml:space="preserve">than that of March. </w:t>
      </w:r>
      <w:r w:rsidR="00024AB3">
        <w:t>Such an effect, at a statistically significant level, is observed for the months of June, October and November in both models.</w:t>
      </w:r>
      <w:r w:rsidR="00404143">
        <w:t xml:space="preserve"> At non-statistically significant levels, the co-efficients in both models on the monthly dummies follow the same pattern. </w:t>
      </w:r>
      <w:r w:rsidR="00604EC1">
        <w:t>Th</w:t>
      </w:r>
      <w:r w:rsidR="00404143">
        <w:t>e result from Table 1</w:t>
      </w:r>
      <w:r w:rsidR="00604EC1">
        <w:t xml:space="preserve"> is line with the </w:t>
      </w:r>
      <w:r w:rsidR="00404143">
        <w:t xml:space="preserve">findings </w:t>
      </w:r>
      <w:r w:rsidR="00604EC1">
        <w:t xml:space="preserve">of Cusatis and </w:t>
      </w:r>
      <w:proofErr w:type="spellStart"/>
      <w:r w:rsidR="00604EC1">
        <w:t>Tawatnuntachai</w:t>
      </w:r>
      <w:proofErr w:type="spellEnd"/>
      <w:r w:rsidR="00604EC1">
        <w:t xml:space="preserve"> (2011)</w:t>
      </w:r>
      <w:r w:rsidR="00C92871">
        <w:t xml:space="preserve"> who found no evidence of the January effect in municipal bonds post 1993</w:t>
      </w:r>
      <w:r w:rsidR="00604EC1">
        <w:t xml:space="preserve">. However, as per Table 2, the opposite effect appears to have occurred for high yield municipal debt. </w:t>
      </w:r>
    </w:p>
    <w:p w14:paraId="17200092" w14:textId="684CC551" w:rsidR="00CE6E4E" w:rsidRPr="0017206E" w:rsidRDefault="00CE6E4E" w:rsidP="00CE6E4E">
      <w:pPr>
        <w:pStyle w:val="Caption"/>
        <w:rPr>
          <w:b/>
          <w:i w:val="0"/>
          <w:color w:val="000000" w:themeColor="text1"/>
          <w:sz w:val="24"/>
          <w:szCs w:val="24"/>
        </w:rPr>
      </w:pPr>
      <w:r w:rsidRPr="0017206E">
        <w:rPr>
          <w:b/>
          <w:i w:val="0"/>
          <w:color w:val="000000" w:themeColor="text1"/>
          <w:sz w:val="24"/>
          <w:szCs w:val="24"/>
        </w:rPr>
        <w:t xml:space="preserve">Table </w:t>
      </w:r>
      <w:r w:rsidRPr="0017206E">
        <w:rPr>
          <w:b/>
          <w:i w:val="0"/>
          <w:color w:val="000000" w:themeColor="text1"/>
          <w:sz w:val="24"/>
          <w:szCs w:val="24"/>
        </w:rPr>
        <w:fldChar w:fldCharType="begin"/>
      </w:r>
      <w:r w:rsidRPr="0017206E">
        <w:rPr>
          <w:b/>
          <w:i w:val="0"/>
          <w:color w:val="000000" w:themeColor="text1"/>
          <w:sz w:val="24"/>
          <w:szCs w:val="24"/>
        </w:rPr>
        <w:instrText xml:space="preserve"> SEQ Table \* ARABIC </w:instrText>
      </w:r>
      <w:r w:rsidRPr="0017206E">
        <w:rPr>
          <w:b/>
          <w:i w:val="0"/>
          <w:color w:val="000000" w:themeColor="text1"/>
          <w:sz w:val="24"/>
          <w:szCs w:val="24"/>
        </w:rPr>
        <w:fldChar w:fldCharType="separate"/>
      </w:r>
      <w:r w:rsidR="0009609F">
        <w:rPr>
          <w:b/>
          <w:i w:val="0"/>
          <w:noProof/>
          <w:color w:val="000000" w:themeColor="text1"/>
          <w:sz w:val="24"/>
          <w:szCs w:val="24"/>
        </w:rPr>
        <w:t>2</w:t>
      </w:r>
      <w:r w:rsidRPr="0017206E">
        <w:rPr>
          <w:b/>
          <w:i w:val="0"/>
          <w:color w:val="000000" w:themeColor="text1"/>
          <w:sz w:val="24"/>
          <w:szCs w:val="24"/>
        </w:rPr>
        <w:fldChar w:fldCharType="end"/>
      </w:r>
    </w:p>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2247"/>
        <w:gridCol w:w="1530"/>
        <w:gridCol w:w="1259"/>
        <w:gridCol w:w="1447"/>
        <w:gridCol w:w="1350"/>
        <w:gridCol w:w="1517"/>
      </w:tblGrid>
      <w:tr w:rsidR="00A87827" w:rsidRPr="006A5B46" w14:paraId="0AD4AC65" w14:textId="77777777" w:rsidTr="005C6BF6">
        <w:tc>
          <w:tcPr>
            <w:tcW w:w="1202" w:type="pct"/>
            <w:tcBorders>
              <w:right w:val="single" w:sz="4" w:space="0" w:color="auto"/>
            </w:tcBorders>
          </w:tcPr>
          <w:p w14:paraId="0960DF95" w14:textId="6570F237" w:rsidR="00A87827" w:rsidRPr="006A5B46" w:rsidRDefault="00A87827" w:rsidP="00A87827">
            <w:pPr>
              <w:rPr>
                <w:rFonts w:cs="Times New Roman"/>
                <w:sz w:val="22"/>
              </w:rPr>
            </w:pPr>
            <w:r w:rsidRPr="006A5B46">
              <w:rPr>
                <w:rFonts w:cs="Times New Roman"/>
                <w:b/>
                <w:sz w:val="22"/>
              </w:rPr>
              <w:t>Municipal Bonds</w:t>
            </w:r>
          </w:p>
        </w:tc>
        <w:tc>
          <w:tcPr>
            <w:tcW w:w="1491" w:type="pct"/>
            <w:gridSpan w:val="2"/>
            <w:tcBorders>
              <w:left w:val="single" w:sz="4" w:space="0" w:color="auto"/>
              <w:right w:val="single" w:sz="4" w:space="0" w:color="auto"/>
            </w:tcBorders>
          </w:tcPr>
          <w:p w14:paraId="646E17CA" w14:textId="21B8D9C4" w:rsidR="00A87827" w:rsidRPr="006A5B46" w:rsidRDefault="00A87827" w:rsidP="00B14E1E">
            <w:pPr>
              <w:jc w:val="center"/>
              <w:rPr>
                <w:rFonts w:cs="Times New Roman"/>
                <w:b/>
                <w:sz w:val="22"/>
              </w:rPr>
            </w:pPr>
            <w:r w:rsidRPr="006A5B46">
              <w:rPr>
                <w:rFonts w:cs="Times New Roman"/>
                <w:b/>
                <w:sz w:val="22"/>
              </w:rPr>
              <w:t>1996-2006: M(3)</w:t>
            </w:r>
          </w:p>
        </w:tc>
        <w:tc>
          <w:tcPr>
            <w:tcW w:w="1496" w:type="pct"/>
            <w:gridSpan w:val="2"/>
            <w:tcBorders>
              <w:left w:val="single" w:sz="4" w:space="0" w:color="auto"/>
              <w:right w:val="single" w:sz="4" w:space="0" w:color="auto"/>
            </w:tcBorders>
          </w:tcPr>
          <w:p w14:paraId="6E939737" w14:textId="11C90C02" w:rsidR="00A87827" w:rsidRPr="006A5B46" w:rsidRDefault="00A87827" w:rsidP="00B14E1E">
            <w:pPr>
              <w:jc w:val="center"/>
              <w:rPr>
                <w:rFonts w:cs="Times New Roman"/>
                <w:b/>
                <w:sz w:val="22"/>
              </w:rPr>
            </w:pPr>
            <w:r w:rsidRPr="006A5B46">
              <w:rPr>
                <w:rFonts w:cs="Times New Roman"/>
                <w:b/>
                <w:sz w:val="22"/>
              </w:rPr>
              <w:t>2007-2017: M(4)</w:t>
            </w:r>
          </w:p>
        </w:tc>
        <w:tc>
          <w:tcPr>
            <w:tcW w:w="811" w:type="pct"/>
            <w:tcBorders>
              <w:left w:val="single" w:sz="4" w:space="0" w:color="auto"/>
            </w:tcBorders>
          </w:tcPr>
          <w:p w14:paraId="2F1D1C55" w14:textId="2A9491F4" w:rsidR="00A87827" w:rsidRPr="006A5B46" w:rsidRDefault="00A87827" w:rsidP="00A87827">
            <w:pPr>
              <w:rPr>
                <w:rFonts w:cs="Times New Roman"/>
                <w:b/>
                <w:sz w:val="22"/>
              </w:rPr>
            </w:pPr>
            <w:r w:rsidRPr="006A5B46">
              <w:rPr>
                <w:rFonts w:cs="Times New Roman"/>
                <w:b/>
                <w:sz w:val="22"/>
              </w:rPr>
              <w:t>|M(3)| - |M(4)|</w:t>
            </w:r>
          </w:p>
        </w:tc>
      </w:tr>
      <w:tr w:rsidR="002F4F80" w:rsidRPr="006A5B46" w14:paraId="5FD443E5" w14:textId="77777777" w:rsidTr="005C6BF6">
        <w:tc>
          <w:tcPr>
            <w:tcW w:w="1202" w:type="pct"/>
            <w:tcBorders>
              <w:bottom w:val="single" w:sz="4" w:space="0" w:color="auto"/>
              <w:right w:val="single" w:sz="4" w:space="0" w:color="auto"/>
            </w:tcBorders>
          </w:tcPr>
          <w:p w14:paraId="1BE6450F" w14:textId="0713AA98" w:rsidR="00A87827" w:rsidRPr="006A5B46" w:rsidRDefault="00A87827" w:rsidP="00A87827">
            <w:pPr>
              <w:rPr>
                <w:rFonts w:cs="Times New Roman"/>
                <w:sz w:val="22"/>
              </w:rPr>
            </w:pPr>
            <w:r w:rsidRPr="006A5B46">
              <w:rPr>
                <w:rFonts w:cs="Times New Roman"/>
                <w:b/>
                <w:sz w:val="22"/>
              </w:rPr>
              <w:t>(Ba1 or below)</w:t>
            </w:r>
          </w:p>
        </w:tc>
        <w:tc>
          <w:tcPr>
            <w:tcW w:w="818" w:type="pct"/>
            <w:tcBorders>
              <w:left w:val="single" w:sz="4" w:space="0" w:color="auto"/>
              <w:bottom w:val="single" w:sz="4" w:space="0" w:color="auto"/>
            </w:tcBorders>
          </w:tcPr>
          <w:p w14:paraId="6BF403EC" w14:textId="77777777" w:rsidR="00A87827" w:rsidRPr="006A5B46" w:rsidRDefault="00A87827" w:rsidP="00A87827">
            <w:pPr>
              <w:rPr>
                <w:rFonts w:cs="Times New Roman"/>
                <w:b/>
                <w:sz w:val="22"/>
              </w:rPr>
            </w:pPr>
            <w:r w:rsidRPr="006A5B46">
              <w:rPr>
                <w:rFonts w:cs="Times New Roman"/>
                <w:b/>
                <w:sz w:val="22"/>
              </w:rPr>
              <w:t>Co-efficients</w:t>
            </w:r>
          </w:p>
        </w:tc>
        <w:tc>
          <w:tcPr>
            <w:tcW w:w="673" w:type="pct"/>
            <w:tcBorders>
              <w:bottom w:val="single" w:sz="4" w:space="0" w:color="auto"/>
              <w:right w:val="single" w:sz="4" w:space="0" w:color="auto"/>
            </w:tcBorders>
          </w:tcPr>
          <w:p w14:paraId="0B476CC6" w14:textId="77777777" w:rsidR="00A87827" w:rsidRPr="006A5B46" w:rsidRDefault="00A87827" w:rsidP="00A87827">
            <w:pPr>
              <w:rPr>
                <w:rFonts w:cs="Times New Roman"/>
                <w:b/>
                <w:sz w:val="22"/>
              </w:rPr>
            </w:pPr>
            <w:r w:rsidRPr="006A5B46">
              <w:rPr>
                <w:rFonts w:cs="Times New Roman"/>
                <w:b/>
                <w:sz w:val="22"/>
              </w:rPr>
              <w:t>Std. Error</w:t>
            </w:r>
          </w:p>
        </w:tc>
        <w:tc>
          <w:tcPr>
            <w:tcW w:w="774" w:type="pct"/>
            <w:tcBorders>
              <w:left w:val="single" w:sz="4" w:space="0" w:color="auto"/>
              <w:bottom w:val="single" w:sz="4" w:space="0" w:color="auto"/>
            </w:tcBorders>
          </w:tcPr>
          <w:p w14:paraId="4E249B1B" w14:textId="77777777" w:rsidR="00A87827" w:rsidRPr="006A5B46" w:rsidRDefault="00A87827" w:rsidP="00A87827">
            <w:pPr>
              <w:rPr>
                <w:rFonts w:cs="Times New Roman"/>
                <w:b/>
                <w:sz w:val="22"/>
              </w:rPr>
            </w:pPr>
            <w:r w:rsidRPr="006A5B46">
              <w:rPr>
                <w:rFonts w:cs="Times New Roman"/>
                <w:b/>
                <w:sz w:val="22"/>
              </w:rPr>
              <w:t>Co-efficients</w:t>
            </w:r>
          </w:p>
        </w:tc>
        <w:tc>
          <w:tcPr>
            <w:tcW w:w="722" w:type="pct"/>
            <w:tcBorders>
              <w:bottom w:val="single" w:sz="4" w:space="0" w:color="auto"/>
              <w:right w:val="single" w:sz="4" w:space="0" w:color="auto"/>
            </w:tcBorders>
          </w:tcPr>
          <w:p w14:paraId="6D5F36F8" w14:textId="77777777" w:rsidR="00A87827" w:rsidRPr="006A5B46" w:rsidRDefault="00A87827" w:rsidP="00A87827">
            <w:pPr>
              <w:rPr>
                <w:rFonts w:cs="Times New Roman"/>
                <w:b/>
                <w:sz w:val="22"/>
              </w:rPr>
            </w:pPr>
            <w:r w:rsidRPr="006A5B46">
              <w:rPr>
                <w:rFonts w:cs="Times New Roman"/>
                <w:b/>
                <w:sz w:val="22"/>
              </w:rPr>
              <w:t>Std. Error</w:t>
            </w:r>
          </w:p>
        </w:tc>
        <w:tc>
          <w:tcPr>
            <w:tcW w:w="811" w:type="pct"/>
            <w:tcBorders>
              <w:left w:val="single" w:sz="4" w:space="0" w:color="auto"/>
              <w:bottom w:val="single" w:sz="4" w:space="0" w:color="auto"/>
            </w:tcBorders>
          </w:tcPr>
          <w:p w14:paraId="78CCB1F7" w14:textId="77777777" w:rsidR="00A87827" w:rsidRPr="006A5B46" w:rsidRDefault="00A87827" w:rsidP="00A87827">
            <w:pPr>
              <w:rPr>
                <w:rFonts w:cs="Times New Roman"/>
                <w:b/>
                <w:sz w:val="22"/>
              </w:rPr>
            </w:pPr>
            <w:r w:rsidRPr="006A5B46">
              <w:rPr>
                <w:rFonts w:cs="Times New Roman"/>
                <w:b/>
                <w:sz w:val="22"/>
              </w:rPr>
              <w:t>Difference</w:t>
            </w:r>
          </w:p>
        </w:tc>
      </w:tr>
      <w:tr w:rsidR="002F4F80" w:rsidRPr="006A5B46" w14:paraId="738E19C0" w14:textId="77777777" w:rsidTr="005C6BF6">
        <w:tc>
          <w:tcPr>
            <w:tcW w:w="1202" w:type="pct"/>
            <w:tcBorders>
              <w:top w:val="single" w:sz="4" w:space="0" w:color="auto"/>
              <w:right w:val="single" w:sz="4" w:space="0" w:color="auto"/>
            </w:tcBorders>
          </w:tcPr>
          <w:p w14:paraId="6D3D8912" w14:textId="77777777" w:rsidR="00A87827" w:rsidRPr="006A5B46" w:rsidRDefault="00A87827" w:rsidP="00A87827">
            <w:pPr>
              <w:rPr>
                <w:rFonts w:cs="Times New Roman"/>
                <w:sz w:val="22"/>
              </w:rPr>
            </w:pPr>
          </w:p>
        </w:tc>
        <w:tc>
          <w:tcPr>
            <w:tcW w:w="818" w:type="pct"/>
            <w:tcBorders>
              <w:top w:val="single" w:sz="4" w:space="0" w:color="auto"/>
              <w:left w:val="single" w:sz="4" w:space="0" w:color="auto"/>
            </w:tcBorders>
          </w:tcPr>
          <w:p w14:paraId="6CC0726B" w14:textId="77777777" w:rsidR="00A87827" w:rsidRPr="006A5B46" w:rsidRDefault="00A87827" w:rsidP="00A87827">
            <w:pPr>
              <w:rPr>
                <w:rFonts w:cs="Times New Roman"/>
                <w:sz w:val="22"/>
              </w:rPr>
            </w:pPr>
          </w:p>
        </w:tc>
        <w:tc>
          <w:tcPr>
            <w:tcW w:w="673" w:type="pct"/>
            <w:tcBorders>
              <w:top w:val="single" w:sz="4" w:space="0" w:color="auto"/>
              <w:right w:val="single" w:sz="4" w:space="0" w:color="auto"/>
            </w:tcBorders>
          </w:tcPr>
          <w:p w14:paraId="2DF26EE1" w14:textId="77777777" w:rsidR="00A87827" w:rsidRPr="006A5B46" w:rsidRDefault="00A87827" w:rsidP="00A87827">
            <w:pPr>
              <w:rPr>
                <w:rFonts w:cs="Times New Roman"/>
                <w:sz w:val="22"/>
              </w:rPr>
            </w:pPr>
          </w:p>
        </w:tc>
        <w:tc>
          <w:tcPr>
            <w:tcW w:w="774" w:type="pct"/>
            <w:tcBorders>
              <w:top w:val="single" w:sz="4" w:space="0" w:color="auto"/>
              <w:left w:val="single" w:sz="4" w:space="0" w:color="auto"/>
            </w:tcBorders>
          </w:tcPr>
          <w:p w14:paraId="489478E4" w14:textId="77777777" w:rsidR="00A87827" w:rsidRPr="006A5B46" w:rsidRDefault="00A87827" w:rsidP="00A87827">
            <w:pPr>
              <w:rPr>
                <w:rFonts w:cs="Times New Roman"/>
                <w:sz w:val="22"/>
              </w:rPr>
            </w:pPr>
          </w:p>
        </w:tc>
        <w:tc>
          <w:tcPr>
            <w:tcW w:w="722" w:type="pct"/>
            <w:tcBorders>
              <w:top w:val="single" w:sz="4" w:space="0" w:color="auto"/>
              <w:right w:val="single" w:sz="4" w:space="0" w:color="auto"/>
            </w:tcBorders>
          </w:tcPr>
          <w:p w14:paraId="02EEA3CA" w14:textId="77777777" w:rsidR="00A87827" w:rsidRPr="006A5B46" w:rsidRDefault="00A87827" w:rsidP="00A87827">
            <w:pPr>
              <w:rPr>
                <w:rFonts w:cs="Times New Roman"/>
                <w:sz w:val="22"/>
              </w:rPr>
            </w:pPr>
          </w:p>
        </w:tc>
        <w:tc>
          <w:tcPr>
            <w:tcW w:w="811" w:type="pct"/>
            <w:tcBorders>
              <w:top w:val="single" w:sz="4" w:space="0" w:color="auto"/>
              <w:left w:val="single" w:sz="4" w:space="0" w:color="auto"/>
            </w:tcBorders>
          </w:tcPr>
          <w:p w14:paraId="180E3182" w14:textId="77777777" w:rsidR="00A87827" w:rsidRPr="006A5B46" w:rsidRDefault="00A87827" w:rsidP="00A87827">
            <w:pPr>
              <w:rPr>
                <w:rFonts w:cs="Times New Roman"/>
                <w:b/>
                <w:sz w:val="22"/>
              </w:rPr>
            </w:pPr>
          </w:p>
        </w:tc>
      </w:tr>
      <w:tr w:rsidR="002A51DD" w:rsidRPr="006A5B46" w14:paraId="181D92B7" w14:textId="77777777" w:rsidTr="005C6BF6">
        <w:tc>
          <w:tcPr>
            <w:tcW w:w="1202" w:type="pct"/>
            <w:tcBorders>
              <w:right w:val="single" w:sz="4" w:space="0" w:color="auto"/>
            </w:tcBorders>
            <w:vAlign w:val="center"/>
          </w:tcPr>
          <w:p w14:paraId="2D7EBD35" w14:textId="77777777" w:rsidR="002A51DD" w:rsidRPr="006A5B46" w:rsidRDefault="002A51DD" w:rsidP="002A51DD">
            <w:pPr>
              <w:rPr>
                <w:rFonts w:cs="Times New Roman"/>
                <w:i/>
                <w:sz w:val="22"/>
              </w:rPr>
            </w:pPr>
            <w:r w:rsidRPr="006A5B46">
              <w:rPr>
                <w:rFonts w:cs="Times New Roman"/>
                <w:i/>
                <w:color w:val="000000"/>
                <w:sz w:val="22"/>
              </w:rPr>
              <w:t>February</w:t>
            </w:r>
          </w:p>
        </w:tc>
        <w:tc>
          <w:tcPr>
            <w:tcW w:w="818" w:type="pct"/>
            <w:tcBorders>
              <w:left w:val="single" w:sz="4" w:space="0" w:color="auto"/>
            </w:tcBorders>
            <w:vAlign w:val="center"/>
          </w:tcPr>
          <w:p w14:paraId="722D67CD" w14:textId="78C2CA4A" w:rsidR="002A51DD" w:rsidRPr="006A5B46" w:rsidRDefault="002A51DD" w:rsidP="002A51DD">
            <w:pPr>
              <w:jc w:val="center"/>
              <w:rPr>
                <w:rFonts w:cs="Times New Roman"/>
                <w:sz w:val="22"/>
              </w:rPr>
            </w:pPr>
            <w:r w:rsidRPr="006A5B46">
              <w:rPr>
                <w:rFonts w:cs="Times New Roman"/>
                <w:color w:val="000000"/>
                <w:sz w:val="22"/>
              </w:rPr>
              <w:t>-0.05%</w:t>
            </w:r>
          </w:p>
        </w:tc>
        <w:tc>
          <w:tcPr>
            <w:tcW w:w="673" w:type="pct"/>
            <w:tcBorders>
              <w:right w:val="single" w:sz="4" w:space="0" w:color="auto"/>
            </w:tcBorders>
            <w:vAlign w:val="center"/>
          </w:tcPr>
          <w:p w14:paraId="52F42399" w14:textId="63F15315" w:rsidR="002A51DD" w:rsidRPr="006A5B46" w:rsidRDefault="002A51DD" w:rsidP="002A51DD">
            <w:pPr>
              <w:jc w:val="center"/>
              <w:rPr>
                <w:rFonts w:cs="Times New Roman"/>
                <w:sz w:val="22"/>
              </w:rPr>
            </w:pPr>
            <w:r w:rsidRPr="006A5B46">
              <w:rPr>
                <w:rFonts w:cs="Times New Roman"/>
                <w:color w:val="000000"/>
                <w:sz w:val="22"/>
              </w:rPr>
              <w:t>0.004</w:t>
            </w:r>
          </w:p>
        </w:tc>
        <w:tc>
          <w:tcPr>
            <w:tcW w:w="774" w:type="pct"/>
            <w:tcBorders>
              <w:left w:val="single" w:sz="4" w:space="0" w:color="auto"/>
            </w:tcBorders>
            <w:vAlign w:val="center"/>
          </w:tcPr>
          <w:p w14:paraId="7B0695CC" w14:textId="7993F126" w:rsidR="002A51DD" w:rsidRPr="006A5B46" w:rsidRDefault="002A51DD" w:rsidP="002A51DD">
            <w:pPr>
              <w:jc w:val="center"/>
              <w:rPr>
                <w:rFonts w:cs="Times New Roman"/>
                <w:sz w:val="22"/>
              </w:rPr>
            </w:pPr>
            <w:r w:rsidRPr="006A5B46">
              <w:rPr>
                <w:rFonts w:cs="Times New Roman"/>
                <w:color w:val="000000"/>
                <w:sz w:val="22"/>
              </w:rPr>
              <w:t>-1.41%</w:t>
            </w:r>
            <w:r w:rsidR="00FC2C2A">
              <w:rPr>
                <w:rFonts w:cs="Times New Roman"/>
                <w:color w:val="000000"/>
                <w:sz w:val="22"/>
              </w:rPr>
              <w:t>**</w:t>
            </w:r>
          </w:p>
        </w:tc>
        <w:tc>
          <w:tcPr>
            <w:tcW w:w="722" w:type="pct"/>
            <w:tcBorders>
              <w:right w:val="single" w:sz="4" w:space="0" w:color="auto"/>
            </w:tcBorders>
            <w:vAlign w:val="center"/>
          </w:tcPr>
          <w:p w14:paraId="46AD9E8E" w14:textId="321BCE7E" w:rsidR="002A51DD" w:rsidRPr="006A5B46" w:rsidRDefault="002A51DD" w:rsidP="002A51DD">
            <w:pPr>
              <w:jc w:val="center"/>
              <w:rPr>
                <w:rFonts w:cs="Times New Roman"/>
                <w:sz w:val="22"/>
              </w:rPr>
            </w:pPr>
            <w:r w:rsidRPr="006A5B46">
              <w:rPr>
                <w:rFonts w:cs="Times New Roman"/>
                <w:color w:val="000000"/>
                <w:sz w:val="22"/>
              </w:rPr>
              <w:t>0.01</w:t>
            </w:r>
          </w:p>
        </w:tc>
        <w:tc>
          <w:tcPr>
            <w:tcW w:w="811" w:type="pct"/>
            <w:tcBorders>
              <w:left w:val="single" w:sz="4" w:space="0" w:color="auto"/>
            </w:tcBorders>
            <w:vAlign w:val="bottom"/>
          </w:tcPr>
          <w:p w14:paraId="0DA899B6" w14:textId="0E062499" w:rsidR="002A51DD" w:rsidRPr="002A51DD" w:rsidRDefault="002A51DD" w:rsidP="002A51DD">
            <w:pPr>
              <w:jc w:val="center"/>
              <w:rPr>
                <w:rFonts w:cs="Times New Roman"/>
                <w:b/>
                <w:sz w:val="22"/>
              </w:rPr>
            </w:pPr>
            <w:r w:rsidRPr="002A51DD">
              <w:rPr>
                <w:rFonts w:cs="Times New Roman"/>
                <w:b/>
                <w:color w:val="000000"/>
                <w:sz w:val="22"/>
              </w:rPr>
              <w:t>-1.35%</w:t>
            </w:r>
          </w:p>
        </w:tc>
      </w:tr>
      <w:tr w:rsidR="002A51DD" w:rsidRPr="006A5B46" w14:paraId="37BBFD08" w14:textId="77777777" w:rsidTr="005C6BF6">
        <w:tc>
          <w:tcPr>
            <w:tcW w:w="1202" w:type="pct"/>
            <w:tcBorders>
              <w:right w:val="single" w:sz="4" w:space="0" w:color="auto"/>
            </w:tcBorders>
            <w:vAlign w:val="center"/>
          </w:tcPr>
          <w:p w14:paraId="419247C7" w14:textId="77777777" w:rsidR="002A51DD" w:rsidRPr="006A5B46" w:rsidRDefault="002A51DD" w:rsidP="002A51DD">
            <w:pPr>
              <w:rPr>
                <w:rFonts w:cs="Times New Roman"/>
                <w:i/>
                <w:sz w:val="22"/>
              </w:rPr>
            </w:pPr>
            <w:r w:rsidRPr="006A5B46">
              <w:rPr>
                <w:rFonts w:cs="Times New Roman"/>
                <w:i/>
                <w:color w:val="000000"/>
                <w:sz w:val="22"/>
              </w:rPr>
              <w:t>March</w:t>
            </w:r>
          </w:p>
        </w:tc>
        <w:tc>
          <w:tcPr>
            <w:tcW w:w="818" w:type="pct"/>
            <w:tcBorders>
              <w:left w:val="single" w:sz="4" w:space="0" w:color="auto"/>
            </w:tcBorders>
            <w:vAlign w:val="center"/>
          </w:tcPr>
          <w:p w14:paraId="23D87A35" w14:textId="53E7842F" w:rsidR="002A51DD" w:rsidRPr="006A5B46" w:rsidRDefault="002A51DD" w:rsidP="002A51DD">
            <w:pPr>
              <w:jc w:val="center"/>
              <w:rPr>
                <w:rFonts w:cs="Times New Roman"/>
                <w:sz w:val="22"/>
              </w:rPr>
            </w:pPr>
            <w:r w:rsidRPr="006A5B46">
              <w:rPr>
                <w:rFonts w:cs="Times New Roman"/>
                <w:color w:val="000000"/>
                <w:sz w:val="22"/>
              </w:rPr>
              <w:t>-0.76%**</w:t>
            </w:r>
          </w:p>
        </w:tc>
        <w:tc>
          <w:tcPr>
            <w:tcW w:w="673" w:type="pct"/>
            <w:tcBorders>
              <w:right w:val="single" w:sz="4" w:space="0" w:color="auto"/>
            </w:tcBorders>
            <w:vAlign w:val="center"/>
          </w:tcPr>
          <w:p w14:paraId="42D4FFB9" w14:textId="625B1ACE" w:rsidR="002A51DD" w:rsidRPr="006A5B46" w:rsidRDefault="002A51DD" w:rsidP="002A51DD">
            <w:pPr>
              <w:jc w:val="center"/>
              <w:rPr>
                <w:rFonts w:cs="Times New Roman"/>
                <w:sz w:val="22"/>
              </w:rPr>
            </w:pPr>
            <w:r w:rsidRPr="006A5B46">
              <w:rPr>
                <w:rFonts w:cs="Times New Roman"/>
                <w:color w:val="000000"/>
                <w:sz w:val="22"/>
              </w:rPr>
              <w:t>0.004</w:t>
            </w:r>
          </w:p>
        </w:tc>
        <w:tc>
          <w:tcPr>
            <w:tcW w:w="774" w:type="pct"/>
            <w:tcBorders>
              <w:left w:val="single" w:sz="4" w:space="0" w:color="auto"/>
            </w:tcBorders>
            <w:vAlign w:val="center"/>
          </w:tcPr>
          <w:p w14:paraId="00632617" w14:textId="35C8F0EC" w:rsidR="002A51DD" w:rsidRPr="006A5B46" w:rsidRDefault="002A51DD" w:rsidP="002A51DD">
            <w:pPr>
              <w:jc w:val="center"/>
              <w:rPr>
                <w:rFonts w:cs="Times New Roman"/>
                <w:sz w:val="22"/>
              </w:rPr>
            </w:pPr>
            <w:r w:rsidRPr="006A5B46">
              <w:rPr>
                <w:rFonts w:cs="Times New Roman"/>
                <w:color w:val="000000"/>
                <w:sz w:val="22"/>
              </w:rPr>
              <w:t>-1.55%</w:t>
            </w:r>
            <w:r w:rsidR="00FC2C2A">
              <w:rPr>
                <w:rFonts w:cs="Times New Roman"/>
                <w:color w:val="000000"/>
                <w:sz w:val="22"/>
              </w:rPr>
              <w:t>**</w:t>
            </w:r>
          </w:p>
        </w:tc>
        <w:tc>
          <w:tcPr>
            <w:tcW w:w="722" w:type="pct"/>
            <w:tcBorders>
              <w:right w:val="single" w:sz="4" w:space="0" w:color="auto"/>
            </w:tcBorders>
            <w:vAlign w:val="center"/>
          </w:tcPr>
          <w:p w14:paraId="76B8F793" w14:textId="52CAF9B6" w:rsidR="002A51DD" w:rsidRPr="006A5B46" w:rsidRDefault="002A51DD" w:rsidP="002A51DD">
            <w:pPr>
              <w:jc w:val="center"/>
              <w:rPr>
                <w:rFonts w:cs="Times New Roman"/>
                <w:sz w:val="22"/>
              </w:rPr>
            </w:pPr>
            <w:r w:rsidRPr="006A5B46">
              <w:rPr>
                <w:rFonts w:cs="Times New Roman"/>
                <w:color w:val="000000"/>
                <w:sz w:val="22"/>
              </w:rPr>
              <w:t>0.01</w:t>
            </w:r>
          </w:p>
        </w:tc>
        <w:tc>
          <w:tcPr>
            <w:tcW w:w="811" w:type="pct"/>
            <w:tcBorders>
              <w:left w:val="single" w:sz="4" w:space="0" w:color="auto"/>
            </w:tcBorders>
            <w:vAlign w:val="bottom"/>
          </w:tcPr>
          <w:p w14:paraId="30FEBD96" w14:textId="27A8F97F" w:rsidR="002A51DD" w:rsidRPr="002A51DD" w:rsidRDefault="002A51DD" w:rsidP="002A51DD">
            <w:pPr>
              <w:jc w:val="center"/>
              <w:rPr>
                <w:rFonts w:cs="Times New Roman"/>
                <w:b/>
                <w:sz w:val="22"/>
              </w:rPr>
            </w:pPr>
            <w:r w:rsidRPr="002A51DD">
              <w:rPr>
                <w:rFonts w:cs="Times New Roman"/>
                <w:b/>
                <w:color w:val="000000"/>
                <w:sz w:val="22"/>
              </w:rPr>
              <w:t>-0.79%</w:t>
            </w:r>
          </w:p>
        </w:tc>
      </w:tr>
      <w:tr w:rsidR="002A51DD" w:rsidRPr="006A5B46" w14:paraId="0AD03C6E" w14:textId="77777777" w:rsidTr="005C6BF6">
        <w:tc>
          <w:tcPr>
            <w:tcW w:w="1202" w:type="pct"/>
            <w:tcBorders>
              <w:right w:val="single" w:sz="4" w:space="0" w:color="auto"/>
            </w:tcBorders>
            <w:vAlign w:val="center"/>
          </w:tcPr>
          <w:p w14:paraId="41E6F811" w14:textId="77777777" w:rsidR="002A51DD" w:rsidRPr="006A5B46" w:rsidRDefault="002A51DD" w:rsidP="002A51DD">
            <w:pPr>
              <w:rPr>
                <w:rFonts w:cs="Times New Roman"/>
                <w:i/>
                <w:sz w:val="22"/>
              </w:rPr>
            </w:pPr>
            <w:r w:rsidRPr="006A5B46">
              <w:rPr>
                <w:rFonts w:cs="Times New Roman"/>
                <w:i/>
                <w:color w:val="000000"/>
                <w:sz w:val="22"/>
              </w:rPr>
              <w:t>April</w:t>
            </w:r>
          </w:p>
        </w:tc>
        <w:tc>
          <w:tcPr>
            <w:tcW w:w="818" w:type="pct"/>
            <w:tcBorders>
              <w:left w:val="single" w:sz="4" w:space="0" w:color="auto"/>
            </w:tcBorders>
            <w:vAlign w:val="center"/>
          </w:tcPr>
          <w:p w14:paraId="54C78E0C" w14:textId="132BE1A0" w:rsidR="002A51DD" w:rsidRPr="006A5B46" w:rsidRDefault="002A51DD" w:rsidP="002A51DD">
            <w:pPr>
              <w:jc w:val="center"/>
              <w:rPr>
                <w:rFonts w:cs="Times New Roman"/>
                <w:sz w:val="22"/>
              </w:rPr>
            </w:pPr>
            <w:r w:rsidRPr="006A5B46">
              <w:rPr>
                <w:rFonts w:cs="Times New Roman"/>
                <w:color w:val="000000"/>
                <w:sz w:val="22"/>
              </w:rPr>
              <w:t>-0.34%</w:t>
            </w:r>
          </w:p>
        </w:tc>
        <w:tc>
          <w:tcPr>
            <w:tcW w:w="673" w:type="pct"/>
            <w:tcBorders>
              <w:right w:val="single" w:sz="4" w:space="0" w:color="auto"/>
            </w:tcBorders>
            <w:vAlign w:val="center"/>
          </w:tcPr>
          <w:p w14:paraId="06A15574" w14:textId="59375ED6" w:rsidR="002A51DD" w:rsidRPr="006A5B46" w:rsidRDefault="002A51DD" w:rsidP="002A51DD">
            <w:pPr>
              <w:jc w:val="center"/>
              <w:rPr>
                <w:rFonts w:cs="Times New Roman"/>
                <w:sz w:val="22"/>
              </w:rPr>
            </w:pPr>
            <w:r w:rsidRPr="006A5B46">
              <w:rPr>
                <w:rFonts w:cs="Times New Roman"/>
                <w:color w:val="000000"/>
                <w:sz w:val="22"/>
              </w:rPr>
              <w:t>0.004</w:t>
            </w:r>
          </w:p>
        </w:tc>
        <w:tc>
          <w:tcPr>
            <w:tcW w:w="774" w:type="pct"/>
            <w:tcBorders>
              <w:left w:val="single" w:sz="4" w:space="0" w:color="auto"/>
            </w:tcBorders>
            <w:vAlign w:val="center"/>
          </w:tcPr>
          <w:p w14:paraId="7657F69D" w14:textId="107D0213" w:rsidR="002A51DD" w:rsidRPr="006A5B46" w:rsidRDefault="002A51DD" w:rsidP="002A51DD">
            <w:pPr>
              <w:jc w:val="center"/>
              <w:rPr>
                <w:rFonts w:cs="Times New Roman"/>
                <w:sz w:val="22"/>
              </w:rPr>
            </w:pPr>
            <w:r w:rsidRPr="006A5B46">
              <w:rPr>
                <w:rFonts w:cs="Times New Roman"/>
                <w:color w:val="000000"/>
                <w:sz w:val="22"/>
              </w:rPr>
              <w:t>-0.65%</w:t>
            </w:r>
          </w:p>
        </w:tc>
        <w:tc>
          <w:tcPr>
            <w:tcW w:w="722" w:type="pct"/>
            <w:tcBorders>
              <w:right w:val="single" w:sz="4" w:space="0" w:color="auto"/>
            </w:tcBorders>
            <w:vAlign w:val="center"/>
          </w:tcPr>
          <w:p w14:paraId="279CDD12" w14:textId="7A323D02" w:rsidR="002A51DD" w:rsidRPr="006A5B46" w:rsidRDefault="002A51DD" w:rsidP="002A51DD">
            <w:pPr>
              <w:jc w:val="center"/>
              <w:rPr>
                <w:rFonts w:cs="Times New Roman"/>
                <w:sz w:val="22"/>
              </w:rPr>
            </w:pPr>
            <w:r w:rsidRPr="006A5B46">
              <w:rPr>
                <w:rFonts w:cs="Times New Roman"/>
                <w:color w:val="000000"/>
                <w:sz w:val="22"/>
              </w:rPr>
              <w:t>0.01</w:t>
            </w:r>
          </w:p>
        </w:tc>
        <w:tc>
          <w:tcPr>
            <w:tcW w:w="811" w:type="pct"/>
            <w:tcBorders>
              <w:left w:val="single" w:sz="4" w:space="0" w:color="auto"/>
            </w:tcBorders>
            <w:vAlign w:val="bottom"/>
          </w:tcPr>
          <w:p w14:paraId="47D9D514" w14:textId="5691A156" w:rsidR="002A51DD" w:rsidRPr="002A51DD" w:rsidRDefault="002A51DD" w:rsidP="002A51DD">
            <w:pPr>
              <w:jc w:val="center"/>
              <w:rPr>
                <w:rFonts w:cs="Times New Roman"/>
                <w:b/>
                <w:sz w:val="22"/>
              </w:rPr>
            </w:pPr>
            <w:r w:rsidRPr="002A51DD">
              <w:rPr>
                <w:rFonts w:cs="Times New Roman"/>
                <w:b/>
                <w:color w:val="000000"/>
                <w:sz w:val="22"/>
              </w:rPr>
              <w:t>-0.31%</w:t>
            </w:r>
          </w:p>
        </w:tc>
      </w:tr>
      <w:tr w:rsidR="002A51DD" w:rsidRPr="006A5B46" w14:paraId="7659373C" w14:textId="77777777" w:rsidTr="005C6BF6">
        <w:tc>
          <w:tcPr>
            <w:tcW w:w="1202" w:type="pct"/>
            <w:tcBorders>
              <w:right w:val="single" w:sz="4" w:space="0" w:color="auto"/>
            </w:tcBorders>
            <w:vAlign w:val="center"/>
          </w:tcPr>
          <w:p w14:paraId="71AB0B78" w14:textId="77777777" w:rsidR="002A51DD" w:rsidRPr="006A5B46" w:rsidRDefault="002A51DD" w:rsidP="002A51DD">
            <w:pPr>
              <w:rPr>
                <w:rFonts w:cs="Times New Roman"/>
                <w:i/>
                <w:sz w:val="22"/>
              </w:rPr>
            </w:pPr>
            <w:r w:rsidRPr="006A5B46">
              <w:rPr>
                <w:rFonts w:cs="Times New Roman"/>
                <w:i/>
                <w:color w:val="000000"/>
                <w:sz w:val="22"/>
              </w:rPr>
              <w:t>May</w:t>
            </w:r>
          </w:p>
        </w:tc>
        <w:tc>
          <w:tcPr>
            <w:tcW w:w="818" w:type="pct"/>
            <w:tcBorders>
              <w:left w:val="single" w:sz="4" w:space="0" w:color="auto"/>
            </w:tcBorders>
            <w:vAlign w:val="center"/>
          </w:tcPr>
          <w:p w14:paraId="49E3EDAF" w14:textId="3BE33A0A" w:rsidR="002A51DD" w:rsidRPr="006A5B46" w:rsidRDefault="002A51DD" w:rsidP="002A51DD">
            <w:pPr>
              <w:jc w:val="center"/>
              <w:rPr>
                <w:rFonts w:cs="Times New Roman"/>
                <w:sz w:val="22"/>
              </w:rPr>
            </w:pPr>
            <w:r w:rsidRPr="006A5B46">
              <w:rPr>
                <w:rFonts w:cs="Times New Roman"/>
                <w:color w:val="000000"/>
                <w:sz w:val="22"/>
              </w:rPr>
              <w:t>0.03%</w:t>
            </w:r>
          </w:p>
        </w:tc>
        <w:tc>
          <w:tcPr>
            <w:tcW w:w="673" w:type="pct"/>
            <w:tcBorders>
              <w:right w:val="single" w:sz="4" w:space="0" w:color="auto"/>
            </w:tcBorders>
            <w:vAlign w:val="center"/>
          </w:tcPr>
          <w:p w14:paraId="48222C6A" w14:textId="379C4B9E" w:rsidR="002A51DD" w:rsidRPr="006A5B46" w:rsidRDefault="002A51DD" w:rsidP="002A51DD">
            <w:pPr>
              <w:jc w:val="center"/>
              <w:rPr>
                <w:rFonts w:cs="Times New Roman"/>
                <w:sz w:val="22"/>
              </w:rPr>
            </w:pPr>
            <w:r w:rsidRPr="006A5B46">
              <w:rPr>
                <w:rFonts w:cs="Times New Roman"/>
                <w:color w:val="000000"/>
                <w:sz w:val="22"/>
              </w:rPr>
              <w:t>0.004</w:t>
            </w:r>
          </w:p>
        </w:tc>
        <w:tc>
          <w:tcPr>
            <w:tcW w:w="774" w:type="pct"/>
            <w:tcBorders>
              <w:left w:val="single" w:sz="4" w:space="0" w:color="auto"/>
            </w:tcBorders>
            <w:vAlign w:val="center"/>
          </w:tcPr>
          <w:p w14:paraId="620EB02E" w14:textId="74633639" w:rsidR="002A51DD" w:rsidRPr="006A5B46" w:rsidRDefault="002A51DD" w:rsidP="002A51DD">
            <w:pPr>
              <w:jc w:val="center"/>
              <w:rPr>
                <w:rFonts w:cs="Times New Roman"/>
                <w:sz w:val="22"/>
              </w:rPr>
            </w:pPr>
            <w:r w:rsidRPr="006A5B46">
              <w:rPr>
                <w:rFonts w:cs="Times New Roman"/>
                <w:color w:val="000000"/>
                <w:sz w:val="22"/>
              </w:rPr>
              <w:t>-0.47%</w:t>
            </w:r>
          </w:p>
        </w:tc>
        <w:tc>
          <w:tcPr>
            <w:tcW w:w="722" w:type="pct"/>
            <w:tcBorders>
              <w:right w:val="single" w:sz="4" w:space="0" w:color="auto"/>
            </w:tcBorders>
            <w:vAlign w:val="center"/>
          </w:tcPr>
          <w:p w14:paraId="6889AE19" w14:textId="0BA4AE0A" w:rsidR="002A51DD" w:rsidRPr="006A5B46" w:rsidRDefault="002A51DD" w:rsidP="002A51DD">
            <w:pPr>
              <w:jc w:val="center"/>
              <w:rPr>
                <w:rFonts w:cs="Times New Roman"/>
                <w:sz w:val="22"/>
              </w:rPr>
            </w:pPr>
            <w:r w:rsidRPr="006A5B46">
              <w:rPr>
                <w:rFonts w:cs="Times New Roman"/>
                <w:color w:val="000000"/>
                <w:sz w:val="22"/>
              </w:rPr>
              <w:t>0.01</w:t>
            </w:r>
          </w:p>
        </w:tc>
        <w:tc>
          <w:tcPr>
            <w:tcW w:w="811" w:type="pct"/>
            <w:tcBorders>
              <w:left w:val="single" w:sz="4" w:space="0" w:color="auto"/>
            </w:tcBorders>
            <w:vAlign w:val="bottom"/>
          </w:tcPr>
          <w:p w14:paraId="04E8E9AD" w14:textId="5FE5B239" w:rsidR="002A51DD" w:rsidRPr="002A51DD" w:rsidRDefault="002A51DD" w:rsidP="002A51DD">
            <w:pPr>
              <w:jc w:val="center"/>
              <w:rPr>
                <w:rFonts w:cs="Times New Roman"/>
                <w:b/>
                <w:sz w:val="22"/>
              </w:rPr>
            </w:pPr>
            <w:r w:rsidRPr="002A51DD">
              <w:rPr>
                <w:rFonts w:cs="Times New Roman"/>
                <w:b/>
                <w:color w:val="000000"/>
                <w:sz w:val="22"/>
              </w:rPr>
              <w:t>-0.43%</w:t>
            </w:r>
          </w:p>
        </w:tc>
      </w:tr>
      <w:tr w:rsidR="002A51DD" w:rsidRPr="006A5B46" w14:paraId="6FB76C5F" w14:textId="77777777" w:rsidTr="005C6BF6">
        <w:tc>
          <w:tcPr>
            <w:tcW w:w="1202" w:type="pct"/>
            <w:tcBorders>
              <w:right w:val="single" w:sz="4" w:space="0" w:color="auto"/>
            </w:tcBorders>
            <w:vAlign w:val="center"/>
          </w:tcPr>
          <w:p w14:paraId="57A8EB23" w14:textId="77777777" w:rsidR="002A51DD" w:rsidRPr="006A5B46" w:rsidRDefault="002A51DD" w:rsidP="002A51DD">
            <w:pPr>
              <w:rPr>
                <w:rFonts w:cs="Times New Roman"/>
                <w:i/>
                <w:sz w:val="22"/>
              </w:rPr>
            </w:pPr>
            <w:r w:rsidRPr="006A5B46">
              <w:rPr>
                <w:rFonts w:cs="Times New Roman"/>
                <w:i/>
                <w:color w:val="000000"/>
                <w:sz w:val="22"/>
              </w:rPr>
              <w:t>June</w:t>
            </w:r>
          </w:p>
        </w:tc>
        <w:tc>
          <w:tcPr>
            <w:tcW w:w="818" w:type="pct"/>
            <w:tcBorders>
              <w:left w:val="single" w:sz="4" w:space="0" w:color="auto"/>
            </w:tcBorders>
            <w:vAlign w:val="center"/>
          </w:tcPr>
          <w:p w14:paraId="06517EC0" w14:textId="1C1985E7" w:rsidR="002A51DD" w:rsidRPr="006A5B46" w:rsidRDefault="002A51DD" w:rsidP="002A51DD">
            <w:pPr>
              <w:jc w:val="center"/>
              <w:rPr>
                <w:rFonts w:cs="Times New Roman"/>
                <w:sz w:val="22"/>
              </w:rPr>
            </w:pPr>
            <w:r w:rsidRPr="006A5B46">
              <w:rPr>
                <w:rFonts w:cs="Times New Roman"/>
                <w:color w:val="000000"/>
                <w:sz w:val="22"/>
              </w:rPr>
              <w:t>0.15%</w:t>
            </w:r>
          </w:p>
        </w:tc>
        <w:tc>
          <w:tcPr>
            <w:tcW w:w="673" w:type="pct"/>
            <w:tcBorders>
              <w:right w:val="single" w:sz="4" w:space="0" w:color="auto"/>
            </w:tcBorders>
            <w:vAlign w:val="center"/>
          </w:tcPr>
          <w:p w14:paraId="7F7847D7" w14:textId="6241E8F2" w:rsidR="002A51DD" w:rsidRPr="006A5B46" w:rsidRDefault="002A51DD" w:rsidP="002A51DD">
            <w:pPr>
              <w:jc w:val="center"/>
              <w:rPr>
                <w:rFonts w:cs="Times New Roman"/>
                <w:sz w:val="22"/>
              </w:rPr>
            </w:pPr>
            <w:r w:rsidRPr="006A5B46">
              <w:rPr>
                <w:rFonts w:cs="Times New Roman"/>
                <w:color w:val="000000"/>
                <w:sz w:val="22"/>
              </w:rPr>
              <w:t>0.004</w:t>
            </w:r>
          </w:p>
        </w:tc>
        <w:tc>
          <w:tcPr>
            <w:tcW w:w="774" w:type="pct"/>
            <w:tcBorders>
              <w:left w:val="single" w:sz="4" w:space="0" w:color="auto"/>
            </w:tcBorders>
            <w:vAlign w:val="center"/>
          </w:tcPr>
          <w:p w14:paraId="4468F6DF" w14:textId="06208CD8" w:rsidR="002A51DD" w:rsidRPr="006A5B46" w:rsidRDefault="002A51DD" w:rsidP="002A51DD">
            <w:pPr>
              <w:jc w:val="center"/>
              <w:rPr>
                <w:rFonts w:cs="Times New Roman"/>
                <w:sz w:val="22"/>
              </w:rPr>
            </w:pPr>
            <w:r w:rsidRPr="006A5B46">
              <w:rPr>
                <w:rFonts w:cs="Times New Roman"/>
                <w:color w:val="000000"/>
                <w:sz w:val="22"/>
              </w:rPr>
              <w:t>-2.42%</w:t>
            </w:r>
            <w:r w:rsidR="00FC2C2A">
              <w:rPr>
                <w:rFonts w:cs="Times New Roman"/>
                <w:color w:val="000000"/>
                <w:sz w:val="22"/>
              </w:rPr>
              <w:t>***</w:t>
            </w:r>
          </w:p>
        </w:tc>
        <w:tc>
          <w:tcPr>
            <w:tcW w:w="722" w:type="pct"/>
            <w:tcBorders>
              <w:right w:val="single" w:sz="4" w:space="0" w:color="auto"/>
            </w:tcBorders>
            <w:vAlign w:val="center"/>
          </w:tcPr>
          <w:p w14:paraId="09D394EB" w14:textId="533FA035" w:rsidR="002A51DD" w:rsidRPr="006A5B46" w:rsidRDefault="002A51DD" w:rsidP="002A51DD">
            <w:pPr>
              <w:jc w:val="center"/>
              <w:rPr>
                <w:rFonts w:cs="Times New Roman"/>
                <w:sz w:val="22"/>
              </w:rPr>
            </w:pPr>
            <w:r w:rsidRPr="006A5B46">
              <w:rPr>
                <w:rFonts w:cs="Times New Roman"/>
                <w:color w:val="000000"/>
                <w:sz w:val="22"/>
              </w:rPr>
              <w:t>0.01</w:t>
            </w:r>
          </w:p>
        </w:tc>
        <w:tc>
          <w:tcPr>
            <w:tcW w:w="811" w:type="pct"/>
            <w:tcBorders>
              <w:left w:val="single" w:sz="4" w:space="0" w:color="auto"/>
            </w:tcBorders>
            <w:vAlign w:val="bottom"/>
          </w:tcPr>
          <w:p w14:paraId="1504AEED" w14:textId="4ECF2805" w:rsidR="002A51DD" w:rsidRPr="002A51DD" w:rsidRDefault="002A51DD" w:rsidP="002A51DD">
            <w:pPr>
              <w:jc w:val="center"/>
              <w:rPr>
                <w:rFonts w:cs="Times New Roman"/>
                <w:b/>
                <w:sz w:val="22"/>
              </w:rPr>
            </w:pPr>
            <w:r w:rsidRPr="002A51DD">
              <w:rPr>
                <w:rFonts w:cs="Times New Roman"/>
                <w:b/>
                <w:color w:val="000000"/>
                <w:sz w:val="22"/>
              </w:rPr>
              <w:t>-2.27%</w:t>
            </w:r>
          </w:p>
        </w:tc>
      </w:tr>
      <w:tr w:rsidR="002A51DD" w:rsidRPr="006A5B46" w14:paraId="59BF15E0" w14:textId="77777777" w:rsidTr="005C6BF6">
        <w:tc>
          <w:tcPr>
            <w:tcW w:w="1202" w:type="pct"/>
            <w:tcBorders>
              <w:right w:val="single" w:sz="4" w:space="0" w:color="auto"/>
            </w:tcBorders>
            <w:vAlign w:val="center"/>
          </w:tcPr>
          <w:p w14:paraId="6AC57424" w14:textId="77777777" w:rsidR="002A51DD" w:rsidRPr="006A5B46" w:rsidRDefault="002A51DD" w:rsidP="002A51DD">
            <w:pPr>
              <w:rPr>
                <w:rFonts w:cs="Times New Roman"/>
                <w:i/>
                <w:sz w:val="22"/>
              </w:rPr>
            </w:pPr>
            <w:r w:rsidRPr="006A5B46">
              <w:rPr>
                <w:rFonts w:cs="Times New Roman"/>
                <w:i/>
                <w:color w:val="000000"/>
                <w:sz w:val="22"/>
              </w:rPr>
              <w:t>July</w:t>
            </w:r>
          </w:p>
        </w:tc>
        <w:tc>
          <w:tcPr>
            <w:tcW w:w="818" w:type="pct"/>
            <w:tcBorders>
              <w:left w:val="single" w:sz="4" w:space="0" w:color="auto"/>
            </w:tcBorders>
            <w:vAlign w:val="center"/>
          </w:tcPr>
          <w:p w14:paraId="34057E31" w14:textId="23842EC1" w:rsidR="002A51DD" w:rsidRPr="006A5B46" w:rsidRDefault="002A51DD" w:rsidP="002A51DD">
            <w:pPr>
              <w:jc w:val="center"/>
              <w:rPr>
                <w:rFonts w:cs="Times New Roman"/>
                <w:sz w:val="22"/>
              </w:rPr>
            </w:pPr>
            <w:r w:rsidRPr="006A5B46">
              <w:rPr>
                <w:rFonts w:cs="Times New Roman"/>
                <w:color w:val="000000"/>
                <w:sz w:val="22"/>
              </w:rPr>
              <w:t>-0.22%</w:t>
            </w:r>
          </w:p>
        </w:tc>
        <w:tc>
          <w:tcPr>
            <w:tcW w:w="673" w:type="pct"/>
            <w:tcBorders>
              <w:right w:val="single" w:sz="4" w:space="0" w:color="auto"/>
            </w:tcBorders>
            <w:vAlign w:val="center"/>
          </w:tcPr>
          <w:p w14:paraId="51C6F40B" w14:textId="310AEF9A" w:rsidR="002A51DD" w:rsidRPr="006A5B46" w:rsidRDefault="002A51DD" w:rsidP="002A51DD">
            <w:pPr>
              <w:jc w:val="center"/>
              <w:rPr>
                <w:rFonts w:cs="Times New Roman"/>
                <w:sz w:val="22"/>
              </w:rPr>
            </w:pPr>
            <w:r w:rsidRPr="006A5B46">
              <w:rPr>
                <w:rFonts w:cs="Times New Roman"/>
                <w:color w:val="000000"/>
                <w:sz w:val="22"/>
              </w:rPr>
              <w:t>0.004</w:t>
            </w:r>
          </w:p>
        </w:tc>
        <w:tc>
          <w:tcPr>
            <w:tcW w:w="774" w:type="pct"/>
            <w:tcBorders>
              <w:left w:val="single" w:sz="4" w:space="0" w:color="auto"/>
            </w:tcBorders>
            <w:vAlign w:val="center"/>
          </w:tcPr>
          <w:p w14:paraId="588D2675" w14:textId="75E09001" w:rsidR="002A51DD" w:rsidRPr="006A5B46" w:rsidRDefault="002A51DD" w:rsidP="002A51DD">
            <w:pPr>
              <w:jc w:val="center"/>
              <w:rPr>
                <w:rFonts w:cs="Times New Roman"/>
                <w:sz w:val="22"/>
              </w:rPr>
            </w:pPr>
            <w:r w:rsidRPr="006A5B46">
              <w:rPr>
                <w:rFonts w:cs="Times New Roman"/>
                <w:color w:val="000000"/>
                <w:sz w:val="22"/>
              </w:rPr>
              <w:t>-1.52%</w:t>
            </w:r>
            <w:r w:rsidR="00FC2C2A">
              <w:rPr>
                <w:rFonts w:cs="Times New Roman"/>
                <w:color w:val="000000"/>
                <w:sz w:val="22"/>
              </w:rPr>
              <w:t>**</w:t>
            </w:r>
          </w:p>
        </w:tc>
        <w:tc>
          <w:tcPr>
            <w:tcW w:w="722" w:type="pct"/>
            <w:tcBorders>
              <w:right w:val="single" w:sz="4" w:space="0" w:color="auto"/>
            </w:tcBorders>
            <w:vAlign w:val="center"/>
          </w:tcPr>
          <w:p w14:paraId="3A0935E3" w14:textId="30B95B2A" w:rsidR="002A51DD" w:rsidRPr="006A5B46" w:rsidRDefault="002A51DD" w:rsidP="002A51DD">
            <w:pPr>
              <w:jc w:val="center"/>
              <w:rPr>
                <w:rFonts w:cs="Times New Roman"/>
                <w:sz w:val="22"/>
              </w:rPr>
            </w:pPr>
            <w:r w:rsidRPr="006A5B46">
              <w:rPr>
                <w:rFonts w:cs="Times New Roman"/>
                <w:color w:val="000000"/>
                <w:sz w:val="22"/>
              </w:rPr>
              <w:t>0.01</w:t>
            </w:r>
          </w:p>
        </w:tc>
        <w:tc>
          <w:tcPr>
            <w:tcW w:w="811" w:type="pct"/>
            <w:tcBorders>
              <w:left w:val="single" w:sz="4" w:space="0" w:color="auto"/>
            </w:tcBorders>
            <w:vAlign w:val="bottom"/>
          </w:tcPr>
          <w:p w14:paraId="0E652813" w14:textId="1CCA1DE7" w:rsidR="002A51DD" w:rsidRPr="002A51DD" w:rsidRDefault="002A51DD" w:rsidP="002A51DD">
            <w:pPr>
              <w:jc w:val="center"/>
              <w:rPr>
                <w:rFonts w:cs="Times New Roman"/>
                <w:b/>
                <w:sz w:val="22"/>
              </w:rPr>
            </w:pPr>
            <w:r w:rsidRPr="002A51DD">
              <w:rPr>
                <w:rFonts w:cs="Times New Roman"/>
                <w:b/>
                <w:color w:val="000000"/>
                <w:sz w:val="22"/>
              </w:rPr>
              <w:t>-1.30%</w:t>
            </w:r>
          </w:p>
        </w:tc>
      </w:tr>
      <w:tr w:rsidR="002A51DD" w:rsidRPr="006A5B46" w14:paraId="32E6B4B7" w14:textId="77777777" w:rsidTr="005C6BF6">
        <w:tc>
          <w:tcPr>
            <w:tcW w:w="1202" w:type="pct"/>
            <w:tcBorders>
              <w:right w:val="single" w:sz="4" w:space="0" w:color="auto"/>
            </w:tcBorders>
            <w:vAlign w:val="center"/>
          </w:tcPr>
          <w:p w14:paraId="12B71C54" w14:textId="77777777" w:rsidR="002A51DD" w:rsidRPr="006A5B46" w:rsidRDefault="002A51DD" w:rsidP="002A51DD">
            <w:pPr>
              <w:rPr>
                <w:rFonts w:cs="Times New Roman"/>
                <w:i/>
                <w:sz w:val="22"/>
              </w:rPr>
            </w:pPr>
            <w:r w:rsidRPr="006A5B46">
              <w:rPr>
                <w:rFonts w:cs="Times New Roman"/>
                <w:i/>
                <w:color w:val="000000"/>
                <w:sz w:val="22"/>
              </w:rPr>
              <w:t>August</w:t>
            </w:r>
          </w:p>
        </w:tc>
        <w:tc>
          <w:tcPr>
            <w:tcW w:w="818" w:type="pct"/>
            <w:tcBorders>
              <w:left w:val="single" w:sz="4" w:space="0" w:color="auto"/>
            </w:tcBorders>
            <w:vAlign w:val="center"/>
          </w:tcPr>
          <w:p w14:paraId="15C66FDA" w14:textId="73635EF6" w:rsidR="002A51DD" w:rsidRPr="006A5B46" w:rsidRDefault="002A51DD" w:rsidP="002A51DD">
            <w:pPr>
              <w:jc w:val="center"/>
              <w:rPr>
                <w:rFonts w:cs="Times New Roman"/>
                <w:sz w:val="22"/>
              </w:rPr>
            </w:pPr>
            <w:r w:rsidRPr="006A5B46">
              <w:rPr>
                <w:rFonts w:cs="Times New Roman"/>
                <w:color w:val="000000"/>
                <w:sz w:val="22"/>
              </w:rPr>
              <w:t>-0.24%</w:t>
            </w:r>
          </w:p>
        </w:tc>
        <w:tc>
          <w:tcPr>
            <w:tcW w:w="673" w:type="pct"/>
            <w:tcBorders>
              <w:right w:val="single" w:sz="4" w:space="0" w:color="auto"/>
            </w:tcBorders>
            <w:vAlign w:val="center"/>
          </w:tcPr>
          <w:p w14:paraId="78BDAD8C" w14:textId="2FF341C4" w:rsidR="002A51DD" w:rsidRPr="006A5B46" w:rsidRDefault="002A51DD" w:rsidP="002A51DD">
            <w:pPr>
              <w:jc w:val="center"/>
              <w:rPr>
                <w:rFonts w:cs="Times New Roman"/>
                <w:sz w:val="22"/>
              </w:rPr>
            </w:pPr>
            <w:r w:rsidRPr="006A5B46">
              <w:rPr>
                <w:rFonts w:cs="Times New Roman"/>
                <w:color w:val="000000"/>
                <w:sz w:val="22"/>
              </w:rPr>
              <w:t>0.004</w:t>
            </w:r>
          </w:p>
        </w:tc>
        <w:tc>
          <w:tcPr>
            <w:tcW w:w="774" w:type="pct"/>
            <w:tcBorders>
              <w:left w:val="single" w:sz="4" w:space="0" w:color="auto"/>
            </w:tcBorders>
            <w:vAlign w:val="center"/>
          </w:tcPr>
          <w:p w14:paraId="1FB7CC45" w14:textId="43017D16" w:rsidR="002A51DD" w:rsidRPr="006A5B46" w:rsidRDefault="002A51DD" w:rsidP="002A51DD">
            <w:pPr>
              <w:jc w:val="center"/>
              <w:rPr>
                <w:rFonts w:cs="Times New Roman"/>
                <w:sz w:val="22"/>
              </w:rPr>
            </w:pPr>
            <w:r w:rsidRPr="006A5B46">
              <w:rPr>
                <w:rFonts w:cs="Times New Roman"/>
                <w:color w:val="000000"/>
                <w:sz w:val="22"/>
              </w:rPr>
              <w:t>-1.45%</w:t>
            </w:r>
            <w:r w:rsidR="00FC2C2A">
              <w:rPr>
                <w:rFonts w:cs="Times New Roman"/>
                <w:color w:val="000000"/>
                <w:sz w:val="22"/>
              </w:rPr>
              <w:t>*</w:t>
            </w:r>
          </w:p>
        </w:tc>
        <w:tc>
          <w:tcPr>
            <w:tcW w:w="722" w:type="pct"/>
            <w:tcBorders>
              <w:right w:val="single" w:sz="4" w:space="0" w:color="auto"/>
            </w:tcBorders>
            <w:vAlign w:val="center"/>
          </w:tcPr>
          <w:p w14:paraId="69244902" w14:textId="1BF18660" w:rsidR="002A51DD" w:rsidRPr="006A5B46" w:rsidRDefault="002A51DD" w:rsidP="002A51DD">
            <w:pPr>
              <w:jc w:val="center"/>
              <w:rPr>
                <w:rFonts w:cs="Times New Roman"/>
                <w:sz w:val="22"/>
              </w:rPr>
            </w:pPr>
            <w:r w:rsidRPr="006A5B46">
              <w:rPr>
                <w:rFonts w:cs="Times New Roman"/>
                <w:color w:val="000000"/>
                <w:sz w:val="22"/>
              </w:rPr>
              <w:t>0.01</w:t>
            </w:r>
          </w:p>
        </w:tc>
        <w:tc>
          <w:tcPr>
            <w:tcW w:w="811" w:type="pct"/>
            <w:tcBorders>
              <w:left w:val="single" w:sz="4" w:space="0" w:color="auto"/>
            </w:tcBorders>
            <w:vAlign w:val="bottom"/>
          </w:tcPr>
          <w:p w14:paraId="3011B8AE" w14:textId="7B1DB04D" w:rsidR="002A51DD" w:rsidRPr="002A51DD" w:rsidRDefault="002A51DD" w:rsidP="002A51DD">
            <w:pPr>
              <w:jc w:val="center"/>
              <w:rPr>
                <w:rFonts w:cs="Times New Roman"/>
                <w:b/>
                <w:sz w:val="22"/>
              </w:rPr>
            </w:pPr>
            <w:r w:rsidRPr="002A51DD">
              <w:rPr>
                <w:rFonts w:cs="Times New Roman"/>
                <w:b/>
                <w:color w:val="000000"/>
                <w:sz w:val="22"/>
              </w:rPr>
              <w:t>-1.20%</w:t>
            </w:r>
          </w:p>
        </w:tc>
      </w:tr>
      <w:tr w:rsidR="002A51DD" w:rsidRPr="006A5B46" w14:paraId="6DD4193C" w14:textId="77777777" w:rsidTr="005C6BF6">
        <w:tc>
          <w:tcPr>
            <w:tcW w:w="1202" w:type="pct"/>
            <w:tcBorders>
              <w:right w:val="single" w:sz="4" w:space="0" w:color="auto"/>
            </w:tcBorders>
            <w:vAlign w:val="center"/>
          </w:tcPr>
          <w:p w14:paraId="57AFB196" w14:textId="77777777" w:rsidR="002A51DD" w:rsidRPr="006A5B46" w:rsidRDefault="002A51DD" w:rsidP="002A51DD">
            <w:pPr>
              <w:rPr>
                <w:rFonts w:cs="Times New Roman"/>
                <w:i/>
                <w:sz w:val="22"/>
              </w:rPr>
            </w:pPr>
            <w:r w:rsidRPr="006A5B46">
              <w:rPr>
                <w:rFonts w:cs="Times New Roman"/>
                <w:i/>
                <w:color w:val="000000"/>
                <w:sz w:val="22"/>
              </w:rPr>
              <w:t>September</w:t>
            </w:r>
          </w:p>
        </w:tc>
        <w:tc>
          <w:tcPr>
            <w:tcW w:w="818" w:type="pct"/>
            <w:tcBorders>
              <w:left w:val="single" w:sz="4" w:space="0" w:color="auto"/>
            </w:tcBorders>
            <w:vAlign w:val="center"/>
          </w:tcPr>
          <w:p w14:paraId="0A3CB0EB" w14:textId="73C6CE7F" w:rsidR="002A51DD" w:rsidRPr="006A5B46" w:rsidRDefault="002A51DD" w:rsidP="002A51DD">
            <w:pPr>
              <w:jc w:val="center"/>
              <w:rPr>
                <w:rFonts w:cs="Times New Roman"/>
                <w:sz w:val="22"/>
              </w:rPr>
            </w:pPr>
            <w:r w:rsidRPr="006A5B46">
              <w:rPr>
                <w:rFonts w:cs="Times New Roman"/>
                <w:color w:val="000000"/>
                <w:sz w:val="22"/>
              </w:rPr>
              <w:t>-0.70%*</w:t>
            </w:r>
          </w:p>
        </w:tc>
        <w:tc>
          <w:tcPr>
            <w:tcW w:w="673" w:type="pct"/>
            <w:tcBorders>
              <w:right w:val="single" w:sz="4" w:space="0" w:color="auto"/>
            </w:tcBorders>
            <w:vAlign w:val="center"/>
          </w:tcPr>
          <w:p w14:paraId="555BF0A6" w14:textId="750DACC2" w:rsidR="002A51DD" w:rsidRPr="006A5B46" w:rsidRDefault="002A51DD" w:rsidP="002A51DD">
            <w:pPr>
              <w:jc w:val="center"/>
              <w:rPr>
                <w:rFonts w:cs="Times New Roman"/>
                <w:sz w:val="22"/>
              </w:rPr>
            </w:pPr>
            <w:r w:rsidRPr="006A5B46">
              <w:rPr>
                <w:rFonts w:cs="Times New Roman"/>
                <w:color w:val="000000"/>
                <w:sz w:val="22"/>
              </w:rPr>
              <w:t>0.004</w:t>
            </w:r>
          </w:p>
        </w:tc>
        <w:tc>
          <w:tcPr>
            <w:tcW w:w="774" w:type="pct"/>
            <w:tcBorders>
              <w:left w:val="single" w:sz="4" w:space="0" w:color="auto"/>
            </w:tcBorders>
            <w:vAlign w:val="center"/>
          </w:tcPr>
          <w:p w14:paraId="432C02DF" w14:textId="376038DB" w:rsidR="002A51DD" w:rsidRPr="006A5B46" w:rsidRDefault="002A51DD" w:rsidP="002A51DD">
            <w:pPr>
              <w:jc w:val="center"/>
              <w:rPr>
                <w:rFonts w:cs="Times New Roman"/>
                <w:sz w:val="22"/>
              </w:rPr>
            </w:pPr>
            <w:r w:rsidRPr="006A5B46">
              <w:rPr>
                <w:rFonts w:cs="Times New Roman"/>
                <w:color w:val="000000"/>
                <w:sz w:val="22"/>
              </w:rPr>
              <w:t>-0.79%</w:t>
            </w:r>
          </w:p>
        </w:tc>
        <w:tc>
          <w:tcPr>
            <w:tcW w:w="722" w:type="pct"/>
            <w:tcBorders>
              <w:right w:val="single" w:sz="4" w:space="0" w:color="auto"/>
            </w:tcBorders>
            <w:vAlign w:val="center"/>
          </w:tcPr>
          <w:p w14:paraId="0A76F470" w14:textId="0B21F273" w:rsidR="002A51DD" w:rsidRPr="006A5B46" w:rsidRDefault="002A51DD" w:rsidP="002A51DD">
            <w:pPr>
              <w:jc w:val="center"/>
              <w:rPr>
                <w:rFonts w:cs="Times New Roman"/>
                <w:sz w:val="22"/>
              </w:rPr>
            </w:pPr>
            <w:r w:rsidRPr="006A5B46">
              <w:rPr>
                <w:rFonts w:cs="Times New Roman"/>
                <w:color w:val="000000"/>
                <w:sz w:val="22"/>
              </w:rPr>
              <w:t>0.01</w:t>
            </w:r>
          </w:p>
        </w:tc>
        <w:tc>
          <w:tcPr>
            <w:tcW w:w="811" w:type="pct"/>
            <w:tcBorders>
              <w:left w:val="single" w:sz="4" w:space="0" w:color="auto"/>
            </w:tcBorders>
            <w:vAlign w:val="bottom"/>
          </w:tcPr>
          <w:p w14:paraId="108C34D9" w14:textId="7D375C67" w:rsidR="002A51DD" w:rsidRPr="002A51DD" w:rsidRDefault="002A51DD" w:rsidP="002A51DD">
            <w:pPr>
              <w:jc w:val="center"/>
              <w:rPr>
                <w:rFonts w:cs="Times New Roman"/>
                <w:b/>
                <w:sz w:val="22"/>
              </w:rPr>
            </w:pPr>
            <w:r w:rsidRPr="002A51DD">
              <w:rPr>
                <w:rFonts w:cs="Times New Roman"/>
                <w:b/>
                <w:color w:val="000000"/>
                <w:sz w:val="22"/>
              </w:rPr>
              <w:t>-0.09%</w:t>
            </w:r>
          </w:p>
        </w:tc>
      </w:tr>
      <w:tr w:rsidR="002A51DD" w:rsidRPr="006A5B46" w14:paraId="69174976" w14:textId="77777777" w:rsidTr="005C6BF6">
        <w:tc>
          <w:tcPr>
            <w:tcW w:w="1202" w:type="pct"/>
            <w:tcBorders>
              <w:right w:val="single" w:sz="4" w:space="0" w:color="auto"/>
            </w:tcBorders>
            <w:vAlign w:val="center"/>
          </w:tcPr>
          <w:p w14:paraId="7CD8F9AC" w14:textId="77777777" w:rsidR="002A51DD" w:rsidRPr="006A5B46" w:rsidRDefault="002A51DD" w:rsidP="002A51DD">
            <w:pPr>
              <w:rPr>
                <w:rFonts w:cs="Times New Roman"/>
                <w:i/>
                <w:sz w:val="22"/>
              </w:rPr>
            </w:pPr>
            <w:r w:rsidRPr="006A5B46">
              <w:rPr>
                <w:rFonts w:cs="Times New Roman"/>
                <w:i/>
                <w:color w:val="000000"/>
                <w:sz w:val="22"/>
              </w:rPr>
              <w:t>October</w:t>
            </w:r>
          </w:p>
        </w:tc>
        <w:tc>
          <w:tcPr>
            <w:tcW w:w="818" w:type="pct"/>
            <w:tcBorders>
              <w:left w:val="single" w:sz="4" w:space="0" w:color="auto"/>
            </w:tcBorders>
            <w:vAlign w:val="center"/>
          </w:tcPr>
          <w:p w14:paraId="2AEF2476" w14:textId="13741FE0" w:rsidR="002A51DD" w:rsidRPr="006A5B46" w:rsidRDefault="002A51DD" w:rsidP="002A51DD">
            <w:pPr>
              <w:jc w:val="center"/>
              <w:rPr>
                <w:rFonts w:cs="Times New Roman"/>
                <w:sz w:val="22"/>
              </w:rPr>
            </w:pPr>
            <w:r w:rsidRPr="006A5B46">
              <w:rPr>
                <w:rFonts w:cs="Times New Roman"/>
                <w:color w:val="000000"/>
                <w:sz w:val="22"/>
              </w:rPr>
              <w:t>-0.84%**</w:t>
            </w:r>
          </w:p>
        </w:tc>
        <w:tc>
          <w:tcPr>
            <w:tcW w:w="673" w:type="pct"/>
            <w:tcBorders>
              <w:right w:val="single" w:sz="4" w:space="0" w:color="auto"/>
            </w:tcBorders>
            <w:vAlign w:val="center"/>
          </w:tcPr>
          <w:p w14:paraId="335688C7" w14:textId="0A638B84" w:rsidR="002A51DD" w:rsidRPr="006A5B46" w:rsidRDefault="002A51DD" w:rsidP="002A51DD">
            <w:pPr>
              <w:jc w:val="center"/>
              <w:rPr>
                <w:rFonts w:cs="Times New Roman"/>
                <w:sz w:val="22"/>
              </w:rPr>
            </w:pPr>
            <w:r w:rsidRPr="006A5B46">
              <w:rPr>
                <w:rFonts w:cs="Times New Roman"/>
                <w:color w:val="000000"/>
                <w:sz w:val="22"/>
              </w:rPr>
              <w:t>0.004</w:t>
            </w:r>
          </w:p>
        </w:tc>
        <w:tc>
          <w:tcPr>
            <w:tcW w:w="774" w:type="pct"/>
            <w:tcBorders>
              <w:left w:val="single" w:sz="4" w:space="0" w:color="auto"/>
            </w:tcBorders>
            <w:vAlign w:val="center"/>
          </w:tcPr>
          <w:p w14:paraId="19C9FFD4" w14:textId="4AD4E9DB" w:rsidR="002A51DD" w:rsidRPr="006A5B46" w:rsidRDefault="002A51DD" w:rsidP="002A51DD">
            <w:pPr>
              <w:jc w:val="center"/>
              <w:rPr>
                <w:rFonts w:cs="Times New Roman"/>
                <w:sz w:val="22"/>
              </w:rPr>
            </w:pPr>
            <w:r w:rsidRPr="006A5B46">
              <w:rPr>
                <w:rFonts w:cs="Times New Roman"/>
                <w:color w:val="000000"/>
                <w:sz w:val="22"/>
              </w:rPr>
              <w:t>-2.63%</w:t>
            </w:r>
            <w:r w:rsidR="00FC2C2A">
              <w:rPr>
                <w:rFonts w:cs="Times New Roman"/>
                <w:color w:val="000000"/>
                <w:sz w:val="22"/>
              </w:rPr>
              <w:t>***</w:t>
            </w:r>
          </w:p>
        </w:tc>
        <w:tc>
          <w:tcPr>
            <w:tcW w:w="722" w:type="pct"/>
            <w:tcBorders>
              <w:right w:val="single" w:sz="4" w:space="0" w:color="auto"/>
            </w:tcBorders>
            <w:vAlign w:val="center"/>
          </w:tcPr>
          <w:p w14:paraId="75683111" w14:textId="35E46149" w:rsidR="002A51DD" w:rsidRPr="006A5B46" w:rsidRDefault="002A51DD" w:rsidP="002A51DD">
            <w:pPr>
              <w:jc w:val="center"/>
              <w:rPr>
                <w:rFonts w:cs="Times New Roman"/>
                <w:sz w:val="22"/>
              </w:rPr>
            </w:pPr>
            <w:r w:rsidRPr="006A5B46">
              <w:rPr>
                <w:rFonts w:cs="Times New Roman"/>
                <w:color w:val="000000"/>
                <w:sz w:val="22"/>
              </w:rPr>
              <w:t>0.01</w:t>
            </w:r>
          </w:p>
        </w:tc>
        <w:tc>
          <w:tcPr>
            <w:tcW w:w="811" w:type="pct"/>
            <w:tcBorders>
              <w:left w:val="single" w:sz="4" w:space="0" w:color="auto"/>
            </w:tcBorders>
            <w:vAlign w:val="bottom"/>
          </w:tcPr>
          <w:p w14:paraId="392F5D33" w14:textId="7D22F970" w:rsidR="002A51DD" w:rsidRPr="002A51DD" w:rsidRDefault="002A51DD" w:rsidP="002A51DD">
            <w:pPr>
              <w:jc w:val="center"/>
              <w:rPr>
                <w:rFonts w:cs="Times New Roman"/>
                <w:b/>
                <w:sz w:val="22"/>
              </w:rPr>
            </w:pPr>
            <w:r w:rsidRPr="002A51DD">
              <w:rPr>
                <w:rFonts w:cs="Times New Roman"/>
                <w:b/>
                <w:color w:val="000000"/>
                <w:sz w:val="22"/>
              </w:rPr>
              <w:t>-1.79%</w:t>
            </w:r>
          </w:p>
        </w:tc>
      </w:tr>
      <w:tr w:rsidR="002A51DD" w:rsidRPr="006A5B46" w14:paraId="1A9BB3B5" w14:textId="77777777" w:rsidTr="005C6BF6">
        <w:tc>
          <w:tcPr>
            <w:tcW w:w="1202" w:type="pct"/>
            <w:tcBorders>
              <w:right w:val="single" w:sz="4" w:space="0" w:color="auto"/>
            </w:tcBorders>
            <w:vAlign w:val="center"/>
          </w:tcPr>
          <w:p w14:paraId="3D6A2F33" w14:textId="77777777" w:rsidR="002A51DD" w:rsidRPr="006A5B46" w:rsidRDefault="002A51DD" w:rsidP="002A51DD">
            <w:pPr>
              <w:rPr>
                <w:rFonts w:cs="Times New Roman"/>
                <w:i/>
                <w:sz w:val="22"/>
              </w:rPr>
            </w:pPr>
            <w:r w:rsidRPr="006A5B46">
              <w:rPr>
                <w:rFonts w:cs="Times New Roman"/>
                <w:i/>
                <w:color w:val="000000"/>
                <w:sz w:val="22"/>
              </w:rPr>
              <w:t>November</w:t>
            </w:r>
          </w:p>
        </w:tc>
        <w:tc>
          <w:tcPr>
            <w:tcW w:w="818" w:type="pct"/>
            <w:tcBorders>
              <w:left w:val="single" w:sz="4" w:space="0" w:color="auto"/>
            </w:tcBorders>
            <w:vAlign w:val="center"/>
          </w:tcPr>
          <w:p w14:paraId="2DA1909E" w14:textId="3D540659" w:rsidR="002A51DD" w:rsidRPr="006A5B46" w:rsidRDefault="002A51DD" w:rsidP="002A51DD">
            <w:pPr>
              <w:jc w:val="center"/>
              <w:rPr>
                <w:rFonts w:cs="Times New Roman"/>
                <w:sz w:val="22"/>
              </w:rPr>
            </w:pPr>
            <w:r w:rsidRPr="006A5B46">
              <w:rPr>
                <w:rFonts w:cs="Times New Roman"/>
                <w:color w:val="000000"/>
                <w:sz w:val="22"/>
              </w:rPr>
              <w:t>0.10%</w:t>
            </w:r>
          </w:p>
        </w:tc>
        <w:tc>
          <w:tcPr>
            <w:tcW w:w="673" w:type="pct"/>
            <w:tcBorders>
              <w:right w:val="single" w:sz="4" w:space="0" w:color="auto"/>
            </w:tcBorders>
            <w:vAlign w:val="center"/>
          </w:tcPr>
          <w:p w14:paraId="2A35D61D" w14:textId="227D44F0" w:rsidR="002A51DD" w:rsidRPr="006A5B46" w:rsidRDefault="002A51DD" w:rsidP="002A51DD">
            <w:pPr>
              <w:jc w:val="center"/>
              <w:rPr>
                <w:rFonts w:cs="Times New Roman"/>
                <w:sz w:val="22"/>
              </w:rPr>
            </w:pPr>
            <w:r w:rsidRPr="006A5B46">
              <w:rPr>
                <w:rFonts w:cs="Times New Roman"/>
                <w:color w:val="000000"/>
                <w:sz w:val="22"/>
              </w:rPr>
              <w:t>0.004</w:t>
            </w:r>
          </w:p>
        </w:tc>
        <w:tc>
          <w:tcPr>
            <w:tcW w:w="774" w:type="pct"/>
            <w:tcBorders>
              <w:left w:val="single" w:sz="4" w:space="0" w:color="auto"/>
            </w:tcBorders>
            <w:vAlign w:val="center"/>
          </w:tcPr>
          <w:p w14:paraId="6E63F2C5" w14:textId="717C3FA7" w:rsidR="002A51DD" w:rsidRPr="006A5B46" w:rsidRDefault="002A51DD" w:rsidP="002A51DD">
            <w:pPr>
              <w:jc w:val="center"/>
              <w:rPr>
                <w:rFonts w:cs="Times New Roman"/>
                <w:sz w:val="22"/>
              </w:rPr>
            </w:pPr>
            <w:r w:rsidRPr="006A5B46">
              <w:rPr>
                <w:rFonts w:cs="Times New Roman"/>
                <w:color w:val="000000"/>
                <w:sz w:val="22"/>
              </w:rPr>
              <w:t>-3.14%</w:t>
            </w:r>
            <w:r w:rsidR="00FC2C2A">
              <w:rPr>
                <w:rFonts w:cs="Times New Roman"/>
                <w:color w:val="000000"/>
                <w:sz w:val="22"/>
              </w:rPr>
              <w:t>***</w:t>
            </w:r>
          </w:p>
        </w:tc>
        <w:tc>
          <w:tcPr>
            <w:tcW w:w="722" w:type="pct"/>
            <w:tcBorders>
              <w:right w:val="single" w:sz="4" w:space="0" w:color="auto"/>
            </w:tcBorders>
            <w:vAlign w:val="center"/>
          </w:tcPr>
          <w:p w14:paraId="0B656069" w14:textId="5618453A" w:rsidR="002A51DD" w:rsidRPr="006A5B46" w:rsidRDefault="002A51DD" w:rsidP="002A51DD">
            <w:pPr>
              <w:jc w:val="center"/>
              <w:rPr>
                <w:rFonts w:cs="Times New Roman"/>
                <w:sz w:val="22"/>
              </w:rPr>
            </w:pPr>
            <w:r w:rsidRPr="006A5B46">
              <w:rPr>
                <w:rFonts w:cs="Times New Roman"/>
                <w:color w:val="000000"/>
                <w:sz w:val="22"/>
              </w:rPr>
              <w:t>0.01</w:t>
            </w:r>
          </w:p>
        </w:tc>
        <w:tc>
          <w:tcPr>
            <w:tcW w:w="811" w:type="pct"/>
            <w:tcBorders>
              <w:left w:val="single" w:sz="4" w:space="0" w:color="auto"/>
            </w:tcBorders>
            <w:vAlign w:val="bottom"/>
          </w:tcPr>
          <w:p w14:paraId="4B3064E6" w14:textId="39CA47D9" w:rsidR="002A51DD" w:rsidRPr="002A51DD" w:rsidRDefault="002A51DD" w:rsidP="002A51DD">
            <w:pPr>
              <w:jc w:val="center"/>
              <w:rPr>
                <w:rFonts w:cs="Times New Roman"/>
                <w:b/>
                <w:sz w:val="22"/>
              </w:rPr>
            </w:pPr>
            <w:r w:rsidRPr="002A51DD">
              <w:rPr>
                <w:rFonts w:cs="Times New Roman"/>
                <w:b/>
                <w:color w:val="000000"/>
                <w:sz w:val="22"/>
              </w:rPr>
              <w:t>-3.04%</w:t>
            </w:r>
          </w:p>
        </w:tc>
      </w:tr>
      <w:tr w:rsidR="002A51DD" w:rsidRPr="006A5B46" w14:paraId="4D7DC1C9" w14:textId="77777777" w:rsidTr="005C6BF6">
        <w:tc>
          <w:tcPr>
            <w:tcW w:w="1202" w:type="pct"/>
            <w:tcBorders>
              <w:right w:val="single" w:sz="4" w:space="0" w:color="auto"/>
            </w:tcBorders>
            <w:vAlign w:val="center"/>
          </w:tcPr>
          <w:p w14:paraId="6249ECA9" w14:textId="77777777" w:rsidR="002A51DD" w:rsidRPr="006A5B46" w:rsidRDefault="002A51DD" w:rsidP="002A51DD">
            <w:pPr>
              <w:rPr>
                <w:rFonts w:cs="Times New Roman"/>
                <w:i/>
                <w:sz w:val="22"/>
              </w:rPr>
            </w:pPr>
            <w:r w:rsidRPr="006A5B46">
              <w:rPr>
                <w:rFonts w:cs="Times New Roman"/>
                <w:i/>
                <w:color w:val="000000"/>
                <w:sz w:val="22"/>
              </w:rPr>
              <w:t>December</w:t>
            </w:r>
          </w:p>
        </w:tc>
        <w:tc>
          <w:tcPr>
            <w:tcW w:w="818" w:type="pct"/>
            <w:tcBorders>
              <w:left w:val="single" w:sz="4" w:space="0" w:color="auto"/>
            </w:tcBorders>
            <w:vAlign w:val="center"/>
          </w:tcPr>
          <w:p w14:paraId="4908FB4B" w14:textId="7F9675BB" w:rsidR="002A51DD" w:rsidRPr="006A5B46" w:rsidRDefault="002A51DD" w:rsidP="002A51DD">
            <w:pPr>
              <w:jc w:val="center"/>
              <w:rPr>
                <w:rFonts w:cs="Times New Roman"/>
                <w:sz w:val="22"/>
              </w:rPr>
            </w:pPr>
            <w:r w:rsidRPr="006A5B46">
              <w:rPr>
                <w:rFonts w:cs="Times New Roman"/>
                <w:color w:val="000000"/>
                <w:sz w:val="22"/>
              </w:rPr>
              <w:t>0.07%</w:t>
            </w:r>
          </w:p>
        </w:tc>
        <w:tc>
          <w:tcPr>
            <w:tcW w:w="673" w:type="pct"/>
            <w:tcBorders>
              <w:right w:val="single" w:sz="4" w:space="0" w:color="auto"/>
            </w:tcBorders>
            <w:vAlign w:val="center"/>
          </w:tcPr>
          <w:p w14:paraId="789D354C" w14:textId="02E03770" w:rsidR="002A51DD" w:rsidRPr="006A5B46" w:rsidRDefault="002A51DD" w:rsidP="002A51DD">
            <w:pPr>
              <w:jc w:val="center"/>
              <w:rPr>
                <w:rFonts w:cs="Times New Roman"/>
                <w:sz w:val="22"/>
              </w:rPr>
            </w:pPr>
            <w:r w:rsidRPr="006A5B46">
              <w:rPr>
                <w:rFonts w:cs="Times New Roman"/>
                <w:color w:val="000000"/>
                <w:sz w:val="22"/>
              </w:rPr>
              <w:t>0.004</w:t>
            </w:r>
          </w:p>
        </w:tc>
        <w:tc>
          <w:tcPr>
            <w:tcW w:w="774" w:type="pct"/>
            <w:tcBorders>
              <w:left w:val="single" w:sz="4" w:space="0" w:color="auto"/>
            </w:tcBorders>
            <w:vAlign w:val="center"/>
          </w:tcPr>
          <w:p w14:paraId="4212A8A2" w14:textId="72A57A4D" w:rsidR="002A51DD" w:rsidRPr="006A5B46" w:rsidRDefault="002A51DD" w:rsidP="002A51DD">
            <w:pPr>
              <w:jc w:val="center"/>
              <w:rPr>
                <w:rFonts w:cs="Times New Roman"/>
                <w:sz w:val="22"/>
              </w:rPr>
            </w:pPr>
            <w:r w:rsidRPr="006A5B46">
              <w:rPr>
                <w:rFonts w:cs="Times New Roman"/>
                <w:color w:val="000000"/>
                <w:sz w:val="22"/>
              </w:rPr>
              <w:t>-2.44%</w:t>
            </w:r>
            <w:r w:rsidR="00FC2C2A">
              <w:rPr>
                <w:rFonts w:cs="Times New Roman"/>
                <w:color w:val="000000"/>
                <w:sz w:val="22"/>
              </w:rPr>
              <w:t>***</w:t>
            </w:r>
          </w:p>
        </w:tc>
        <w:tc>
          <w:tcPr>
            <w:tcW w:w="722" w:type="pct"/>
            <w:tcBorders>
              <w:right w:val="single" w:sz="4" w:space="0" w:color="auto"/>
            </w:tcBorders>
            <w:vAlign w:val="center"/>
          </w:tcPr>
          <w:p w14:paraId="60DC2AC9" w14:textId="599AA841" w:rsidR="002A51DD" w:rsidRPr="006A5B46" w:rsidRDefault="002A51DD" w:rsidP="002A51DD">
            <w:pPr>
              <w:jc w:val="center"/>
              <w:rPr>
                <w:rFonts w:cs="Times New Roman"/>
                <w:sz w:val="22"/>
              </w:rPr>
            </w:pPr>
            <w:r w:rsidRPr="006A5B46">
              <w:rPr>
                <w:rFonts w:cs="Times New Roman"/>
                <w:color w:val="000000"/>
                <w:sz w:val="22"/>
              </w:rPr>
              <w:t>0.01</w:t>
            </w:r>
          </w:p>
        </w:tc>
        <w:tc>
          <w:tcPr>
            <w:tcW w:w="811" w:type="pct"/>
            <w:tcBorders>
              <w:left w:val="single" w:sz="4" w:space="0" w:color="auto"/>
            </w:tcBorders>
            <w:vAlign w:val="bottom"/>
          </w:tcPr>
          <w:p w14:paraId="79625C59" w14:textId="66D81163" w:rsidR="002A51DD" w:rsidRPr="002A51DD" w:rsidRDefault="002A51DD" w:rsidP="002A51DD">
            <w:pPr>
              <w:jc w:val="center"/>
              <w:rPr>
                <w:rFonts w:cs="Times New Roman"/>
                <w:b/>
                <w:sz w:val="22"/>
              </w:rPr>
            </w:pPr>
            <w:r w:rsidRPr="002A51DD">
              <w:rPr>
                <w:rFonts w:cs="Times New Roman"/>
                <w:b/>
                <w:color w:val="000000"/>
                <w:sz w:val="22"/>
              </w:rPr>
              <w:t>-2.37%</w:t>
            </w:r>
          </w:p>
        </w:tc>
      </w:tr>
      <w:tr w:rsidR="004A1123" w:rsidRPr="006A5B46" w14:paraId="46416891" w14:textId="77777777" w:rsidTr="005C6BF6">
        <w:tc>
          <w:tcPr>
            <w:tcW w:w="1202" w:type="pct"/>
            <w:tcBorders>
              <w:right w:val="single" w:sz="4" w:space="0" w:color="auto"/>
            </w:tcBorders>
            <w:vAlign w:val="center"/>
          </w:tcPr>
          <w:p w14:paraId="6C8014CF" w14:textId="295518D5" w:rsidR="004A1123" w:rsidRPr="006A5B46" w:rsidRDefault="004A1123" w:rsidP="004A1123">
            <w:pPr>
              <w:rPr>
                <w:rFonts w:cs="Times New Roman"/>
                <w:sz w:val="22"/>
              </w:rPr>
            </w:pPr>
            <w:r w:rsidRPr="006A5B46">
              <w:rPr>
                <w:rFonts w:cs="Times New Roman"/>
                <w:i/>
                <w:sz w:val="22"/>
              </w:rPr>
              <w:t>Recession</w:t>
            </w:r>
          </w:p>
        </w:tc>
        <w:tc>
          <w:tcPr>
            <w:tcW w:w="818" w:type="pct"/>
            <w:tcBorders>
              <w:left w:val="single" w:sz="4" w:space="0" w:color="auto"/>
            </w:tcBorders>
            <w:vAlign w:val="center"/>
          </w:tcPr>
          <w:p w14:paraId="08AB2C68" w14:textId="77777777" w:rsidR="004A1123" w:rsidRPr="006A5B46" w:rsidRDefault="004A1123" w:rsidP="004A1123">
            <w:pPr>
              <w:jc w:val="center"/>
              <w:rPr>
                <w:rFonts w:cs="Times New Roman"/>
                <w:sz w:val="22"/>
              </w:rPr>
            </w:pPr>
          </w:p>
        </w:tc>
        <w:tc>
          <w:tcPr>
            <w:tcW w:w="673" w:type="pct"/>
            <w:tcBorders>
              <w:right w:val="single" w:sz="4" w:space="0" w:color="auto"/>
            </w:tcBorders>
            <w:vAlign w:val="center"/>
          </w:tcPr>
          <w:p w14:paraId="29D35824" w14:textId="77777777" w:rsidR="004A1123" w:rsidRPr="006A5B46" w:rsidRDefault="004A1123" w:rsidP="004A1123">
            <w:pPr>
              <w:jc w:val="center"/>
              <w:rPr>
                <w:rFonts w:cs="Times New Roman"/>
                <w:sz w:val="22"/>
              </w:rPr>
            </w:pPr>
          </w:p>
        </w:tc>
        <w:tc>
          <w:tcPr>
            <w:tcW w:w="774" w:type="pct"/>
            <w:tcBorders>
              <w:left w:val="single" w:sz="4" w:space="0" w:color="auto"/>
            </w:tcBorders>
            <w:vAlign w:val="center"/>
          </w:tcPr>
          <w:p w14:paraId="2BE9260F" w14:textId="6CC56BFB" w:rsidR="004A1123" w:rsidRPr="006A5B46" w:rsidRDefault="004A1123" w:rsidP="004A1123">
            <w:pPr>
              <w:jc w:val="center"/>
              <w:rPr>
                <w:rFonts w:cs="Times New Roman"/>
                <w:sz w:val="22"/>
              </w:rPr>
            </w:pPr>
            <w:r w:rsidRPr="006A5B46">
              <w:rPr>
                <w:rFonts w:cs="Times New Roman"/>
                <w:color w:val="000000"/>
                <w:sz w:val="22"/>
              </w:rPr>
              <w:t>-0.19%</w:t>
            </w:r>
          </w:p>
        </w:tc>
        <w:tc>
          <w:tcPr>
            <w:tcW w:w="722" w:type="pct"/>
            <w:tcBorders>
              <w:right w:val="single" w:sz="4" w:space="0" w:color="auto"/>
            </w:tcBorders>
            <w:vAlign w:val="center"/>
          </w:tcPr>
          <w:p w14:paraId="2A65E425" w14:textId="78959253" w:rsidR="004A1123" w:rsidRPr="006A5B46" w:rsidRDefault="004A1123" w:rsidP="004A1123">
            <w:pPr>
              <w:jc w:val="center"/>
              <w:rPr>
                <w:rFonts w:cs="Times New Roman"/>
                <w:sz w:val="22"/>
              </w:rPr>
            </w:pPr>
            <w:r w:rsidRPr="006A5B46">
              <w:rPr>
                <w:rFonts w:cs="Times New Roman"/>
                <w:color w:val="000000"/>
                <w:sz w:val="22"/>
              </w:rPr>
              <w:t>0.01</w:t>
            </w:r>
          </w:p>
        </w:tc>
        <w:tc>
          <w:tcPr>
            <w:tcW w:w="811" w:type="pct"/>
            <w:tcBorders>
              <w:left w:val="single" w:sz="4" w:space="0" w:color="auto"/>
            </w:tcBorders>
          </w:tcPr>
          <w:p w14:paraId="21EE18FD" w14:textId="77777777" w:rsidR="004A1123" w:rsidRPr="006A5B46" w:rsidRDefault="004A1123" w:rsidP="004A1123">
            <w:pPr>
              <w:jc w:val="center"/>
              <w:rPr>
                <w:rFonts w:cs="Times New Roman"/>
                <w:b/>
                <w:sz w:val="22"/>
              </w:rPr>
            </w:pPr>
          </w:p>
        </w:tc>
      </w:tr>
      <w:tr w:rsidR="00326DE8" w:rsidRPr="006A5B46" w14:paraId="4B7EA4FF" w14:textId="77777777" w:rsidTr="005C6BF6">
        <w:tc>
          <w:tcPr>
            <w:tcW w:w="1202" w:type="pct"/>
            <w:tcBorders>
              <w:right w:val="single" w:sz="4" w:space="0" w:color="auto"/>
            </w:tcBorders>
            <w:vAlign w:val="center"/>
          </w:tcPr>
          <w:p w14:paraId="7354B212" w14:textId="1C6DD624" w:rsidR="00326DE8" w:rsidRPr="006A5B46" w:rsidRDefault="00326DE8" w:rsidP="00326DE8">
            <w:pPr>
              <w:rPr>
                <w:rFonts w:cs="Times New Roman"/>
                <w:i/>
                <w:sz w:val="22"/>
              </w:rPr>
            </w:pPr>
          </w:p>
        </w:tc>
        <w:tc>
          <w:tcPr>
            <w:tcW w:w="818" w:type="pct"/>
            <w:tcBorders>
              <w:left w:val="single" w:sz="4" w:space="0" w:color="auto"/>
            </w:tcBorders>
            <w:vAlign w:val="center"/>
          </w:tcPr>
          <w:p w14:paraId="1340528E" w14:textId="77777777" w:rsidR="00326DE8" w:rsidRPr="006A5B46" w:rsidRDefault="00326DE8" w:rsidP="00326DE8">
            <w:pPr>
              <w:jc w:val="center"/>
              <w:rPr>
                <w:rFonts w:cs="Times New Roman"/>
                <w:sz w:val="22"/>
              </w:rPr>
            </w:pPr>
          </w:p>
        </w:tc>
        <w:tc>
          <w:tcPr>
            <w:tcW w:w="673" w:type="pct"/>
            <w:tcBorders>
              <w:right w:val="single" w:sz="4" w:space="0" w:color="auto"/>
            </w:tcBorders>
            <w:vAlign w:val="center"/>
          </w:tcPr>
          <w:p w14:paraId="25ABC85C" w14:textId="77777777" w:rsidR="00326DE8" w:rsidRPr="006A5B46" w:rsidRDefault="00326DE8" w:rsidP="00326DE8">
            <w:pPr>
              <w:jc w:val="center"/>
              <w:rPr>
                <w:rFonts w:cs="Times New Roman"/>
                <w:sz w:val="22"/>
              </w:rPr>
            </w:pPr>
          </w:p>
        </w:tc>
        <w:tc>
          <w:tcPr>
            <w:tcW w:w="774" w:type="pct"/>
            <w:tcBorders>
              <w:left w:val="single" w:sz="4" w:space="0" w:color="auto"/>
            </w:tcBorders>
            <w:vAlign w:val="center"/>
          </w:tcPr>
          <w:p w14:paraId="4A3242CB" w14:textId="08FE3CC4" w:rsidR="00326DE8" w:rsidRPr="006A5B46" w:rsidRDefault="00326DE8" w:rsidP="00326DE8">
            <w:pPr>
              <w:jc w:val="center"/>
              <w:rPr>
                <w:rFonts w:cs="Times New Roman"/>
                <w:sz w:val="22"/>
              </w:rPr>
            </w:pPr>
          </w:p>
        </w:tc>
        <w:tc>
          <w:tcPr>
            <w:tcW w:w="722" w:type="pct"/>
            <w:tcBorders>
              <w:right w:val="single" w:sz="4" w:space="0" w:color="auto"/>
            </w:tcBorders>
            <w:vAlign w:val="center"/>
          </w:tcPr>
          <w:p w14:paraId="053949A1" w14:textId="6032694B" w:rsidR="00326DE8" w:rsidRPr="006A5B46" w:rsidRDefault="00326DE8" w:rsidP="00326DE8">
            <w:pPr>
              <w:jc w:val="center"/>
              <w:rPr>
                <w:rFonts w:cs="Times New Roman"/>
                <w:color w:val="000000"/>
                <w:sz w:val="22"/>
              </w:rPr>
            </w:pPr>
          </w:p>
        </w:tc>
        <w:tc>
          <w:tcPr>
            <w:tcW w:w="811" w:type="pct"/>
            <w:tcBorders>
              <w:left w:val="single" w:sz="4" w:space="0" w:color="auto"/>
            </w:tcBorders>
          </w:tcPr>
          <w:p w14:paraId="01CA5DD7" w14:textId="77777777" w:rsidR="00326DE8" w:rsidRPr="006A5B46" w:rsidRDefault="00326DE8" w:rsidP="00326DE8">
            <w:pPr>
              <w:jc w:val="center"/>
              <w:rPr>
                <w:rFonts w:cs="Times New Roman"/>
                <w:b/>
                <w:sz w:val="22"/>
              </w:rPr>
            </w:pPr>
          </w:p>
        </w:tc>
      </w:tr>
      <w:tr w:rsidR="001F1AE0" w:rsidRPr="006A5B46" w14:paraId="62D2A7EA" w14:textId="77777777" w:rsidTr="005C6BF6">
        <w:tc>
          <w:tcPr>
            <w:tcW w:w="1202" w:type="pct"/>
            <w:tcBorders>
              <w:right w:val="single" w:sz="4" w:space="0" w:color="auto"/>
            </w:tcBorders>
            <w:vAlign w:val="center"/>
          </w:tcPr>
          <w:p w14:paraId="56556787" w14:textId="1594BD4A" w:rsidR="001F1AE0" w:rsidRPr="006A5B46" w:rsidRDefault="001F1AE0" w:rsidP="001F1AE0">
            <w:pPr>
              <w:rPr>
                <w:rFonts w:cs="Times New Roman"/>
                <w:i/>
                <w:sz w:val="22"/>
              </w:rPr>
            </w:pPr>
            <w:r w:rsidRPr="006A5B46">
              <w:rPr>
                <w:rFonts w:cs="Times New Roman"/>
                <w:i/>
                <w:color w:val="000000"/>
                <w:sz w:val="22"/>
              </w:rPr>
              <w:t>ar1</w:t>
            </w:r>
          </w:p>
        </w:tc>
        <w:tc>
          <w:tcPr>
            <w:tcW w:w="818" w:type="pct"/>
            <w:tcBorders>
              <w:left w:val="single" w:sz="4" w:space="0" w:color="auto"/>
            </w:tcBorders>
            <w:vAlign w:val="center"/>
          </w:tcPr>
          <w:p w14:paraId="2571929E" w14:textId="5845841D" w:rsidR="001F1AE0" w:rsidRPr="006A5B46" w:rsidRDefault="001F1AE0" w:rsidP="001F1AE0">
            <w:pPr>
              <w:jc w:val="center"/>
              <w:rPr>
                <w:rFonts w:cs="Times New Roman"/>
                <w:sz w:val="22"/>
              </w:rPr>
            </w:pPr>
            <w:r w:rsidRPr="006A5B46">
              <w:rPr>
                <w:rFonts w:cs="Times New Roman"/>
                <w:color w:val="000000"/>
                <w:sz w:val="22"/>
              </w:rPr>
              <w:t>-18.17%</w:t>
            </w:r>
          </w:p>
        </w:tc>
        <w:tc>
          <w:tcPr>
            <w:tcW w:w="673" w:type="pct"/>
            <w:tcBorders>
              <w:right w:val="single" w:sz="4" w:space="0" w:color="auto"/>
            </w:tcBorders>
            <w:vAlign w:val="center"/>
          </w:tcPr>
          <w:p w14:paraId="11127272" w14:textId="7DEA271F" w:rsidR="001F1AE0" w:rsidRPr="006A5B46" w:rsidRDefault="001F1AE0" w:rsidP="001F1AE0">
            <w:pPr>
              <w:jc w:val="center"/>
              <w:rPr>
                <w:rFonts w:cs="Times New Roman"/>
                <w:sz w:val="22"/>
              </w:rPr>
            </w:pPr>
            <w:r w:rsidRPr="006A5B46">
              <w:rPr>
                <w:rFonts w:cs="Times New Roman"/>
                <w:color w:val="000000"/>
                <w:sz w:val="22"/>
              </w:rPr>
              <w:t>0.229</w:t>
            </w:r>
          </w:p>
        </w:tc>
        <w:tc>
          <w:tcPr>
            <w:tcW w:w="774" w:type="pct"/>
            <w:tcBorders>
              <w:left w:val="single" w:sz="4" w:space="0" w:color="auto"/>
            </w:tcBorders>
            <w:vAlign w:val="center"/>
          </w:tcPr>
          <w:p w14:paraId="0BBD37FD" w14:textId="76BB9C61" w:rsidR="001F1AE0" w:rsidRPr="006A5B46" w:rsidRDefault="001F1AE0" w:rsidP="001F1AE0">
            <w:pPr>
              <w:jc w:val="center"/>
              <w:rPr>
                <w:rFonts w:cs="Times New Roman"/>
                <w:sz w:val="22"/>
              </w:rPr>
            </w:pPr>
            <w:r w:rsidRPr="006A5B46">
              <w:rPr>
                <w:rFonts w:cs="Times New Roman"/>
                <w:color w:val="000000"/>
                <w:sz w:val="22"/>
              </w:rPr>
              <w:t>27.06%</w:t>
            </w:r>
            <w:r w:rsidR="00FC2C2A">
              <w:rPr>
                <w:rFonts w:cs="Times New Roman"/>
                <w:color w:val="000000"/>
                <w:sz w:val="22"/>
              </w:rPr>
              <w:t>***</w:t>
            </w:r>
          </w:p>
        </w:tc>
        <w:tc>
          <w:tcPr>
            <w:tcW w:w="722" w:type="pct"/>
            <w:tcBorders>
              <w:right w:val="single" w:sz="4" w:space="0" w:color="auto"/>
            </w:tcBorders>
            <w:vAlign w:val="center"/>
          </w:tcPr>
          <w:p w14:paraId="75199DB4" w14:textId="2C27E4FE" w:rsidR="001F1AE0" w:rsidRPr="006A5B46" w:rsidRDefault="001F1AE0" w:rsidP="001F1AE0">
            <w:pPr>
              <w:jc w:val="center"/>
              <w:rPr>
                <w:rFonts w:cs="Times New Roman"/>
                <w:sz w:val="22"/>
              </w:rPr>
            </w:pPr>
            <w:r w:rsidRPr="006A5B46">
              <w:rPr>
                <w:rFonts w:cs="Times New Roman"/>
                <w:color w:val="000000"/>
                <w:sz w:val="22"/>
              </w:rPr>
              <w:t>0.08</w:t>
            </w:r>
          </w:p>
        </w:tc>
        <w:tc>
          <w:tcPr>
            <w:tcW w:w="811" w:type="pct"/>
            <w:tcBorders>
              <w:left w:val="single" w:sz="4" w:space="0" w:color="auto"/>
            </w:tcBorders>
          </w:tcPr>
          <w:p w14:paraId="72C3F674" w14:textId="77777777" w:rsidR="001F1AE0" w:rsidRPr="006A5B46" w:rsidRDefault="001F1AE0" w:rsidP="001F1AE0">
            <w:pPr>
              <w:jc w:val="center"/>
              <w:rPr>
                <w:rFonts w:cs="Times New Roman"/>
                <w:b/>
                <w:sz w:val="22"/>
              </w:rPr>
            </w:pPr>
          </w:p>
        </w:tc>
      </w:tr>
      <w:tr w:rsidR="00326DE8" w:rsidRPr="006A5B46" w14:paraId="27B3A7D9" w14:textId="77777777" w:rsidTr="005C6BF6">
        <w:tc>
          <w:tcPr>
            <w:tcW w:w="1202" w:type="pct"/>
            <w:tcBorders>
              <w:right w:val="single" w:sz="4" w:space="0" w:color="auto"/>
            </w:tcBorders>
            <w:vAlign w:val="center"/>
          </w:tcPr>
          <w:p w14:paraId="4680ABE0" w14:textId="3E3A8B89" w:rsidR="00326DE8" w:rsidRPr="006A5B46" w:rsidRDefault="00326DE8" w:rsidP="00326DE8">
            <w:pPr>
              <w:rPr>
                <w:rFonts w:cs="Times New Roman"/>
                <w:i/>
                <w:sz w:val="22"/>
              </w:rPr>
            </w:pPr>
            <w:r w:rsidRPr="006A5B46">
              <w:rPr>
                <w:rFonts w:cs="Times New Roman"/>
                <w:i/>
                <w:color w:val="000000"/>
                <w:sz w:val="22"/>
              </w:rPr>
              <w:t>ar2</w:t>
            </w:r>
          </w:p>
        </w:tc>
        <w:tc>
          <w:tcPr>
            <w:tcW w:w="818" w:type="pct"/>
            <w:tcBorders>
              <w:left w:val="single" w:sz="4" w:space="0" w:color="auto"/>
            </w:tcBorders>
            <w:vAlign w:val="center"/>
          </w:tcPr>
          <w:p w14:paraId="514E917B" w14:textId="7BD61D80" w:rsidR="00326DE8" w:rsidRPr="006A5B46" w:rsidRDefault="00326DE8" w:rsidP="00326DE8">
            <w:pPr>
              <w:jc w:val="center"/>
              <w:rPr>
                <w:rFonts w:cs="Times New Roman"/>
                <w:sz w:val="22"/>
              </w:rPr>
            </w:pPr>
            <w:r w:rsidRPr="006A5B46">
              <w:rPr>
                <w:rFonts w:cs="Times New Roman"/>
                <w:color w:val="000000"/>
                <w:sz w:val="22"/>
              </w:rPr>
              <w:t>4.65%</w:t>
            </w:r>
          </w:p>
        </w:tc>
        <w:tc>
          <w:tcPr>
            <w:tcW w:w="673" w:type="pct"/>
            <w:tcBorders>
              <w:right w:val="single" w:sz="4" w:space="0" w:color="auto"/>
            </w:tcBorders>
            <w:vAlign w:val="center"/>
          </w:tcPr>
          <w:p w14:paraId="4E30051B" w14:textId="6036ACC3" w:rsidR="00326DE8" w:rsidRPr="006A5B46" w:rsidRDefault="00326DE8" w:rsidP="00326DE8">
            <w:pPr>
              <w:jc w:val="center"/>
              <w:rPr>
                <w:rFonts w:cs="Times New Roman"/>
                <w:sz w:val="22"/>
              </w:rPr>
            </w:pPr>
            <w:r w:rsidRPr="006A5B46">
              <w:rPr>
                <w:rFonts w:cs="Times New Roman"/>
                <w:color w:val="000000"/>
                <w:sz w:val="22"/>
              </w:rPr>
              <w:t>0.102</w:t>
            </w:r>
          </w:p>
        </w:tc>
        <w:tc>
          <w:tcPr>
            <w:tcW w:w="774" w:type="pct"/>
            <w:tcBorders>
              <w:left w:val="single" w:sz="4" w:space="0" w:color="auto"/>
            </w:tcBorders>
          </w:tcPr>
          <w:p w14:paraId="2340CC74" w14:textId="77777777" w:rsidR="00326DE8" w:rsidRPr="006A5B46" w:rsidRDefault="00326DE8" w:rsidP="00326DE8">
            <w:pPr>
              <w:jc w:val="center"/>
              <w:rPr>
                <w:rFonts w:cs="Times New Roman"/>
                <w:sz w:val="22"/>
              </w:rPr>
            </w:pPr>
          </w:p>
        </w:tc>
        <w:tc>
          <w:tcPr>
            <w:tcW w:w="722" w:type="pct"/>
            <w:tcBorders>
              <w:right w:val="single" w:sz="4" w:space="0" w:color="auto"/>
            </w:tcBorders>
          </w:tcPr>
          <w:p w14:paraId="07F04A59" w14:textId="77777777" w:rsidR="00326DE8" w:rsidRPr="006A5B46" w:rsidRDefault="00326DE8" w:rsidP="00326DE8">
            <w:pPr>
              <w:jc w:val="center"/>
              <w:rPr>
                <w:rFonts w:cs="Times New Roman"/>
                <w:sz w:val="22"/>
              </w:rPr>
            </w:pPr>
          </w:p>
        </w:tc>
        <w:tc>
          <w:tcPr>
            <w:tcW w:w="811" w:type="pct"/>
            <w:tcBorders>
              <w:left w:val="single" w:sz="4" w:space="0" w:color="auto"/>
            </w:tcBorders>
          </w:tcPr>
          <w:p w14:paraId="2860E165" w14:textId="77777777" w:rsidR="00326DE8" w:rsidRPr="006A5B46" w:rsidRDefault="00326DE8" w:rsidP="00326DE8">
            <w:pPr>
              <w:jc w:val="center"/>
              <w:rPr>
                <w:rFonts w:cs="Times New Roman"/>
                <w:b/>
                <w:sz w:val="22"/>
              </w:rPr>
            </w:pPr>
          </w:p>
        </w:tc>
      </w:tr>
      <w:tr w:rsidR="00326DE8" w:rsidRPr="006A5B46" w14:paraId="6B81B386" w14:textId="77777777" w:rsidTr="005C6BF6">
        <w:tc>
          <w:tcPr>
            <w:tcW w:w="1202" w:type="pct"/>
            <w:tcBorders>
              <w:right w:val="single" w:sz="4" w:space="0" w:color="auto"/>
            </w:tcBorders>
            <w:vAlign w:val="center"/>
          </w:tcPr>
          <w:p w14:paraId="323B069A" w14:textId="33467D99" w:rsidR="00326DE8" w:rsidRPr="006A5B46" w:rsidRDefault="00326DE8" w:rsidP="00326DE8">
            <w:pPr>
              <w:rPr>
                <w:rFonts w:cs="Times New Roman"/>
                <w:i/>
                <w:sz w:val="22"/>
              </w:rPr>
            </w:pPr>
            <w:r w:rsidRPr="006A5B46">
              <w:rPr>
                <w:rFonts w:cs="Times New Roman"/>
                <w:i/>
                <w:color w:val="000000"/>
                <w:sz w:val="22"/>
              </w:rPr>
              <w:t>ar3</w:t>
            </w:r>
          </w:p>
        </w:tc>
        <w:tc>
          <w:tcPr>
            <w:tcW w:w="818" w:type="pct"/>
            <w:tcBorders>
              <w:left w:val="single" w:sz="4" w:space="0" w:color="auto"/>
            </w:tcBorders>
            <w:vAlign w:val="center"/>
          </w:tcPr>
          <w:p w14:paraId="1D790276" w14:textId="5CE01E67" w:rsidR="00326DE8" w:rsidRPr="006A5B46" w:rsidRDefault="00326DE8" w:rsidP="00326DE8">
            <w:pPr>
              <w:jc w:val="center"/>
              <w:rPr>
                <w:rFonts w:cs="Times New Roman"/>
                <w:sz w:val="22"/>
              </w:rPr>
            </w:pPr>
            <w:r w:rsidRPr="006A5B46">
              <w:rPr>
                <w:rFonts w:cs="Times New Roman"/>
                <w:color w:val="000000"/>
                <w:sz w:val="22"/>
              </w:rPr>
              <w:t>-8.20%</w:t>
            </w:r>
          </w:p>
        </w:tc>
        <w:tc>
          <w:tcPr>
            <w:tcW w:w="673" w:type="pct"/>
            <w:tcBorders>
              <w:right w:val="single" w:sz="4" w:space="0" w:color="auto"/>
            </w:tcBorders>
            <w:vAlign w:val="center"/>
          </w:tcPr>
          <w:p w14:paraId="46602B67" w14:textId="1CFB310F" w:rsidR="00326DE8" w:rsidRPr="006A5B46" w:rsidRDefault="00326DE8" w:rsidP="00326DE8">
            <w:pPr>
              <w:jc w:val="center"/>
              <w:rPr>
                <w:rFonts w:cs="Times New Roman"/>
                <w:sz w:val="22"/>
              </w:rPr>
            </w:pPr>
            <w:r w:rsidRPr="006A5B46">
              <w:rPr>
                <w:rFonts w:cs="Times New Roman"/>
                <w:color w:val="000000"/>
                <w:sz w:val="22"/>
              </w:rPr>
              <w:t>0.088</w:t>
            </w:r>
          </w:p>
        </w:tc>
        <w:tc>
          <w:tcPr>
            <w:tcW w:w="774" w:type="pct"/>
            <w:tcBorders>
              <w:left w:val="single" w:sz="4" w:space="0" w:color="auto"/>
            </w:tcBorders>
            <w:vAlign w:val="center"/>
          </w:tcPr>
          <w:p w14:paraId="726DF3A5" w14:textId="2DD2BB4E" w:rsidR="00326DE8" w:rsidRPr="006A5B46" w:rsidRDefault="00326DE8" w:rsidP="00326DE8">
            <w:pPr>
              <w:jc w:val="center"/>
              <w:rPr>
                <w:rFonts w:cs="Times New Roman"/>
                <w:sz w:val="22"/>
              </w:rPr>
            </w:pPr>
          </w:p>
        </w:tc>
        <w:tc>
          <w:tcPr>
            <w:tcW w:w="722" w:type="pct"/>
            <w:tcBorders>
              <w:right w:val="single" w:sz="4" w:space="0" w:color="auto"/>
            </w:tcBorders>
            <w:vAlign w:val="center"/>
          </w:tcPr>
          <w:p w14:paraId="7F28E9FD" w14:textId="66B7A21A" w:rsidR="00326DE8" w:rsidRPr="006A5B46" w:rsidRDefault="00326DE8" w:rsidP="00326DE8">
            <w:pPr>
              <w:jc w:val="center"/>
              <w:rPr>
                <w:rFonts w:cs="Times New Roman"/>
                <w:sz w:val="22"/>
              </w:rPr>
            </w:pPr>
          </w:p>
        </w:tc>
        <w:tc>
          <w:tcPr>
            <w:tcW w:w="811" w:type="pct"/>
            <w:tcBorders>
              <w:left w:val="single" w:sz="4" w:space="0" w:color="auto"/>
            </w:tcBorders>
          </w:tcPr>
          <w:p w14:paraId="5FA58239" w14:textId="77777777" w:rsidR="00326DE8" w:rsidRPr="006A5B46" w:rsidRDefault="00326DE8" w:rsidP="00326DE8">
            <w:pPr>
              <w:jc w:val="center"/>
              <w:rPr>
                <w:rFonts w:cs="Times New Roman"/>
                <w:b/>
                <w:sz w:val="22"/>
              </w:rPr>
            </w:pPr>
          </w:p>
        </w:tc>
      </w:tr>
      <w:tr w:rsidR="00326DE8" w:rsidRPr="006A5B46" w14:paraId="07710B2D" w14:textId="77777777" w:rsidTr="005C6BF6">
        <w:tc>
          <w:tcPr>
            <w:tcW w:w="1202" w:type="pct"/>
            <w:tcBorders>
              <w:right w:val="single" w:sz="4" w:space="0" w:color="auto"/>
            </w:tcBorders>
            <w:vAlign w:val="center"/>
          </w:tcPr>
          <w:p w14:paraId="69D10E51" w14:textId="52733D01" w:rsidR="00326DE8" w:rsidRPr="006A5B46" w:rsidRDefault="00326DE8" w:rsidP="00326DE8">
            <w:pPr>
              <w:rPr>
                <w:rFonts w:cs="Times New Roman"/>
                <w:i/>
                <w:sz w:val="22"/>
              </w:rPr>
            </w:pPr>
            <w:r w:rsidRPr="006A5B46">
              <w:rPr>
                <w:rFonts w:cs="Times New Roman"/>
                <w:i/>
                <w:color w:val="000000"/>
                <w:sz w:val="22"/>
              </w:rPr>
              <w:t>ar4</w:t>
            </w:r>
          </w:p>
        </w:tc>
        <w:tc>
          <w:tcPr>
            <w:tcW w:w="818" w:type="pct"/>
            <w:tcBorders>
              <w:left w:val="single" w:sz="4" w:space="0" w:color="auto"/>
            </w:tcBorders>
            <w:vAlign w:val="center"/>
          </w:tcPr>
          <w:p w14:paraId="141F3656" w14:textId="7E8E3CD4" w:rsidR="00326DE8" w:rsidRPr="006A5B46" w:rsidRDefault="00326DE8" w:rsidP="00326DE8">
            <w:pPr>
              <w:jc w:val="center"/>
              <w:rPr>
                <w:rFonts w:cs="Times New Roman"/>
                <w:sz w:val="22"/>
              </w:rPr>
            </w:pPr>
            <w:r w:rsidRPr="006A5B46">
              <w:rPr>
                <w:rFonts w:cs="Times New Roman"/>
                <w:color w:val="000000"/>
                <w:sz w:val="22"/>
              </w:rPr>
              <w:t>0.05%</w:t>
            </w:r>
          </w:p>
        </w:tc>
        <w:tc>
          <w:tcPr>
            <w:tcW w:w="673" w:type="pct"/>
            <w:tcBorders>
              <w:right w:val="single" w:sz="4" w:space="0" w:color="auto"/>
            </w:tcBorders>
            <w:vAlign w:val="center"/>
          </w:tcPr>
          <w:p w14:paraId="0C742CDB" w14:textId="31C08262" w:rsidR="00326DE8" w:rsidRPr="006A5B46" w:rsidRDefault="00326DE8" w:rsidP="00326DE8">
            <w:pPr>
              <w:jc w:val="center"/>
              <w:rPr>
                <w:rFonts w:cs="Times New Roman"/>
                <w:sz w:val="22"/>
              </w:rPr>
            </w:pPr>
            <w:r w:rsidRPr="006A5B46">
              <w:rPr>
                <w:rFonts w:cs="Times New Roman"/>
                <w:color w:val="000000"/>
                <w:sz w:val="22"/>
              </w:rPr>
              <w:t>0.087</w:t>
            </w:r>
          </w:p>
        </w:tc>
        <w:tc>
          <w:tcPr>
            <w:tcW w:w="774" w:type="pct"/>
            <w:tcBorders>
              <w:left w:val="single" w:sz="4" w:space="0" w:color="auto"/>
            </w:tcBorders>
          </w:tcPr>
          <w:p w14:paraId="5FE97618" w14:textId="77777777" w:rsidR="00326DE8" w:rsidRPr="006A5B46" w:rsidRDefault="00326DE8" w:rsidP="00326DE8">
            <w:pPr>
              <w:jc w:val="center"/>
              <w:rPr>
                <w:rFonts w:cs="Times New Roman"/>
                <w:sz w:val="22"/>
              </w:rPr>
            </w:pPr>
          </w:p>
        </w:tc>
        <w:tc>
          <w:tcPr>
            <w:tcW w:w="722" w:type="pct"/>
            <w:tcBorders>
              <w:right w:val="single" w:sz="4" w:space="0" w:color="auto"/>
            </w:tcBorders>
          </w:tcPr>
          <w:p w14:paraId="1A645AD3" w14:textId="77777777" w:rsidR="00326DE8" w:rsidRPr="006A5B46" w:rsidRDefault="00326DE8" w:rsidP="00326DE8">
            <w:pPr>
              <w:jc w:val="center"/>
              <w:rPr>
                <w:rFonts w:cs="Times New Roman"/>
                <w:sz w:val="22"/>
              </w:rPr>
            </w:pPr>
          </w:p>
        </w:tc>
        <w:tc>
          <w:tcPr>
            <w:tcW w:w="811" w:type="pct"/>
            <w:tcBorders>
              <w:left w:val="single" w:sz="4" w:space="0" w:color="auto"/>
            </w:tcBorders>
          </w:tcPr>
          <w:p w14:paraId="16FD1DE8" w14:textId="77777777" w:rsidR="00326DE8" w:rsidRPr="006A5B46" w:rsidRDefault="00326DE8" w:rsidP="00326DE8">
            <w:pPr>
              <w:jc w:val="center"/>
              <w:rPr>
                <w:rFonts w:cs="Times New Roman"/>
                <w:b/>
                <w:sz w:val="22"/>
              </w:rPr>
            </w:pPr>
          </w:p>
        </w:tc>
      </w:tr>
      <w:tr w:rsidR="00326DE8" w:rsidRPr="006A5B46" w14:paraId="7E6B14F5" w14:textId="77777777" w:rsidTr="005C6BF6">
        <w:tc>
          <w:tcPr>
            <w:tcW w:w="1202" w:type="pct"/>
            <w:tcBorders>
              <w:right w:val="single" w:sz="4" w:space="0" w:color="auto"/>
            </w:tcBorders>
            <w:vAlign w:val="center"/>
          </w:tcPr>
          <w:p w14:paraId="52E8A8EA" w14:textId="33E0B891" w:rsidR="00326DE8" w:rsidRPr="006A5B46" w:rsidRDefault="00326DE8" w:rsidP="00326DE8">
            <w:pPr>
              <w:rPr>
                <w:rFonts w:cs="Times New Roman"/>
                <w:i/>
                <w:color w:val="000000"/>
                <w:sz w:val="22"/>
              </w:rPr>
            </w:pPr>
            <w:r w:rsidRPr="006A5B46">
              <w:rPr>
                <w:rFonts w:cs="Times New Roman"/>
                <w:i/>
                <w:color w:val="000000"/>
                <w:sz w:val="22"/>
              </w:rPr>
              <w:t>ar5</w:t>
            </w:r>
          </w:p>
        </w:tc>
        <w:tc>
          <w:tcPr>
            <w:tcW w:w="818" w:type="pct"/>
            <w:tcBorders>
              <w:left w:val="single" w:sz="4" w:space="0" w:color="auto"/>
            </w:tcBorders>
            <w:vAlign w:val="center"/>
          </w:tcPr>
          <w:p w14:paraId="42A4FE03" w14:textId="209099D9" w:rsidR="00326DE8" w:rsidRPr="006A5B46" w:rsidRDefault="00326DE8" w:rsidP="00326DE8">
            <w:pPr>
              <w:jc w:val="center"/>
              <w:rPr>
                <w:rFonts w:cs="Times New Roman"/>
                <w:sz w:val="22"/>
              </w:rPr>
            </w:pPr>
            <w:r w:rsidRPr="006A5B46">
              <w:rPr>
                <w:rFonts w:cs="Times New Roman"/>
                <w:color w:val="000000"/>
                <w:sz w:val="22"/>
              </w:rPr>
              <w:t>24.37%***</w:t>
            </w:r>
          </w:p>
        </w:tc>
        <w:tc>
          <w:tcPr>
            <w:tcW w:w="673" w:type="pct"/>
            <w:tcBorders>
              <w:right w:val="single" w:sz="4" w:space="0" w:color="auto"/>
            </w:tcBorders>
            <w:vAlign w:val="center"/>
          </w:tcPr>
          <w:p w14:paraId="4EB18D3C" w14:textId="72CC336F" w:rsidR="00326DE8" w:rsidRPr="006A5B46" w:rsidRDefault="00326DE8" w:rsidP="00326DE8">
            <w:pPr>
              <w:jc w:val="center"/>
              <w:rPr>
                <w:rFonts w:cs="Times New Roman"/>
                <w:sz w:val="22"/>
              </w:rPr>
            </w:pPr>
            <w:r w:rsidRPr="006A5B46">
              <w:rPr>
                <w:rFonts w:cs="Times New Roman"/>
                <w:color w:val="000000"/>
                <w:sz w:val="22"/>
              </w:rPr>
              <w:t>0.085</w:t>
            </w:r>
          </w:p>
        </w:tc>
        <w:tc>
          <w:tcPr>
            <w:tcW w:w="774" w:type="pct"/>
            <w:tcBorders>
              <w:left w:val="single" w:sz="4" w:space="0" w:color="auto"/>
            </w:tcBorders>
          </w:tcPr>
          <w:p w14:paraId="0C840FF7" w14:textId="77777777" w:rsidR="00326DE8" w:rsidRPr="006A5B46" w:rsidRDefault="00326DE8" w:rsidP="00326DE8">
            <w:pPr>
              <w:jc w:val="center"/>
              <w:rPr>
                <w:rFonts w:cs="Times New Roman"/>
                <w:sz w:val="22"/>
              </w:rPr>
            </w:pPr>
          </w:p>
        </w:tc>
        <w:tc>
          <w:tcPr>
            <w:tcW w:w="722" w:type="pct"/>
            <w:tcBorders>
              <w:right w:val="single" w:sz="4" w:space="0" w:color="auto"/>
            </w:tcBorders>
          </w:tcPr>
          <w:p w14:paraId="4165300D" w14:textId="77777777" w:rsidR="00326DE8" w:rsidRPr="006A5B46" w:rsidRDefault="00326DE8" w:rsidP="00326DE8">
            <w:pPr>
              <w:jc w:val="center"/>
              <w:rPr>
                <w:rFonts w:cs="Times New Roman"/>
                <w:sz w:val="22"/>
              </w:rPr>
            </w:pPr>
          </w:p>
        </w:tc>
        <w:tc>
          <w:tcPr>
            <w:tcW w:w="811" w:type="pct"/>
            <w:tcBorders>
              <w:left w:val="single" w:sz="4" w:space="0" w:color="auto"/>
            </w:tcBorders>
          </w:tcPr>
          <w:p w14:paraId="61F13AD6" w14:textId="77777777" w:rsidR="00326DE8" w:rsidRPr="006A5B46" w:rsidRDefault="00326DE8" w:rsidP="00326DE8">
            <w:pPr>
              <w:jc w:val="center"/>
              <w:rPr>
                <w:rFonts w:cs="Times New Roman"/>
                <w:b/>
                <w:sz w:val="22"/>
              </w:rPr>
            </w:pPr>
          </w:p>
        </w:tc>
      </w:tr>
      <w:tr w:rsidR="00326DE8" w:rsidRPr="006A5B46" w14:paraId="770012D1" w14:textId="77777777" w:rsidTr="005C6BF6">
        <w:tc>
          <w:tcPr>
            <w:tcW w:w="1202" w:type="pct"/>
            <w:tcBorders>
              <w:right w:val="single" w:sz="4" w:space="0" w:color="auto"/>
            </w:tcBorders>
            <w:vAlign w:val="center"/>
          </w:tcPr>
          <w:p w14:paraId="6D0FE673" w14:textId="0391F9E6" w:rsidR="00326DE8" w:rsidRPr="006A5B46" w:rsidRDefault="00326DE8" w:rsidP="00326DE8">
            <w:pPr>
              <w:rPr>
                <w:rFonts w:cs="Times New Roman"/>
                <w:i/>
                <w:color w:val="000000"/>
                <w:sz w:val="22"/>
              </w:rPr>
            </w:pPr>
            <w:r w:rsidRPr="006A5B46">
              <w:rPr>
                <w:rFonts w:cs="Times New Roman"/>
                <w:i/>
                <w:color w:val="000000"/>
                <w:sz w:val="22"/>
              </w:rPr>
              <w:t>ma1</w:t>
            </w:r>
          </w:p>
        </w:tc>
        <w:tc>
          <w:tcPr>
            <w:tcW w:w="818" w:type="pct"/>
            <w:tcBorders>
              <w:left w:val="single" w:sz="4" w:space="0" w:color="auto"/>
            </w:tcBorders>
            <w:vAlign w:val="center"/>
          </w:tcPr>
          <w:p w14:paraId="1608B5E7" w14:textId="2C138D33" w:rsidR="00326DE8" w:rsidRPr="006A5B46" w:rsidRDefault="00326DE8" w:rsidP="00326DE8">
            <w:pPr>
              <w:jc w:val="center"/>
              <w:rPr>
                <w:rFonts w:cs="Times New Roman"/>
                <w:sz w:val="22"/>
              </w:rPr>
            </w:pPr>
            <w:r w:rsidRPr="006A5B46">
              <w:rPr>
                <w:rFonts w:cs="Times New Roman"/>
                <w:color w:val="000000"/>
                <w:sz w:val="22"/>
              </w:rPr>
              <w:t>45.69%**</w:t>
            </w:r>
          </w:p>
        </w:tc>
        <w:tc>
          <w:tcPr>
            <w:tcW w:w="673" w:type="pct"/>
            <w:tcBorders>
              <w:right w:val="single" w:sz="4" w:space="0" w:color="auto"/>
            </w:tcBorders>
            <w:vAlign w:val="center"/>
          </w:tcPr>
          <w:p w14:paraId="67371696" w14:textId="26161AC8" w:rsidR="00326DE8" w:rsidRPr="006A5B46" w:rsidRDefault="00326DE8" w:rsidP="00326DE8">
            <w:pPr>
              <w:jc w:val="center"/>
              <w:rPr>
                <w:rFonts w:cs="Times New Roman"/>
                <w:sz w:val="22"/>
              </w:rPr>
            </w:pPr>
            <w:r w:rsidRPr="006A5B46">
              <w:rPr>
                <w:rFonts w:cs="Times New Roman"/>
                <w:color w:val="000000"/>
                <w:sz w:val="22"/>
              </w:rPr>
              <w:t>0.228</w:t>
            </w:r>
          </w:p>
        </w:tc>
        <w:tc>
          <w:tcPr>
            <w:tcW w:w="774" w:type="pct"/>
            <w:tcBorders>
              <w:left w:val="single" w:sz="4" w:space="0" w:color="auto"/>
            </w:tcBorders>
          </w:tcPr>
          <w:p w14:paraId="476A771F" w14:textId="77777777" w:rsidR="00326DE8" w:rsidRPr="006A5B46" w:rsidRDefault="00326DE8" w:rsidP="00326DE8">
            <w:pPr>
              <w:jc w:val="center"/>
              <w:rPr>
                <w:rFonts w:cs="Times New Roman"/>
                <w:sz w:val="22"/>
              </w:rPr>
            </w:pPr>
          </w:p>
        </w:tc>
        <w:tc>
          <w:tcPr>
            <w:tcW w:w="722" w:type="pct"/>
            <w:tcBorders>
              <w:right w:val="single" w:sz="4" w:space="0" w:color="auto"/>
            </w:tcBorders>
          </w:tcPr>
          <w:p w14:paraId="5A68B90D" w14:textId="77777777" w:rsidR="00326DE8" w:rsidRPr="006A5B46" w:rsidRDefault="00326DE8" w:rsidP="00326DE8">
            <w:pPr>
              <w:jc w:val="center"/>
              <w:rPr>
                <w:rFonts w:cs="Times New Roman"/>
                <w:sz w:val="22"/>
              </w:rPr>
            </w:pPr>
          </w:p>
        </w:tc>
        <w:tc>
          <w:tcPr>
            <w:tcW w:w="811" w:type="pct"/>
            <w:tcBorders>
              <w:left w:val="single" w:sz="4" w:space="0" w:color="auto"/>
            </w:tcBorders>
          </w:tcPr>
          <w:p w14:paraId="7E900AED" w14:textId="77777777" w:rsidR="00326DE8" w:rsidRPr="006A5B46" w:rsidRDefault="00326DE8" w:rsidP="00326DE8">
            <w:pPr>
              <w:jc w:val="center"/>
              <w:rPr>
                <w:rFonts w:cs="Times New Roman"/>
                <w:b/>
                <w:sz w:val="22"/>
              </w:rPr>
            </w:pPr>
          </w:p>
        </w:tc>
      </w:tr>
      <w:tr w:rsidR="00326DE8" w:rsidRPr="006A5B46" w14:paraId="09F6DF81" w14:textId="77777777" w:rsidTr="005C6BF6">
        <w:tc>
          <w:tcPr>
            <w:tcW w:w="1202" w:type="pct"/>
            <w:tcBorders>
              <w:right w:val="single" w:sz="4" w:space="0" w:color="auto"/>
            </w:tcBorders>
            <w:vAlign w:val="center"/>
          </w:tcPr>
          <w:p w14:paraId="16C6722D" w14:textId="5255237C" w:rsidR="00326DE8" w:rsidRPr="006A5B46" w:rsidRDefault="00326DE8" w:rsidP="00326DE8">
            <w:pPr>
              <w:rPr>
                <w:rFonts w:cs="Times New Roman"/>
                <w:i/>
                <w:sz w:val="22"/>
              </w:rPr>
            </w:pPr>
            <w:r w:rsidRPr="006A5B46">
              <w:rPr>
                <w:rFonts w:cs="Times New Roman"/>
                <w:i/>
                <w:color w:val="000000"/>
                <w:sz w:val="22"/>
              </w:rPr>
              <w:t>sma1</w:t>
            </w:r>
          </w:p>
        </w:tc>
        <w:tc>
          <w:tcPr>
            <w:tcW w:w="818" w:type="pct"/>
            <w:tcBorders>
              <w:left w:val="single" w:sz="4" w:space="0" w:color="auto"/>
            </w:tcBorders>
            <w:vAlign w:val="center"/>
          </w:tcPr>
          <w:p w14:paraId="5616DDFF" w14:textId="5864EB6C" w:rsidR="00326DE8" w:rsidRPr="006A5B46" w:rsidRDefault="00326DE8" w:rsidP="00326DE8">
            <w:pPr>
              <w:jc w:val="center"/>
              <w:rPr>
                <w:rFonts w:cs="Times New Roman"/>
                <w:sz w:val="22"/>
              </w:rPr>
            </w:pPr>
            <w:r w:rsidRPr="006A5B46">
              <w:rPr>
                <w:rFonts w:cs="Times New Roman"/>
                <w:color w:val="000000"/>
                <w:sz w:val="22"/>
              </w:rPr>
              <w:t>-19.09%</w:t>
            </w:r>
          </w:p>
        </w:tc>
        <w:tc>
          <w:tcPr>
            <w:tcW w:w="673" w:type="pct"/>
            <w:tcBorders>
              <w:right w:val="single" w:sz="4" w:space="0" w:color="auto"/>
            </w:tcBorders>
            <w:vAlign w:val="center"/>
          </w:tcPr>
          <w:p w14:paraId="464F5B93" w14:textId="32A87DF4" w:rsidR="00326DE8" w:rsidRPr="006A5B46" w:rsidRDefault="00326DE8" w:rsidP="00326DE8">
            <w:pPr>
              <w:jc w:val="center"/>
              <w:rPr>
                <w:rFonts w:cs="Times New Roman"/>
                <w:sz w:val="22"/>
              </w:rPr>
            </w:pPr>
            <w:r w:rsidRPr="006A5B46">
              <w:rPr>
                <w:rFonts w:cs="Times New Roman"/>
                <w:color w:val="000000"/>
                <w:sz w:val="22"/>
              </w:rPr>
              <w:t>0.127</w:t>
            </w:r>
          </w:p>
        </w:tc>
        <w:tc>
          <w:tcPr>
            <w:tcW w:w="774" w:type="pct"/>
            <w:tcBorders>
              <w:left w:val="single" w:sz="4" w:space="0" w:color="auto"/>
            </w:tcBorders>
          </w:tcPr>
          <w:p w14:paraId="6D78EB5E" w14:textId="77777777" w:rsidR="00326DE8" w:rsidRPr="006A5B46" w:rsidRDefault="00326DE8" w:rsidP="00326DE8">
            <w:pPr>
              <w:jc w:val="center"/>
              <w:rPr>
                <w:rFonts w:cs="Times New Roman"/>
                <w:sz w:val="22"/>
              </w:rPr>
            </w:pPr>
          </w:p>
        </w:tc>
        <w:tc>
          <w:tcPr>
            <w:tcW w:w="722" w:type="pct"/>
            <w:tcBorders>
              <w:right w:val="single" w:sz="4" w:space="0" w:color="auto"/>
            </w:tcBorders>
          </w:tcPr>
          <w:p w14:paraId="52EA749A" w14:textId="77777777" w:rsidR="00326DE8" w:rsidRPr="006A5B46" w:rsidRDefault="00326DE8" w:rsidP="00326DE8">
            <w:pPr>
              <w:jc w:val="center"/>
              <w:rPr>
                <w:rFonts w:cs="Times New Roman"/>
                <w:sz w:val="22"/>
              </w:rPr>
            </w:pPr>
          </w:p>
        </w:tc>
        <w:tc>
          <w:tcPr>
            <w:tcW w:w="811" w:type="pct"/>
            <w:tcBorders>
              <w:left w:val="single" w:sz="4" w:space="0" w:color="auto"/>
            </w:tcBorders>
          </w:tcPr>
          <w:p w14:paraId="078810BD" w14:textId="77777777" w:rsidR="00326DE8" w:rsidRPr="006A5B46" w:rsidRDefault="00326DE8" w:rsidP="00326DE8">
            <w:pPr>
              <w:jc w:val="center"/>
              <w:rPr>
                <w:rFonts w:cs="Times New Roman"/>
                <w:b/>
                <w:sz w:val="22"/>
              </w:rPr>
            </w:pPr>
          </w:p>
        </w:tc>
      </w:tr>
      <w:tr w:rsidR="001F1AE0" w:rsidRPr="006A5B46" w14:paraId="2A6EDA8A" w14:textId="77777777" w:rsidTr="005C6BF6">
        <w:tc>
          <w:tcPr>
            <w:tcW w:w="1202" w:type="pct"/>
            <w:tcBorders>
              <w:right w:val="single" w:sz="4" w:space="0" w:color="auto"/>
            </w:tcBorders>
            <w:vAlign w:val="center"/>
          </w:tcPr>
          <w:p w14:paraId="5EE91E38" w14:textId="406BBB4C" w:rsidR="001F1AE0" w:rsidRPr="006A5B46" w:rsidRDefault="001F1AE0" w:rsidP="001F1AE0">
            <w:pPr>
              <w:rPr>
                <w:rFonts w:cs="Times New Roman"/>
                <w:i/>
                <w:sz w:val="22"/>
              </w:rPr>
            </w:pPr>
            <w:r w:rsidRPr="006A5B46">
              <w:rPr>
                <w:rFonts w:cs="Times New Roman"/>
                <w:i/>
                <w:color w:val="000000"/>
                <w:sz w:val="22"/>
              </w:rPr>
              <w:t>intercept</w:t>
            </w:r>
          </w:p>
        </w:tc>
        <w:tc>
          <w:tcPr>
            <w:tcW w:w="818" w:type="pct"/>
            <w:tcBorders>
              <w:left w:val="single" w:sz="4" w:space="0" w:color="auto"/>
            </w:tcBorders>
            <w:vAlign w:val="center"/>
          </w:tcPr>
          <w:p w14:paraId="303939B0" w14:textId="7983F2C1" w:rsidR="001F1AE0" w:rsidRPr="006A5B46" w:rsidRDefault="001F1AE0" w:rsidP="001F1AE0">
            <w:pPr>
              <w:jc w:val="center"/>
              <w:rPr>
                <w:rFonts w:cs="Times New Roman"/>
                <w:sz w:val="22"/>
              </w:rPr>
            </w:pPr>
            <w:r w:rsidRPr="006A5B46">
              <w:rPr>
                <w:rFonts w:cs="Times New Roman"/>
                <w:color w:val="000000"/>
                <w:sz w:val="22"/>
              </w:rPr>
              <w:t>0.77%***</w:t>
            </w:r>
          </w:p>
        </w:tc>
        <w:tc>
          <w:tcPr>
            <w:tcW w:w="673" w:type="pct"/>
            <w:tcBorders>
              <w:right w:val="single" w:sz="4" w:space="0" w:color="auto"/>
            </w:tcBorders>
            <w:vAlign w:val="center"/>
          </w:tcPr>
          <w:p w14:paraId="1E66EBA2" w14:textId="210692F5" w:rsidR="001F1AE0" w:rsidRPr="006A5B46" w:rsidRDefault="001F1AE0" w:rsidP="001F1AE0">
            <w:pPr>
              <w:jc w:val="center"/>
              <w:rPr>
                <w:rFonts w:cs="Times New Roman"/>
                <w:sz w:val="22"/>
              </w:rPr>
            </w:pPr>
            <w:r w:rsidRPr="006A5B46">
              <w:rPr>
                <w:rFonts w:cs="Times New Roman"/>
                <w:color w:val="000000"/>
                <w:sz w:val="22"/>
              </w:rPr>
              <w:t>0.003</w:t>
            </w:r>
          </w:p>
        </w:tc>
        <w:tc>
          <w:tcPr>
            <w:tcW w:w="774" w:type="pct"/>
            <w:tcBorders>
              <w:left w:val="single" w:sz="4" w:space="0" w:color="auto"/>
            </w:tcBorders>
            <w:vAlign w:val="center"/>
          </w:tcPr>
          <w:p w14:paraId="6D6A5F65" w14:textId="4622F701" w:rsidR="001F1AE0" w:rsidRPr="006A5B46" w:rsidRDefault="001F1AE0" w:rsidP="001F1AE0">
            <w:pPr>
              <w:jc w:val="center"/>
              <w:rPr>
                <w:rFonts w:cs="Times New Roman"/>
                <w:sz w:val="22"/>
              </w:rPr>
            </w:pPr>
            <w:r w:rsidRPr="006A5B46">
              <w:rPr>
                <w:rFonts w:cs="Times New Roman"/>
                <w:color w:val="000000"/>
                <w:sz w:val="22"/>
              </w:rPr>
              <w:t>2.00%</w:t>
            </w:r>
            <w:r w:rsidR="00FC2C2A">
              <w:rPr>
                <w:rFonts w:cs="Times New Roman"/>
                <w:color w:val="000000"/>
                <w:sz w:val="22"/>
              </w:rPr>
              <w:t>***</w:t>
            </w:r>
          </w:p>
        </w:tc>
        <w:tc>
          <w:tcPr>
            <w:tcW w:w="722" w:type="pct"/>
            <w:tcBorders>
              <w:right w:val="single" w:sz="4" w:space="0" w:color="auto"/>
            </w:tcBorders>
            <w:vAlign w:val="center"/>
          </w:tcPr>
          <w:p w14:paraId="24DA92B7" w14:textId="0423AD89" w:rsidR="001F1AE0" w:rsidRPr="006A5B46" w:rsidRDefault="001F1AE0" w:rsidP="001F1AE0">
            <w:pPr>
              <w:jc w:val="center"/>
              <w:rPr>
                <w:rFonts w:cs="Times New Roman"/>
                <w:sz w:val="22"/>
              </w:rPr>
            </w:pPr>
            <w:r w:rsidRPr="006A5B46">
              <w:rPr>
                <w:rFonts w:cs="Times New Roman"/>
                <w:color w:val="000000"/>
                <w:sz w:val="22"/>
              </w:rPr>
              <w:t>0.01</w:t>
            </w:r>
          </w:p>
        </w:tc>
        <w:tc>
          <w:tcPr>
            <w:tcW w:w="811" w:type="pct"/>
            <w:tcBorders>
              <w:left w:val="single" w:sz="4" w:space="0" w:color="auto"/>
            </w:tcBorders>
          </w:tcPr>
          <w:p w14:paraId="703B350B" w14:textId="77777777" w:rsidR="001F1AE0" w:rsidRPr="006A5B46" w:rsidRDefault="001F1AE0" w:rsidP="001F1AE0">
            <w:pPr>
              <w:jc w:val="center"/>
              <w:rPr>
                <w:rFonts w:cs="Times New Roman"/>
                <w:b/>
                <w:sz w:val="22"/>
              </w:rPr>
            </w:pPr>
          </w:p>
        </w:tc>
      </w:tr>
      <w:tr w:rsidR="001F1AE0" w:rsidRPr="006A5B46" w14:paraId="2580BC6A" w14:textId="77777777" w:rsidTr="005C6BF6">
        <w:tc>
          <w:tcPr>
            <w:tcW w:w="1202" w:type="pct"/>
            <w:tcBorders>
              <w:right w:val="single" w:sz="4" w:space="0" w:color="auto"/>
            </w:tcBorders>
            <w:vAlign w:val="center"/>
          </w:tcPr>
          <w:p w14:paraId="79C29734" w14:textId="2C2985C6" w:rsidR="001F1AE0" w:rsidRPr="006A5B46" w:rsidRDefault="001F1AE0" w:rsidP="001F1AE0">
            <w:pPr>
              <w:rPr>
                <w:rFonts w:cs="Times New Roman"/>
                <w:i/>
                <w:sz w:val="22"/>
              </w:rPr>
            </w:pPr>
            <w:r w:rsidRPr="006A5B46">
              <w:rPr>
                <w:rFonts w:cs="Times New Roman"/>
                <w:i/>
                <w:sz w:val="22"/>
              </w:rPr>
              <w:t>sar1</w:t>
            </w:r>
          </w:p>
        </w:tc>
        <w:tc>
          <w:tcPr>
            <w:tcW w:w="818" w:type="pct"/>
            <w:tcBorders>
              <w:left w:val="single" w:sz="4" w:space="0" w:color="auto"/>
            </w:tcBorders>
            <w:vAlign w:val="center"/>
          </w:tcPr>
          <w:p w14:paraId="392F9323" w14:textId="77777777" w:rsidR="001F1AE0" w:rsidRPr="006A5B46" w:rsidRDefault="001F1AE0" w:rsidP="001F1AE0">
            <w:pPr>
              <w:jc w:val="center"/>
              <w:rPr>
                <w:rFonts w:cs="Times New Roman"/>
                <w:sz w:val="22"/>
              </w:rPr>
            </w:pPr>
          </w:p>
        </w:tc>
        <w:tc>
          <w:tcPr>
            <w:tcW w:w="673" w:type="pct"/>
            <w:tcBorders>
              <w:right w:val="single" w:sz="4" w:space="0" w:color="auto"/>
            </w:tcBorders>
            <w:vAlign w:val="center"/>
          </w:tcPr>
          <w:p w14:paraId="712C7942" w14:textId="77777777" w:rsidR="001F1AE0" w:rsidRPr="006A5B46" w:rsidRDefault="001F1AE0" w:rsidP="001F1AE0">
            <w:pPr>
              <w:jc w:val="center"/>
              <w:rPr>
                <w:rFonts w:cs="Times New Roman"/>
                <w:sz w:val="22"/>
              </w:rPr>
            </w:pPr>
          </w:p>
        </w:tc>
        <w:tc>
          <w:tcPr>
            <w:tcW w:w="774" w:type="pct"/>
            <w:tcBorders>
              <w:left w:val="single" w:sz="4" w:space="0" w:color="auto"/>
            </w:tcBorders>
            <w:vAlign w:val="center"/>
          </w:tcPr>
          <w:p w14:paraId="5234C71F" w14:textId="466AAFD0" w:rsidR="001F1AE0" w:rsidRPr="006A5B46" w:rsidRDefault="001F1AE0" w:rsidP="001F1AE0">
            <w:pPr>
              <w:jc w:val="center"/>
              <w:rPr>
                <w:rFonts w:cs="Times New Roman"/>
                <w:sz w:val="22"/>
              </w:rPr>
            </w:pPr>
            <w:r w:rsidRPr="006A5B46">
              <w:rPr>
                <w:rFonts w:cs="Times New Roman"/>
                <w:color w:val="000000"/>
                <w:sz w:val="22"/>
              </w:rPr>
              <w:t>-15.84%</w:t>
            </w:r>
            <w:r w:rsidR="00FC2C2A">
              <w:rPr>
                <w:rFonts w:cs="Times New Roman"/>
                <w:color w:val="000000"/>
                <w:sz w:val="22"/>
              </w:rPr>
              <w:t>*</w:t>
            </w:r>
          </w:p>
        </w:tc>
        <w:tc>
          <w:tcPr>
            <w:tcW w:w="722" w:type="pct"/>
            <w:tcBorders>
              <w:right w:val="single" w:sz="4" w:space="0" w:color="auto"/>
            </w:tcBorders>
            <w:vAlign w:val="center"/>
          </w:tcPr>
          <w:p w14:paraId="4DC7CAB3" w14:textId="4529D4DC" w:rsidR="001F1AE0" w:rsidRPr="006A5B46" w:rsidRDefault="001F1AE0" w:rsidP="001F1AE0">
            <w:pPr>
              <w:jc w:val="center"/>
              <w:rPr>
                <w:rFonts w:cs="Times New Roman"/>
                <w:sz w:val="22"/>
              </w:rPr>
            </w:pPr>
            <w:r w:rsidRPr="006A5B46">
              <w:rPr>
                <w:rFonts w:cs="Times New Roman"/>
                <w:color w:val="000000"/>
                <w:sz w:val="22"/>
              </w:rPr>
              <w:t>0.09</w:t>
            </w:r>
          </w:p>
        </w:tc>
        <w:tc>
          <w:tcPr>
            <w:tcW w:w="811" w:type="pct"/>
            <w:tcBorders>
              <w:left w:val="single" w:sz="4" w:space="0" w:color="auto"/>
            </w:tcBorders>
          </w:tcPr>
          <w:p w14:paraId="04B81816" w14:textId="77777777" w:rsidR="001F1AE0" w:rsidRPr="006A5B46" w:rsidRDefault="001F1AE0" w:rsidP="001F1AE0">
            <w:pPr>
              <w:jc w:val="center"/>
              <w:rPr>
                <w:rFonts w:cs="Times New Roman"/>
                <w:b/>
                <w:sz w:val="22"/>
              </w:rPr>
            </w:pPr>
          </w:p>
        </w:tc>
      </w:tr>
      <w:tr w:rsidR="00326DE8" w:rsidRPr="006A5B46" w14:paraId="1BF3BC2B" w14:textId="77777777" w:rsidTr="005C6BF6">
        <w:tc>
          <w:tcPr>
            <w:tcW w:w="1202" w:type="pct"/>
            <w:tcBorders>
              <w:bottom w:val="single" w:sz="4" w:space="0" w:color="auto"/>
              <w:right w:val="single" w:sz="4" w:space="0" w:color="auto"/>
            </w:tcBorders>
            <w:vAlign w:val="center"/>
          </w:tcPr>
          <w:p w14:paraId="0140ABF2" w14:textId="77777777" w:rsidR="00326DE8" w:rsidRPr="006A5B46" w:rsidRDefault="00326DE8" w:rsidP="00326DE8">
            <w:pPr>
              <w:rPr>
                <w:rFonts w:cs="Times New Roman"/>
                <w:sz w:val="22"/>
              </w:rPr>
            </w:pPr>
          </w:p>
        </w:tc>
        <w:tc>
          <w:tcPr>
            <w:tcW w:w="818" w:type="pct"/>
            <w:tcBorders>
              <w:left w:val="single" w:sz="4" w:space="0" w:color="auto"/>
              <w:bottom w:val="single" w:sz="4" w:space="0" w:color="auto"/>
            </w:tcBorders>
            <w:vAlign w:val="center"/>
          </w:tcPr>
          <w:p w14:paraId="291123BB" w14:textId="77777777" w:rsidR="00326DE8" w:rsidRPr="006A5B46" w:rsidRDefault="00326DE8" w:rsidP="00326DE8">
            <w:pPr>
              <w:jc w:val="right"/>
              <w:rPr>
                <w:rFonts w:cs="Times New Roman"/>
                <w:sz w:val="22"/>
              </w:rPr>
            </w:pPr>
          </w:p>
        </w:tc>
        <w:tc>
          <w:tcPr>
            <w:tcW w:w="673" w:type="pct"/>
            <w:tcBorders>
              <w:bottom w:val="single" w:sz="4" w:space="0" w:color="auto"/>
              <w:right w:val="single" w:sz="4" w:space="0" w:color="auto"/>
            </w:tcBorders>
            <w:vAlign w:val="center"/>
          </w:tcPr>
          <w:p w14:paraId="119474FC" w14:textId="77777777" w:rsidR="00326DE8" w:rsidRPr="006A5B46" w:rsidRDefault="00326DE8" w:rsidP="00326DE8">
            <w:pPr>
              <w:jc w:val="right"/>
              <w:rPr>
                <w:rFonts w:cs="Times New Roman"/>
                <w:sz w:val="22"/>
              </w:rPr>
            </w:pPr>
          </w:p>
        </w:tc>
        <w:tc>
          <w:tcPr>
            <w:tcW w:w="774" w:type="pct"/>
            <w:tcBorders>
              <w:left w:val="single" w:sz="4" w:space="0" w:color="auto"/>
              <w:bottom w:val="single" w:sz="4" w:space="0" w:color="auto"/>
            </w:tcBorders>
          </w:tcPr>
          <w:p w14:paraId="0758A16F" w14:textId="77777777" w:rsidR="00326DE8" w:rsidRPr="006A5B46" w:rsidRDefault="00326DE8" w:rsidP="00326DE8">
            <w:pPr>
              <w:jc w:val="right"/>
              <w:rPr>
                <w:rFonts w:cs="Times New Roman"/>
                <w:sz w:val="22"/>
              </w:rPr>
            </w:pPr>
          </w:p>
        </w:tc>
        <w:tc>
          <w:tcPr>
            <w:tcW w:w="722" w:type="pct"/>
            <w:tcBorders>
              <w:bottom w:val="single" w:sz="4" w:space="0" w:color="auto"/>
              <w:right w:val="single" w:sz="4" w:space="0" w:color="auto"/>
            </w:tcBorders>
          </w:tcPr>
          <w:p w14:paraId="6E35CBCB" w14:textId="77777777" w:rsidR="00326DE8" w:rsidRPr="006A5B46" w:rsidRDefault="00326DE8" w:rsidP="00326DE8">
            <w:pPr>
              <w:jc w:val="right"/>
              <w:rPr>
                <w:rFonts w:cs="Times New Roman"/>
                <w:sz w:val="22"/>
              </w:rPr>
            </w:pPr>
          </w:p>
        </w:tc>
        <w:tc>
          <w:tcPr>
            <w:tcW w:w="811" w:type="pct"/>
            <w:tcBorders>
              <w:left w:val="single" w:sz="4" w:space="0" w:color="auto"/>
              <w:bottom w:val="single" w:sz="4" w:space="0" w:color="auto"/>
            </w:tcBorders>
          </w:tcPr>
          <w:p w14:paraId="20D8103D" w14:textId="77777777" w:rsidR="00326DE8" w:rsidRPr="006A5B46" w:rsidRDefault="00326DE8" w:rsidP="00326DE8">
            <w:pPr>
              <w:jc w:val="right"/>
              <w:rPr>
                <w:rFonts w:cs="Times New Roman"/>
                <w:b/>
                <w:sz w:val="22"/>
              </w:rPr>
            </w:pPr>
          </w:p>
        </w:tc>
      </w:tr>
      <w:tr w:rsidR="00326DE8" w:rsidRPr="006A5B46" w14:paraId="7234EEA9" w14:textId="77777777" w:rsidTr="005C6BF6">
        <w:tc>
          <w:tcPr>
            <w:tcW w:w="1202" w:type="pct"/>
            <w:tcBorders>
              <w:top w:val="single" w:sz="4" w:space="0" w:color="auto"/>
              <w:right w:val="single" w:sz="4" w:space="0" w:color="auto"/>
            </w:tcBorders>
            <w:vAlign w:val="center"/>
          </w:tcPr>
          <w:p w14:paraId="56C8FFBB" w14:textId="77777777" w:rsidR="00326DE8" w:rsidRPr="006A5B46" w:rsidRDefault="00326DE8" w:rsidP="00326DE8">
            <w:pPr>
              <w:rPr>
                <w:rFonts w:cs="Times New Roman"/>
                <w:sz w:val="22"/>
              </w:rPr>
            </w:pPr>
            <w:r w:rsidRPr="006A5B46">
              <w:rPr>
                <w:rFonts w:cs="Times New Roman"/>
                <w:sz w:val="22"/>
              </w:rPr>
              <w:t>Observations</w:t>
            </w:r>
          </w:p>
        </w:tc>
        <w:tc>
          <w:tcPr>
            <w:tcW w:w="1491" w:type="pct"/>
            <w:gridSpan w:val="2"/>
            <w:tcBorders>
              <w:top w:val="single" w:sz="4" w:space="0" w:color="auto"/>
              <w:left w:val="single" w:sz="4" w:space="0" w:color="auto"/>
              <w:right w:val="single" w:sz="4" w:space="0" w:color="auto"/>
            </w:tcBorders>
            <w:vAlign w:val="center"/>
          </w:tcPr>
          <w:p w14:paraId="78077EE0" w14:textId="12F0585E" w:rsidR="00326DE8" w:rsidRPr="006A5B46" w:rsidRDefault="00326DE8" w:rsidP="00326DE8">
            <w:pPr>
              <w:jc w:val="center"/>
              <w:rPr>
                <w:rFonts w:cs="Times New Roman"/>
                <w:sz w:val="22"/>
              </w:rPr>
            </w:pPr>
            <w:r w:rsidRPr="006A5B46">
              <w:rPr>
                <w:rFonts w:cs="Times New Roman"/>
                <w:sz w:val="22"/>
              </w:rPr>
              <w:t>132</w:t>
            </w:r>
          </w:p>
        </w:tc>
        <w:tc>
          <w:tcPr>
            <w:tcW w:w="1496" w:type="pct"/>
            <w:gridSpan w:val="2"/>
            <w:tcBorders>
              <w:top w:val="single" w:sz="4" w:space="0" w:color="auto"/>
              <w:left w:val="single" w:sz="4" w:space="0" w:color="auto"/>
              <w:right w:val="single" w:sz="4" w:space="0" w:color="auto"/>
            </w:tcBorders>
            <w:vAlign w:val="center"/>
          </w:tcPr>
          <w:p w14:paraId="529B3E53" w14:textId="0BD661BD" w:rsidR="00326DE8" w:rsidRPr="006A5B46" w:rsidRDefault="00326DE8" w:rsidP="00326DE8">
            <w:pPr>
              <w:jc w:val="center"/>
              <w:rPr>
                <w:rFonts w:cs="Times New Roman"/>
                <w:sz w:val="22"/>
              </w:rPr>
            </w:pPr>
            <w:r w:rsidRPr="006A5B46">
              <w:rPr>
                <w:rFonts w:cs="Times New Roman"/>
                <w:sz w:val="22"/>
              </w:rPr>
              <w:t>132</w:t>
            </w:r>
          </w:p>
        </w:tc>
        <w:tc>
          <w:tcPr>
            <w:tcW w:w="811" w:type="pct"/>
            <w:tcBorders>
              <w:top w:val="single" w:sz="4" w:space="0" w:color="auto"/>
              <w:left w:val="single" w:sz="4" w:space="0" w:color="auto"/>
            </w:tcBorders>
          </w:tcPr>
          <w:p w14:paraId="28B2E62C" w14:textId="77777777" w:rsidR="00326DE8" w:rsidRPr="006A5B46" w:rsidRDefault="00326DE8" w:rsidP="00326DE8">
            <w:pPr>
              <w:rPr>
                <w:rFonts w:cs="Times New Roman"/>
                <w:b/>
                <w:sz w:val="22"/>
              </w:rPr>
            </w:pPr>
          </w:p>
        </w:tc>
      </w:tr>
      <w:tr w:rsidR="00326DE8" w:rsidRPr="006A5B46" w14:paraId="26D17FBC" w14:textId="77777777" w:rsidTr="005C6BF6">
        <w:tc>
          <w:tcPr>
            <w:tcW w:w="1202" w:type="pct"/>
            <w:tcBorders>
              <w:right w:val="single" w:sz="4" w:space="0" w:color="auto"/>
            </w:tcBorders>
            <w:vAlign w:val="center"/>
          </w:tcPr>
          <w:p w14:paraId="73B4D0F0" w14:textId="77777777" w:rsidR="00326DE8" w:rsidRPr="006A5B46" w:rsidRDefault="00326DE8" w:rsidP="00326DE8">
            <w:pPr>
              <w:rPr>
                <w:rFonts w:cs="Times New Roman"/>
                <w:sz w:val="22"/>
              </w:rPr>
            </w:pPr>
            <w:r w:rsidRPr="006A5B46">
              <w:rPr>
                <w:rFonts w:cs="Times New Roman"/>
                <w:sz w:val="22"/>
              </w:rPr>
              <w:t>Order</w:t>
            </w:r>
          </w:p>
        </w:tc>
        <w:tc>
          <w:tcPr>
            <w:tcW w:w="1491" w:type="pct"/>
            <w:gridSpan w:val="2"/>
            <w:tcBorders>
              <w:left w:val="single" w:sz="4" w:space="0" w:color="auto"/>
              <w:right w:val="single" w:sz="4" w:space="0" w:color="auto"/>
            </w:tcBorders>
            <w:vAlign w:val="center"/>
          </w:tcPr>
          <w:p w14:paraId="7AC077A7" w14:textId="6622DE11" w:rsidR="00326DE8" w:rsidRPr="006A5B46" w:rsidRDefault="00326DE8" w:rsidP="00326DE8">
            <w:pPr>
              <w:jc w:val="center"/>
              <w:rPr>
                <w:rFonts w:cs="Times New Roman"/>
                <w:sz w:val="22"/>
                <w:vertAlign w:val="subscript"/>
              </w:rPr>
            </w:pPr>
            <w:r w:rsidRPr="006A5B46">
              <w:rPr>
                <w:rFonts w:cs="Times New Roman"/>
                <w:sz w:val="22"/>
              </w:rPr>
              <w:t>(5,0,1),(0,0,1)</w:t>
            </w:r>
            <w:r w:rsidRPr="006A5B46">
              <w:rPr>
                <w:rFonts w:cs="Times New Roman"/>
                <w:sz w:val="22"/>
                <w:vertAlign w:val="subscript"/>
              </w:rPr>
              <w:t>[12]</w:t>
            </w:r>
          </w:p>
        </w:tc>
        <w:tc>
          <w:tcPr>
            <w:tcW w:w="1496" w:type="pct"/>
            <w:gridSpan w:val="2"/>
            <w:tcBorders>
              <w:left w:val="single" w:sz="4" w:space="0" w:color="auto"/>
              <w:right w:val="single" w:sz="4" w:space="0" w:color="auto"/>
            </w:tcBorders>
            <w:vAlign w:val="center"/>
          </w:tcPr>
          <w:p w14:paraId="44BB343C" w14:textId="3FD4B5B7" w:rsidR="00326DE8" w:rsidRPr="006A5B46" w:rsidRDefault="00326DE8" w:rsidP="00326DE8">
            <w:pPr>
              <w:jc w:val="center"/>
              <w:rPr>
                <w:rFonts w:cs="Times New Roman"/>
                <w:sz w:val="22"/>
              </w:rPr>
            </w:pPr>
            <w:r w:rsidRPr="006A5B46">
              <w:rPr>
                <w:rFonts w:cs="Times New Roman"/>
                <w:sz w:val="22"/>
              </w:rPr>
              <w:t>(1,0,0)(</w:t>
            </w:r>
            <w:r w:rsidR="00DF6FD6">
              <w:rPr>
                <w:rFonts w:cs="Times New Roman"/>
                <w:sz w:val="22"/>
              </w:rPr>
              <w:t>1</w:t>
            </w:r>
            <w:r w:rsidRPr="006A5B46">
              <w:rPr>
                <w:rFonts w:cs="Times New Roman"/>
                <w:sz w:val="22"/>
              </w:rPr>
              <w:t>,0,0)</w:t>
            </w:r>
            <w:r w:rsidRPr="006A5B46">
              <w:rPr>
                <w:rFonts w:cs="Times New Roman"/>
                <w:sz w:val="22"/>
                <w:vertAlign w:val="subscript"/>
              </w:rPr>
              <w:t>[12]</w:t>
            </w:r>
          </w:p>
        </w:tc>
        <w:tc>
          <w:tcPr>
            <w:tcW w:w="811" w:type="pct"/>
            <w:tcBorders>
              <w:left w:val="single" w:sz="4" w:space="0" w:color="auto"/>
            </w:tcBorders>
          </w:tcPr>
          <w:p w14:paraId="5CCFB14B" w14:textId="77777777" w:rsidR="00326DE8" w:rsidRPr="006A5B46" w:rsidRDefault="00326DE8" w:rsidP="00326DE8">
            <w:pPr>
              <w:rPr>
                <w:rFonts w:cs="Times New Roman"/>
                <w:b/>
                <w:sz w:val="22"/>
              </w:rPr>
            </w:pPr>
          </w:p>
        </w:tc>
      </w:tr>
      <w:tr w:rsidR="00326DE8" w:rsidRPr="006A5B46" w14:paraId="0B1315CC" w14:textId="77777777" w:rsidTr="005C6BF6">
        <w:tc>
          <w:tcPr>
            <w:tcW w:w="1202" w:type="pct"/>
            <w:tcBorders>
              <w:right w:val="single" w:sz="4" w:space="0" w:color="auto"/>
            </w:tcBorders>
            <w:vAlign w:val="center"/>
          </w:tcPr>
          <w:p w14:paraId="4E1E21F1" w14:textId="71325978" w:rsidR="00326DE8" w:rsidRPr="006A5B46" w:rsidRDefault="00326DE8" w:rsidP="00326DE8">
            <w:pPr>
              <w:rPr>
                <w:rFonts w:cs="Times New Roman"/>
                <w:sz w:val="22"/>
              </w:rPr>
            </w:pPr>
            <w:r w:rsidRPr="006A5B46">
              <w:rPr>
                <w:rFonts w:cs="Times New Roman"/>
                <w:sz w:val="22"/>
              </w:rPr>
              <w:t>Ljung Box-test (h=24)</w:t>
            </w:r>
          </w:p>
        </w:tc>
        <w:tc>
          <w:tcPr>
            <w:tcW w:w="1491" w:type="pct"/>
            <w:gridSpan w:val="2"/>
            <w:tcBorders>
              <w:left w:val="single" w:sz="4" w:space="0" w:color="auto"/>
              <w:right w:val="single" w:sz="4" w:space="0" w:color="auto"/>
            </w:tcBorders>
            <w:vAlign w:val="center"/>
          </w:tcPr>
          <w:p w14:paraId="750901CD" w14:textId="514BD60A" w:rsidR="00326DE8" w:rsidRPr="006A5B46" w:rsidRDefault="00326DE8" w:rsidP="00326DE8">
            <w:pPr>
              <w:jc w:val="center"/>
              <w:rPr>
                <w:rFonts w:cs="Times New Roman"/>
                <w:sz w:val="22"/>
              </w:rPr>
            </w:pPr>
            <w:r w:rsidRPr="006A5B46">
              <w:rPr>
                <w:rFonts w:cs="Times New Roman"/>
                <w:sz w:val="22"/>
              </w:rPr>
              <w:t>.36</w:t>
            </w:r>
          </w:p>
        </w:tc>
        <w:tc>
          <w:tcPr>
            <w:tcW w:w="1496" w:type="pct"/>
            <w:gridSpan w:val="2"/>
            <w:tcBorders>
              <w:left w:val="single" w:sz="4" w:space="0" w:color="auto"/>
              <w:right w:val="single" w:sz="4" w:space="0" w:color="auto"/>
            </w:tcBorders>
            <w:vAlign w:val="center"/>
          </w:tcPr>
          <w:p w14:paraId="7596FAD9" w14:textId="009D8B06" w:rsidR="00326DE8" w:rsidRPr="006A5B46" w:rsidRDefault="00326DE8" w:rsidP="00326DE8">
            <w:pPr>
              <w:jc w:val="center"/>
              <w:rPr>
                <w:rFonts w:cs="Times New Roman"/>
                <w:sz w:val="22"/>
              </w:rPr>
            </w:pPr>
            <w:r w:rsidRPr="006A5B46">
              <w:rPr>
                <w:rFonts w:cs="Times New Roman"/>
                <w:sz w:val="22"/>
              </w:rPr>
              <w:t>.</w:t>
            </w:r>
            <w:r w:rsidR="00DF6FD6">
              <w:rPr>
                <w:rFonts w:cs="Times New Roman"/>
                <w:sz w:val="22"/>
              </w:rPr>
              <w:t>67</w:t>
            </w:r>
          </w:p>
        </w:tc>
        <w:tc>
          <w:tcPr>
            <w:tcW w:w="811" w:type="pct"/>
            <w:tcBorders>
              <w:left w:val="single" w:sz="4" w:space="0" w:color="auto"/>
            </w:tcBorders>
          </w:tcPr>
          <w:p w14:paraId="3C224DE5" w14:textId="77777777" w:rsidR="00326DE8" w:rsidRPr="006A5B46" w:rsidRDefault="00326DE8" w:rsidP="00326DE8">
            <w:pPr>
              <w:rPr>
                <w:rFonts w:cs="Times New Roman"/>
                <w:b/>
                <w:sz w:val="22"/>
              </w:rPr>
            </w:pPr>
          </w:p>
        </w:tc>
      </w:tr>
      <w:tr w:rsidR="00326DE8" w:rsidRPr="006A5B46" w14:paraId="645AF213" w14:textId="77777777" w:rsidTr="005C6BF6">
        <w:tc>
          <w:tcPr>
            <w:tcW w:w="1202" w:type="pct"/>
            <w:tcBorders>
              <w:right w:val="single" w:sz="4" w:space="0" w:color="auto"/>
            </w:tcBorders>
            <w:vAlign w:val="center"/>
          </w:tcPr>
          <w:p w14:paraId="7637F126" w14:textId="77777777" w:rsidR="00326DE8" w:rsidRPr="006A5B46" w:rsidRDefault="00326DE8" w:rsidP="00326DE8">
            <w:pPr>
              <w:rPr>
                <w:rFonts w:cs="Times New Roman"/>
                <w:sz w:val="22"/>
              </w:rPr>
            </w:pPr>
            <w:r w:rsidRPr="006A5B46">
              <w:rPr>
                <w:rFonts w:cs="Times New Roman"/>
                <w:sz w:val="22"/>
              </w:rPr>
              <w:t>AIC</w:t>
            </w:r>
          </w:p>
        </w:tc>
        <w:tc>
          <w:tcPr>
            <w:tcW w:w="1491" w:type="pct"/>
            <w:gridSpan w:val="2"/>
            <w:tcBorders>
              <w:left w:val="single" w:sz="4" w:space="0" w:color="auto"/>
              <w:right w:val="single" w:sz="4" w:space="0" w:color="auto"/>
            </w:tcBorders>
            <w:vAlign w:val="center"/>
          </w:tcPr>
          <w:p w14:paraId="5B2B27EE" w14:textId="7DDD4F1D" w:rsidR="00326DE8" w:rsidRPr="006A5B46" w:rsidRDefault="00326DE8" w:rsidP="00326DE8">
            <w:pPr>
              <w:pStyle w:val="HTMLPreformatted"/>
              <w:shd w:val="clear" w:color="auto" w:fill="FFFFFF"/>
              <w:wordWrap w:val="0"/>
              <w:spacing w:line="225" w:lineRule="atLeast"/>
              <w:jc w:val="center"/>
              <w:rPr>
                <w:rFonts w:ascii="Times New Roman" w:hAnsi="Times New Roman" w:cs="Times New Roman"/>
                <w:color w:val="000000"/>
                <w:sz w:val="22"/>
                <w:szCs w:val="22"/>
              </w:rPr>
            </w:pPr>
            <w:r w:rsidRPr="006A5B46">
              <w:rPr>
                <w:rFonts w:ascii="Times New Roman" w:hAnsi="Times New Roman" w:cs="Times New Roman"/>
                <w:color w:val="000000"/>
                <w:sz w:val="22"/>
                <w:szCs w:val="22"/>
              </w:rPr>
              <w:t>-772.9</w:t>
            </w:r>
          </w:p>
        </w:tc>
        <w:tc>
          <w:tcPr>
            <w:tcW w:w="1496" w:type="pct"/>
            <w:gridSpan w:val="2"/>
            <w:tcBorders>
              <w:left w:val="single" w:sz="4" w:space="0" w:color="auto"/>
              <w:right w:val="single" w:sz="4" w:space="0" w:color="auto"/>
            </w:tcBorders>
            <w:vAlign w:val="center"/>
          </w:tcPr>
          <w:p w14:paraId="21A7A94F" w14:textId="1DA1346E" w:rsidR="00326DE8" w:rsidRPr="006A5B46" w:rsidRDefault="00326DE8" w:rsidP="00326DE8">
            <w:pPr>
              <w:pStyle w:val="HTMLPreformatted"/>
              <w:shd w:val="clear" w:color="auto" w:fill="FFFFFF"/>
              <w:wordWrap w:val="0"/>
              <w:spacing w:line="225" w:lineRule="atLeast"/>
              <w:jc w:val="center"/>
              <w:rPr>
                <w:rFonts w:ascii="Times New Roman" w:hAnsi="Times New Roman" w:cs="Times New Roman"/>
                <w:color w:val="000000"/>
                <w:sz w:val="22"/>
                <w:szCs w:val="22"/>
              </w:rPr>
            </w:pPr>
            <w:r w:rsidRPr="006A5B46">
              <w:rPr>
                <w:rFonts w:ascii="Times New Roman" w:hAnsi="Times New Roman" w:cs="Times New Roman"/>
                <w:color w:val="000000"/>
                <w:sz w:val="22"/>
                <w:szCs w:val="22"/>
              </w:rPr>
              <w:t>-</w:t>
            </w:r>
            <w:r w:rsidR="00DF6FD6">
              <w:rPr>
                <w:rFonts w:ascii="Times New Roman" w:hAnsi="Times New Roman" w:cs="Times New Roman"/>
                <w:color w:val="000000"/>
                <w:sz w:val="22"/>
                <w:szCs w:val="22"/>
              </w:rPr>
              <w:t>627.16</w:t>
            </w:r>
          </w:p>
        </w:tc>
        <w:tc>
          <w:tcPr>
            <w:tcW w:w="811" w:type="pct"/>
            <w:tcBorders>
              <w:left w:val="single" w:sz="4" w:space="0" w:color="auto"/>
            </w:tcBorders>
          </w:tcPr>
          <w:p w14:paraId="3816F8FE" w14:textId="77777777" w:rsidR="00326DE8" w:rsidRPr="006A5B46" w:rsidRDefault="00326DE8" w:rsidP="00326DE8">
            <w:pPr>
              <w:rPr>
                <w:rFonts w:cs="Times New Roman"/>
                <w:b/>
                <w:sz w:val="22"/>
              </w:rPr>
            </w:pPr>
          </w:p>
        </w:tc>
      </w:tr>
    </w:tbl>
    <w:p w14:paraId="2180B970" w14:textId="77777777" w:rsidR="008F1AF3" w:rsidRPr="00F02823" w:rsidRDefault="008F1AF3" w:rsidP="008F1AF3">
      <w:pPr>
        <w:spacing w:after="0" w:line="480" w:lineRule="auto"/>
        <w:rPr>
          <w:sz w:val="20"/>
          <w:szCs w:val="20"/>
        </w:rPr>
      </w:pPr>
      <w:r>
        <w:rPr>
          <w:sz w:val="20"/>
          <w:szCs w:val="20"/>
        </w:rPr>
        <w:t xml:space="preserve">*** Significant at the 1% level; ** Significant at the 5% level; * Significant at the 10% level </w:t>
      </w:r>
    </w:p>
    <w:p w14:paraId="37B66F41" w14:textId="371413E1" w:rsidR="00140BF9" w:rsidRDefault="004E110A" w:rsidP="00292813">
      <w:pPr>
        <w:spacing w:after="0" w:line="480" w:lineRule="auto"/>
        <w:ind w:firstLine="720"/>
        <w:rPr>
          <w:b/>
        </w:rPr>
      </w:pPr>
      <w:r>
        <w:lastRenderedPageBreak/>
        <w:t xml:space="preserve">As per </w:t>
      </w:r>
      <w:r w:rsidR="000C0170">
        <w:t>column four</w:t>
      </w:r>
      <w:r>
        <w:t xml:space="preserve">, </w:t>
      </w:r>
      <w:r w:rsidR="00217631">
        <w:t>all of the</w:t>
      </w:r>
      <w:r>
        <w:t xml:space="preserve"> co-efficients in </w:t>
      </w:r>
      <w:proofErr w:type="gramStart"/>
      <w:r>
        <w:t>M(</w:t>
      </w:r>
      <w:proofErr w:type="gramEnd"/>
      <w:r>
        <w:t>4) on the month dummies</w:t>
      </w:r>
      <w:r w:rsidR="00BB2B3F">
        <w:t xml:space="preserve"> </w:t>
      </w:r>
      <w:r>
        <w:t xml:space="preserve">appear to be larger than that of M(3). </w:t>
      </w:r>
      <w:r w:rsidR="00435764">
        <w:t>This indicates that the January effect of seasonality has increased from 1996-2006 to 2007-2017 for high yield municipal bonds.</w:t>
      </w:r>
    </w:p>
    <w:p w14:paraId="168C82D6" w14:textId="7629ABF3" w:rsidR="006D61CA" w:rsidRDefault="006D61CA" w:rsidP="0087520C">
      <w:pPr>
        <w:spacing w:after="0" w:line="480" w:lineRule="auto"/>
        <w:rPr>
          <w:b/>
        </w:rPr>
      </w:pPr>
      <w:r>
        <w:rPr>
          <w:b/>
        </w:rPr>
        <w:t xml:space="preserve">Credit Quality and January Effect: </w:t>
      </w:r>
    </w:p>
    <w:p w14:paraId="2A79FABD" w14:textId="22921D53" w:rsidR="009270E7" w:rsidRDefault="006D61CA" w:rsidP="009270E7">
      <w:pPr>
        <w:keepNext/>
        <w:spacing w:after="0" w:line="480" w:lineRule="auto"/>
      </w:pPr>
      <w:r>
        <w:tab/>
        <w:t>To assess if the prominence of the January effect increases as the credit rating of municipal bond</w:t>
      </w:r>
      <w:r w:rsidR="004428BE">
        <w:t>s</w:t>
      </w:r>
      <w:r>
        <w:t xml:space="preserve"> decline</w:t>
      </w:r>
      <w:r w:rsidR="00492D8C">
        <w:t>, as observed for corporate bonds (Maxwell, 1998)</w:t>
      </w:r>
      <w:r>
        <w:t xml:space="preserve">, </w:t>
      </w:r>
      <w:r w:rsidR="00691E47">
        <w:t>appropriate regression with ARIMA error specifications are applied</w:t>
      </w:r>
      <w:r>
        <w:t xml:space="preserve"> on both the index on</w:t>
      </w:r>
      <w:r w:rsidR="007227DD">
        <w:t xml:space="preserve"> </w:t>
      </w:r>
      <w:r w:rsidR="00EA638E">
        <w:t xml:space="preserve">investment </w:t>
      </w:r>
      <w:r w:rsidR="007227DD">
        <w:t>grade</w:t>
      </w:r>
      <w:r>
        <w:t xml:space="preserve"> and high yield municipal bonds from </w:t>
      </w:r>
      <w:r w:rsidR="000F46F4">
        <w:t xml:space="preserve">2000-2017. </w:t>
      </w:r>
      <w:r w:rsidR="000436D0">
        <w:t xml:space="preserve">The results are presented </w:t>
      </w:r>
      <w:r w:rsidR="009270E7">
        <w:t xml:space="preserve">in Table 3. </w:t>
      </w:r>
    </w:p>
    <w:p w14:paraId="4EC131B2" w14:textId="703BE09B" w:rsidR="009270E7" w:rsidRPr="009270E7" w:rsidRDefault="009270E7" w:rsidP="009270E7">
      <w:pPr>
        <w:pStyle w:val="Caption"/>
        <w:rPr>
          <w:b/>
          <w:i w:val="0"/>
          <w:color w:val="000000" w:themeColor="text1"/>
          <w:sz w:val="24"/>
          <w:szCs w:val="24"/>
        </w:rPr>
      </w:pPr>
      <w:r w:rsidRPr="009270E7">
        <w:rPr>
          <w:b/>
          <w:i w:val="0"/>
          <w:color w:val="000000" w:themeColor="text1"/>
          <w:sz w:val="24"/>
          <w:szCs w:val="24"/>
        </w:rPr>
        <w:t xml:space="preserve">Table </w:t>
      </w:r>
      <w:r w:rsidRPr="009270E7">
        <w:rPr>
          <w:b/>
          <w:i w:val="0"/>
          <w:color w:val="000000" w:themeColor="text1"/>
          <w:sz w:val="24"/>
          <w:szCs w:val="24"/>
        </w:rPr>
        <w:fldChar w:fldCharType="begin"/>
      </w:r>
      <w:r w:rsidRPr="009270E7">
        <w:rPr>
          <w:b/>
          <w:i w:val="0"/>
          <w:color w:val="000000" w:themeColor="text1"/>
          <w:sz w:val="24"/>
          <w:szCs w:val="24"/>
        </w:rPr>
        <w:instrText xml:space="preserve"> SEQ Table \* ARABIC </w:instrText>
      </w:r>
      <w:r w:rsidRPr="009270E7">
        <w:rPr>
          <w:b/>
          <w:i w:val="0"/>
          <w:color w:val="000000" w:themeColor="text1"/>
          <w:sz w:val="24"/>
          <w:szCs w:val="24"/>
        </w:rPr>
        <w:fldChar w:fldCharType="separate"/>
      </w:r>
      <w:r w:rsidR="0009609F">
        <w:rPr>
          <w:b/>
          <w:i w:val="0"/>
          <w:noProof/>
          <w:color w:val="000000" w:themeColor="text1"/>
          <w:sz w:val="24"/>
          <w:szCs w:val="24"/>
        </w:rPr>
        <w:t>3</w:t>
      </w:r>
      <w:r w:rsidRPr="009270E7">
        <w:rPr>
          <w:b/>
          <w:i w:val="0"/>
          <w:color w:val="000000" w:themeColor="text1"/>
          <w:sz w:val="24"/>
          <w:szCs w:val="24"/>
        </w:rPr>
        <w:fldChar w:fldCharType="end"/>
      </w:r>
    </w:p>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2252"/>
        <w:gridCol w:w="1436"/>
        <w:gridCol w:w="1260"/>
        <w:gridCol w:w="1438"/>
        <w:gridCol w:w="1440"/>
        <w:gridCol w:w="1524"/>
      </w:tblGrid>
      <w:tr w:rsidR="00C07CC4" w:rsidRPr="005B52E6" w14:paraId="7390A09C" w14:textId="77777777" w:rsidTr="00951106">
        <w:tc>
          <w:tcPr>
            <w:tcW w:w="1204" w:type="pct"/>
            <w:tcBorders>
              <w:right w:val="single" w:sz="4" w:space="0" w:color="auto"/>
            </w:tcBorders>
          </w:tcPr>
          <w:p w14:paraId="12BD0B9B" w14:textId="5E2F3883" w:rsidR="001B1A4A" w:rsidRPr="005B52E6" w:rsidRDefault="001B1A4A" w:rsidP="00E516C9">
            <w:pPr>
              <w:rPr>
                <w:rFonts w:cs="Times New Roman"/>
                <w:b/>
                <w:sz w:val="22"/>
              </w:rPr>
            </w:pPr>
            <w:r w:rsidRPr="005B52E6">
              <w:rPr>
                <w:rFonts w:cs="Times New Roman"/>
                <w:b/>
                <w:sz w:val="22"/>
              </w:rPr>
              <w:t>Municipal Bonds</w:t>
            </w:r>
          </w:p>
        </w:tc>
        <w:tc>
          <w:tcPr>
            <w:tcW w:w="1442" w:type="pct"/>
            <w:gridSpan w:val="2"/>
            <w:tcBorders>
              <w:left w:val="single" w:sz="4" w:space="0" w:color="auto"/>
              <w:right w:val="single" w:sz="4" w:space="0" w:color="auto"/>
            </w:tcBorders>
          </w:tcPr>
          <w:p w14:paraId="7972FD7D" w14:textId="5270BB70" w:rsidR="001B1A4A" w:rsidRPr="005B52E6" w:rsidRDefault="001B1A4A" w:rsidP="00337FBA">
            <w:pPr>
              <w:jc w:val="center"/>
              <w:rPr>
                <w:rFonts w:cs="Times New Roman"/>
                <w:b/>
                <w:sz w:val="22"/>
              </w:rPr>
            </w:pPr>
            <w:r w:rsidRPr="005B52E6">
              <w:rPr>
                <w:rFonts w:cs="Times New Roman"/>
                <w:b/>
                <w:sz w:val="22"/>
              </w:rPr>
              <w:t>Investment Grade: M(</w:t>
            </w:r>
            <w:r w:rsidR="00CD20B7">
              <w:rPr>
                <w:rFonts w:cs="Times New Roman"/>
                <w:b/>
                <w:sz w:val="22"/>
              </w:rPr>
              <w:t>2</w:t>
            </w:r>
            <w:r w:rsidRPr="005B52E6">
              <w:rPr>
                <w:rFonts w:cs="Times New Roman"/>
                <w:b/>
                <w:sz w:val="22"/>
              </w:rPr>
              <w:t>)</w:t>
            </w:r>
            <w:r w:rsidR="005D474F">
              <w:rPr>
                <w:rStyle w:val="FootnoteReference"/>
                <w:rFonts w:cs="Times New Roman"/>
                <w:b/>
                <w:sz w:val="22"/>
              </w:rPr>
              <w:footnoteReference w:id="3"/>
            </w:r>
          </w:p>
        </w:tc>
        <w:tc>
          <w:tcPr>
            <w:tcW w:w="1539" w:type="pct"/>
            <w:gridSpan w:val="2"/>
            <w:tcBorders>
              <w:left w:val="single" w:sz="4" w:space="0" w:color="auto"/>
              <w:right w:val="single" w:sz="4" w:space="0" w:color="auto"/>
            </w:tcBorders>
          </w:tcPr>
          <w:p w14:paraId="4B73AFDA" w14:textId="17325A85" w:rsidR="001B1A4A" w:rsidRPr="005B52E6" w:rsidRDefault="001B1A4A" w:rsidP="00951106">
            <w:pPr>
              <w:rPr>
                <w:rFonts w:cs="Times New Roman"/>
                <w:b/>
                <w:sz w:val="22"/>
              </w:rPr>
            </w:pPr>
            <w:r w:rsidRPr="005B52E6">
              <w:rPr>
                <w:rFonts w:cs="Times New Roman"/>
                <w:b/>
                <w:sz w:val="22"/>
              </w:rPr>
              <w:t>Non-investment grade: M(</w:t>
            </w:r>
            <w:r w:rsidR="00CD20B7">
              <w:rPr>
                <w:rFonts w:cs="Times New Roman"/>
                <w:b/>
                <w:sz w:val="22"/>
              </w:rPr>
              <w:t>5</w:t>
            </w:r>
            <w:r w:rsidRPr="005B52E6">
              <w:rPr>
                <w:rFonts w:cs="Times New Roman"/>
                <w:b/>
                <w:sz w:val="22"/>
              </w:rPr>
              <w:t>)</w:t>
            </w:r>
          </w:p>
        </w:tc>
        <w:tc>
          <w:tcPr>
            <w:tcW w:w="815" w:type="pct"/>
            <w:tcBorders>
              <w:left w:val="single" w:sz="4" w:space="0" w:color="auto"/>
            </w:tcBorders>
          </w:tcPr>
          <w:p w14:paraId="302E1962" w14:textId="3B4B3E32" w:rsidR="001B1A4A" w:rsidRPr="005B52E6" w:rsidRDefault="001B1A4A" w:rsidP="00E516C9">
            <w:pPr>
              <w:rPr>
                <w:rFonts w:cs="Times New Roman"/>
                <w:b/>
                <w:sz w:val="22"/>
              </w:rPr>
            </w:pPr>
            <w:r w:rsidRPr="005B52E6">
              <w:rPr>
                <w:rFonts w:cs="Times New Roman"/>
                <w:b/>
                <w:sz w:val="22"/>
              </w:rPr>
              <w:t>|M(</w:t>
            </w:r>
            <w:r w:rsidR="00CD20B7">
              <w:rPr>
                <w:rFonts w:cs="Times New Roman"/>
                <w:b/>
                <w:sz w:val="22"/>
              </w:rPr>
              <w:t>2</w:t>
            </w:r>
            <w:r w:rsidRPr="005B52E6">
              <w:rPr>
                <w:rFonts w:cs="Times New Roman"/>
                <w:b/>
                <w:sz w:val="22"/>
              </w:rPr>
              <w:t>)| - |M(</w:t>
            </w:r>
            <w:r w:rsidR="00CD20B7">
              <w:rPr>
                <w:rFonts w:cs="Times New Roman"/>
                <w:b/>
                <w:sz w:val="22"/>
              </w:rPr>
              <w:t>5</w:t>
            </w:r>
            <w:r w:rsidRPr="005B52E6">
              <w:rPr>
                <w:rFonts w:cs="Times New Roman"/>
                <w:b/>
                <w:sz w:val="22"/>
              </w:rPr>
              <w:t>)|</w:t>
            </w:r>
          </w:p>
        </w:tc>
      </w:tr>
      <w:tr w:rsidR="005B52E6" w:rsidRPr="005B52E6" w14:paraId="105EE55B" w14:textId="77777777" w:rsidTr="00951106">
        <w:tc>
          <w:tcPr>
            <w:tcW w:w="1204" w:type="pct"/>
            <w:tcBorders>
              <w:bottom w:val="single" w:sz="4" w:space="0" w:color="auto"/>
              <w:right w:val="single" w:sz="4" w:space="0" w:color="auto"/>
            </w:tcBorders>
          </w:tcPr>
          <w:p w14:paraId="0E6E82FA" w14:textId="119253CB" w:rsidR="001B1A4A" w:rsidRPr="005B52E6" w:rsidRDefault="001B1A4A" w:rsidP="00E516C9">
            <w:pPr>
              <w:rPr>
                <w:rFonts w:cs="Times New Roman"/>
                <w:b/>
                <w:sz w:val="22"/>
              </w:rPr>
            </w:pPr>
            <w:r w:rsidRPr="005B52E6">
              <w:rPr>
                <w:rFonts w:cs="Times New Roman"/>
                <w:b/>
                <w:sz w:val="22"/>
              </w:rPr>
              <w:t>2000-2017</w:t>
            </w:r>
          </w:p>
        </w:tc>
        <w:tc>
          <w:tcPr>
            <w:tcW w:w="768" w:type="pct"/>
            <w:tcBorders>
              <w:left w:val="single" w:sz="4" w:space="0" w:color="auto"/>
              <w:bottom w:val="single" w:sz="4" w:space="0" w:color="auto"/>
            </w:tcBorders>
          </w:tcPr>
          <w:p w14:paraId="40A35F80" w14:textId="77777777" w:rsidR="001B1A4A" w:rsidRPr="005B52E6" w:rsidRDefault="001B1A4A" w:rsidP="00E516C9">
            <w:pPr>
              <w:rPr>
                <w:rFonts w:cs="Times New Roman"/>
                <w:b/>
                <w:sz w:val="22"/>
              </w:rPr>
            </w:pPr>
            <w:r w:rsidRPr="005B52E6">
              <w:rPr>
                <w:rFonts w:cs="Times New Roman"/>
                <w:b/>
                <w:sz w:val="22"/>
              </w:rPr>
              <w:t>Co-efficients</w:t>
            </w:r>
          </w:p>
        </w:tc>
        <w:tc>
          <w:tcPr>
            <w:tcW w:w="674" w:type="pct"/>
            <w:tcBorders>
              <w:bottom w:val="single" w:sz="4" w:space="0" w:color="auto"/>
              <w:right w:val="single" w:sz="4" w:space="0" w:color="auto"/>
            </w:tcBorders>
          </w:tcPr>
          <w:p w14:paraId="5693918F" w14:textId="77777777" w:rsidR="001B1A4A" w:rsidRPr="005B52E6" w:rsidRDefault="001B1A4A" w:rsidP="00E516C9">
            <w:pPr>
              <w:rPr>
                <w:rFonts w:cs="Times New Roman"/>
                <w:b/>
                <w:sz w:val="22"/>
              </w:rPr>
            </w:pPr>
            <w:r w:rsidRPr="005B52E6">
              <w:rPr>
                <w:rFonts w:cs="Times New Roman"/>
                <w:b/>
                <w:sz w:val="22"/>
              </w:rPr>
              <w:t>Std. Error</w:t>
            </w:r>
          </w:p>
        </w:tc>
        <w:tc>
          <w:tcPr>
            <w:tcW w:w="769" w:type="pct"/>
            <w:tcBorders>
              <w:left w:val="single" w:sz="4" w:space="0" w:color="auto"/>
              <w:bottom w:val="single" w:sz="4" w:space="0" w:color="auto"/>
            </w:tcBorders>
          </w:tcPr>
          <w:p w14:paraId="7643EF8A" w14:textId="77777777" w:rsidR="001B1A4A" w:rsidRPr="005B52E6" w:rsidRDefault="001B1A4A" w:rsidP="00E516C9">
            <w:pPr>
              <w:rPr>
                <w:rFonts w:cs="Times New Roman"/>
                <w:b/>
                <w:sz w:val="22"/>
              </w:rPr>
            </w:pPr>
            <w:r w:rsidRPr="005B52E6">
              <w:rPr>
                <w:rFonts w:cs="Times New Roman"/>
                <w:b/>
                <w:sz w:val="22"/>
              </w:rPr>
              <w:t>Co-efficients</w:t>
            </w:r>
          </w:p>
        </w:tc>
        <w:tc>
          <w:tcPr>
            <w:tcW w:w="770" w:type="pct"/>
            <w:tcBorders>
              <w:bottom w:val="single" w:sz="4" w:space="0" w:color="auto"/>
              <w:right w:val="single" w:sz="4" w:space="0" w:color="auto"/>
            </w:tcBorders>
          </w:tcPr>
          <w:p w14:paraId="2749841C" w14:textId="77777777" w:rsidR="001B1A4A" w:rsidRPr="005B52E6" w:rsidRDefault="001B1A4A" w:rsidP="00E516C9">
            <w:pPr>
              <w:rPr>
                <w:rFonts w:cs="Times New Roman"/>
                <w:b/>
                <w:sz w:val="22"/>
              </w:rPr>
            </w:pPr>
            <w:r w:rsidRPr="005B52E6">
              <w:rPr>
                <w:rFonts w:cs="Times New Roman"/>
                <w:b/>
                <w:sz w:val="22"/>
              </w:rPr>
              <w:t>Std. Error</w:t>
            </w:r>
          </w:p>
        </w:tc>
        <w:tc>
          <w:tcPr>
            <w:tcW w:w="815" w:type="pct"/>
            <w:tcBorders>
              <w:left w:val="single" w:sz="4" w:space="0" w:color="auto"/>
              <w:bottom w:val="single" w:sz="4" w:space="0" w:color="auto"/>
            </w:tcBorders>
          </w:tcPr>
          <w:p w14:paraId="4A5DED21" w14:textId="77777777" w:rsidR="001B1A4A" w:rsidRPr="005B52E6" w:rsidRDefault="001B1A4A" w:rsidP="00E516C9">
            <w:pPr>
              <w:rPr>
                <w:rFonts w:cs="Times New Roman"/>
                <w:b/>
                <w:sz w:val="22"/>
              </w:rPr>
            </w:pPr>
            <w:r w:rsidRPr="005B52E6">
              <w:rPr>
                <w:rFonts w:cs="Times New Roman"/>
                <w:b/>
                <w:sz w:val="22"/>
              </w:rPr>
              <w:t>Difference</w:t>
            </w:r>
          </w:p>
        </w:tc>
      </w:tr>
      <w:tr w:rsidR="005B52E6" w:rsidRPr="005B52E6" w14:paraId="4250ED0A" w14:textId="77777777" w:rsidTr="00951106">
        <w:tc>
          <w:tcPr>
            <w:tcW w:w="1204" w:type="pct"/>
            <w:tcBorders>
              <w:top w:val="single" w:sz="4" w:space="0" w:color="auto"/>
              <w:right w:val="single" w:sz="4" w:space="0" w:color="auto"/>
            </w:tcBorders>
          </w:tcPr>
          <w:p w14:paraId="239189C9" w14:textId="77777777" w:rsidR="001B1A4A" w:rsidRPr="005B52E6" w:rsidRDefault="001B1A4A" w:rsidP="00E516C9">
            <w:pPr>
              <w:rPr>
                <w:rFonts w:cs="Times New Roman"/>
                <w:sz w:val="22"/>
              </w:rPr>
            </w:pPr>
          </w:p>
        </w:tc>
        <w:tc>
          <w:tcPr>
            <w:tcW w:w="768" w:type="pct"/>
            <w:tcBorders>
              <w:top w:val="single" w:sz="4" w:space="0" w:color="auto"/>
              <w:left w:val="single" w:sz="4" w:space="0" w:color="auto"/>
            </w:tcBorders>
          </w:tcPr>
          <w:p w14:paraId="215FA090" w14:textId="77777777" w:rsidR="001B1A4A" w:rsidRPr="005B52E6" w:rsidRDefault="001B1A4A" w:rsidP="00E516C9">
            <w:pPr>
              <w:rPr>
                <w:rFonts w:cs="Times New Roman"/>
                <w:sz w:val="22"/>
              </w:rPr>
            </w:pPr>
          </w:p>
        </w:tc>
        <w:tc>
          <w:tcPr>
            <w:tcW w:w="674" w:type="pct"/>
            <w:tcBorders>
              <w:top w:val="single" w:sz="4" w:space="0" w:color="auto"/>
              <w:right w:val="single" w:sz="4" w:space="0" w:color="auto"/>
            </w:tcBorders>
          </w:tcPr>
          <w:p w14:paraId="6C9F8528" w14:textId="77777777" w:rsidR="001B1A4A" w:rsidRPr="005B52E6" w:rsidRDefault="001B1A4A" w:rsidP="00E516C9">
            <w:pPr>
              <w:rPr>
                <w:rFonts w:cs="Times New Roman"/>
                <w:sz w:val="22"/>
              </w:rPr>
            </w:pPr>
          </w:p>
        </w:tc>
        <w:tc>
          <w:tcPr>
            <w:tcW w:w="769" w:type="pct"/>
            <w:tcBorders>
              <w:top w:val="single" w:sz="4" w:space="0" w:color="auto"/>
              <w:left w:val="single" w:sz="4" w:space="0" w:color="auto"/>
            </w:tcBorders>
          </w:tcPr>
          <w:p w14:paraId="3EC44F5C" w14:textId="77777777" w:rsidR="001B1A4A" w:rsidRPr="005B52E6" w:rsidRDefault="001B1A4A" w:rsidP="00E516C9">
            <w:pPr>
              <w:rPr>
                <w:rFonts w:cs="Times New Roman"/>
                <w:sz w:val="22"/>
              </w:rPr>
            </w:pPr>
          </w:p>
        </w:tc>
        <w:tc>
          <w:tcPr>
            <w:tcW w:w="770" w:type="pct"/>
            <w:tcBorders>
              <w:top w:val="single" w:sz="4" w:space="0" w:color="auto"/>
              <w:right w:val="single" w:sz="4" w:space="0" w:color="auto"/>
            </w:tcBorders>
          </w:tcPr>
          <w:p w14:paraId="0C2551C5" w14:textId="77777777" w:rsidR="001B1A4A" w:rsidRPr="005B52E6" w:rsidRDefault="001B1A4A" w:rsidP="00E516C9">
            <w:pPr>
              <w:rPr>
                <w:rFonts w:cs="Times New Roman"/>
                <w:sz w:val="22"/>
              </w:rPr>
            </w:pPr>
          </w:p>
        </w:tc>
        <w:tc>
          <w:tcPr>
            <w:tcW w:w="815" w:type="pct"/>
            <w:tcBorders>
              <w:top w:val="single" w:sz="4" w:space="0" w:color="auto"/>
              <w:left w:val="single" w:sz="4" w:space="0" w:color="auto"/>
            </w:tcBorders>
          </w:tcPr>
          <w:p w14:paraId="0EBEA1C6" w14:textId="77777777" w:rsidR="001B1A4A" w:rsidRPr="005B52E6" w:rsidRDefault="001B1A4A" w:rsidP="00E516C9">
            <w:pPr>
              <w:rPr>
                <w:rFonts w:cs="Times New Roman"/>
                <w:b/>
                <w:sz w:val="22"/>
              </w:rPr>
            </w:pPr>
          </w:p>
        </w:tc>
      </w:tr>
      <w:tr w:rsidR="005B52E6" w:rsidRPr="005B52E6" w14:paraId="322E4EDE" w14:textId="77777777" w:rsidTr="00951106">
        <w:tc>
          <w:tcPr>
            <w:tcW w:w="1204" w:type="pct"/>
            <w:tcBorders>
              <w:right w:val="single" w:sz="4" w:space="0" w:color="auto"/>
            </w:tcBorders>
            <w:vAlign w:val="center"/>
          </w:tcPr>
          <w:p w14:paraId="35A276BE" w14:textId="77777777" w:rsidR="00CF154B" w:rsidRPr="005B52E6" w:rsidRDefault="00CF154B" w:rsidP="00CF154B">
            <w:pPr>
              <w:rPr>
                <w:rFonts w:cs="Times New Roman"/>
                <w:i/>
                <w:sz w:val="22"/>
              </w:rPr>
            </w:pPr>
            <w:r w:rsidRPr="005B52E6">
              <w:rPr>
                <w:rFonts w:cs="Times New Roman"/>
                <w:i/>
                <w:color w:val="000000"/>
                <w:sz w:val="22"/>
              </w:rPr>
              <w:t>February</w:t>
            </w:r>
          </w:p>
        </w:tc>
        <w:tc>
          <w:tcPr>
            <w:tcW w:w="768" w:type="pct"/>
            <w:tcBorders>
              <w:left w:val="single" w:sz="4" w:space="0" w:color="auto"/>
            </w:tcBorders>
            <w:vAlign w:val="center"/>
          </w:tcPr>
          <w:p w14:paraId="34B23642" w14:textId="55037897" w:rsidR="00CF154B" w:rsidRPr="005B52E6" w:rsidRDefault="00CF154B" w:rsidP="005B52E6">
            <w:pPr>
              <w:jc w:val="right"/>
              <w:rPr>
                <w:rFonts w:cs="Times New Roman"/>
                <w:sz w:val="22"/>
              </w:rPr>
            </w:pPr>
            <w:r w:rsidRPr="005B52E6">
              <w:rPr>
                <w:rFonts w:cs="Times New Roman"/>
                <w:color w:val="000000"/>
                <w:sz w:val="22"/>
              </w:rPr>
              <w:t>-0.54%</w:t>
            </w:r>
          </w:p>
        </w:tc>
        <w:tc>
          <w:tcPr>
            <w:tcW w:w="674" w:type="pct"/>
            <w:tcBorders>
              <w:right w:val="single" w:sz="4" w:space="0" w:color="auto"/>
            </w:tcBorders>
            <w:vAlign w:val="center"/>
          </w:tcPr>
          <w:p w14:paraId="33D856A6" w14:textId="142A14D0" w:rsidR="00CF154B" w:rsidRPr="005B52E6" w:rsidRDefault="00CF154B" w:rsidP="005B52E6">
            <w:pPr>
              <w:jc w:val="right"/>
              <w:rPr>
                <w:rFonts w:cs="Times New Roman"/>
                <w:sz w:val="22"/>
              </w:rPr>
            </w:pPr>
            <w:r w:rsidRPr="005B52E6">
              <w:rPr>
                <w:rFonts w:cs="Times New Roman"/>
                <w:color w:val="000000"/>
                <w:sz w:val="22"/>
              </w:rPr>
              <w:t>0.003</w:t>
            </w:r>
          </w:p>
        </w:tc>
        <w:tc>
          <w:tcPr>
            <w:tcW w:w="769" w:type="pct"/>
            <w:tcBorders>
              <w:left w:val="single" w:sz="4" w:space="0" w:color="auto"/>
            </w:tcBorders>
            <w:vAlign w:val="center"/>
          </w:tcPr>
          <w:p w14:paraId="0D80DB86" w14:textId="241CFBE5" w:rsidR="00CF154B" w:rsidRPr="005B52E6" w:rsidRDefault="00CF154B" w:rsidP="005B52E6">
            <w:pPr>
              <w:jc w:val="right"/>
              <w:rPr>
                <w:rFonts w:cs="Times New Roman"/>
                <w:sz w:val="22"/>
              </w:rPr>
            </w:pPr>
            <w:r w:rsidRPr="005B52E6">
              <w:rPr>
                <w:rFonts w:cs="Times New Roman"/>
                <w:color w:val="000000"/>
                <w:sz w:val="22"/>
              </w:rPr>
              <w:t>-0.76%</w:t>
            </w:r>
          </w:p>
        </w:tc>
        <w:tc>
          <w:tcPr>
            <w:tcW w:w="770" w:type="pct"/>
            <w:tcBorders>
              <w:right w:val="single" w:sz="4" w:space="0" w:color="auto"/>
            </w:tcBorders>
            <w:vAlign w:val="center"/>
          </w:tcPr>
          <w:p w14:paraId="23726685" w14:textId="06F83A90" w:rsidR="00CF154B" w:rsidRPr="005B52E6" w:rsidRDefault="00CF154B" w:rsidP="005B52E6">
            <w:pPr>
              <w:jc w:val="right"/>
              <w:rPr>
                <w:rFonts w:cs="Times New Roman"/>
                <w:sz w:val="22"/>
              </w:rPr>
            </w:pPr>
            <w:r w:rsidRPr="005B52E6">
              <w:rPr>
                <w:rFonts w:cs="Times New Roman"/>
                <w:color w:val="000000"/>
                <w:sz w:val="22"/>
              </w:rPr>
              <w:t>0.006</w:t>
            </w:r>
          </w:p>
        </w:tc>
        <w:tc>
          <w:tcPr>
            <w:tcW w:w="815" w:type="pct"/>
            <w:tcBorders>
              <w:left w:val="single" w:sz="4" w:space="0" w:color="auto"/>
            </w:tcBorders>
            <w:vAlign w:val="bottom"/>
          </w:tcPr>
          <w:p w14:paraId="76D3B0B0" w14:textId="700A09C9" w:rsidR="00CF154B" w:rsidRPr="004767EC" w:rsidRDefault="00CF154B" w:rsidP="005B52E6">
            <w:pPr>
              <w:jc w:val="right"/>
              <w:rPr>
                <w:rFonts w:cs="Times New Roman"/>
                <w:b/>
                <w:sz w:val="22"/>
              </w:rPr>
            </w:pPr>
            <w:r w:rsidRPr="004767EC">
              <w:rPr>
                <w:rFonts w:cs="Times New Roman"/>
                <w:b/>
                <w:color w:val="000000"/>
                <w:sz w:val="22"/>
              </w:rPr>
              <w:t>-0.22%</w:t>
            </w:r>
          </w:p>
        </w:tc>
      </w:tr>
      <w:tr w:rsidR="005B52E6" w:rsidRPr="005B52E6" w14:paraId="1296E0FA" w14:textId="77777777" w:rsidTr="00951106">
        <w:tc>
          <w:tcPr>
            <w:tcW w:w="1204" w:type="pct"/>
            <w:tcBorders>
              <w:right w:val="single" w:sz="4" w:space="0" w:color="auto"/>
            </w:tcBorders>
            <w:vAlign w:val="center"/>
          </w:tcPr>
          <w:p w14:paraId="35946919" w14:textId="77777777" w:rsidR="00CF154B" w:rsidRPr="005B52E6" w:rsidRDefault="00CF154B" w:rsidP="00CF154B">
            <w:pPr>
              <w:rPr>
                <w:rFonts w:cs="Times New Roman"/>
                <w:i/>
                <w:sz w:val="22"/>
              </w:rPr>
            </w:pPr>
            <w:r w:rsidRPr="005B52E6">
              <w:rPr>
                <w:rFonts w:cs="Times New Roman"/>
                <w:i/>
                <w:color w:val="000000"/>
                <w:sz w:val="22"/>
              </w:rPr>
              <w:t>March</w:t>
            </w:r>
          </w:p>
        </w:tc>
        <w:tc>
          <w:tcPr>
            <w:tcW w:w="768" w:type="pct"/>
            <w:tcBorders>
              <w:left w:val="single" w:sz="4" w:space="0" w:color="auto"/>
            </w:tcBorders>
            <w:vAlign w:val="center"/>
          </w:tcPr>
          <w:p w14:paraId="1990C4BE" w14:textId="01D5AA74" w:rsidR="00CF154B" w:rsidRPr="005B52E6" w:rsidRDefault="00CF154B" w:rsidP="005B52E6">
            <w:pPr>
              <w:jc w:val="right"/>
              <w:rPr>
                <w:rFonts w:cs="Times New Roman"/>
                <w:sz w:val="22"/>
              </w:rPr>
            </w:pPr>
            <w:r w:rsidRPr="005B52E6">
              <w:rPr>
                <w:rFonts w:cs="Times New Roman"/>
                <w:color w:val="000000"/>
                <w:sz w:val="22"/>
              </w:rPr>
              <w:t>-0.86%</w:t>
            </w:r>
            <w:r w:rsidR="00FB23D6">
              <w:rPr>
                <w:rFonts w:cs="Times New Roman"/>
                <w:color w:val="000000"/>
                <w:sz w:val="22"/>
              </w:rPr>
              <w:t>***</w:t>
            </w:r>
          </w:p>
        </w:tc>
        <w:tc>
          <w:tcPr>
            <w:tcW w:w="674" w:type="pct"/>
            <w:tcBorders>
              <w:right w:val="single" w:sz="4" w:space="0" w:color="auto"/>
            </w:tcBorders>
            <w:vAlign w:val="center"/>
          </w:tcPr>
          <w:p w14:paraId="61D86CA3" w14:textId="6CABF0D8" w:rsidR="00CF154B" w:rsidRPr="005B52E6" w:rsidRDefault="00CF154B" w:rsidP="005B52E6">
            <w:pPr>
              <w:jc w:val="right"/>
              <w:rPr>
                <w:rFonts w:cs="Times New Roman"/>
                <w:sz w:val="22"/>
              </w:rPr>
            </w:pPr>
            <w:r w:rsidRPr="005B52E6">
              <w:rPr>
                <w:rFonts w:cs="Times New Roman"/>
                <w:color w:val="000000"/>
                <w:sz w:val="22"/>
              </w:rPr>
              <w:t>0.003</w:t>
            </w:r>
          </w:p>
        </w:tc>
        <w:tc>
          <w:tcPr>
            <w:tcW w:w="769" w:type="pct"/>
            <w:tcBorders>
              <w:left w:val="single" w:sz="4" w:space="0" w:color="auto"/>
            </w:tcBorders>
            <w:vAlign w:val="center"/>
          </w:tcPr>
          <w:p w14:paraId="46CC8B39" w14:textId="3CACFE43" w:rsidR="00CF154B" w:rsidRPr="005B52E6" w:rsidRDefault="00CF154B" w:rsidP="005B52E6">
            <w:pPr>
              <w:jc w:val="right"/>
              <w:rPr>
                <w:rFonts w:cs="Times New Roman"/>
                <w:sz w:val="22"/>
              </w:rPr>
            </w:pPr>
            <w:r w:rsidRPr="005B52E6">
              <w:rPr>
                <w:rFonts w:cs="Times New Roman"/>
                <w:color w:val="000000"/>
                <w:sz w:val="22"/>
              </w:rPr>
              <w:t>-1.15%</w:t>
            </w:r>
            <w:r w:rsidR="00FB23D6">
              <w:rPr>
                <w:rFonts w:cs="Times New Roman"/>
                <w:color w:val="000000"/>
                <w:sz w:val="22"/>
              </w:rPr>
              <w:t>*</w:t>
            </w:r>
          </w:p>
        </w:tc>
        <w:tc>
          <w:tcPr>
            <w:tcW w:w="770" w:type="pct"/>
            <w:tcBorders>
              <w:right w:val="single" w:sz="4" w:space="0" w:color="auto"/>
            </w:tcBorders>
            <w:vAlign w:val="center"/>
          </w:tcPr>
          <w:p w14:paraId="3005D3AA" w14:textId="11BD6B14" w:rsidR="00CF154B" w:rsidRPr="005B52E6" w:rsidRDefault="00CF154B" w:rsidP="005B52E6">
            <w:pPr>
              <w:jc w:val="right"/>
              <w:rPr>
                <w:rFonts w:cs="Times New Roman"/>
                <w:sz w:val="22"/>
              </w:rPr>
            </w:pPr>
            <w:r w:rsidRPr="005B52E6">
              <w:rPr>
                <w:rFonts w:cs="Times New Roman"/>
                <w:color w:val="000000"/>
                <w:sz w:val="22"/>
              </w:rPr>
              <w:t>0.006</w:t>
            </w:r>
          </w:p>
        </w:tc>
        <w:tc>
          <w:tcPr>
            <w:tcW w:w="815" w:type="pct"/>
            <w:tcBorders>
              <w:left w:val="single" w:sz="4" w:space="0" w:color="auto"/>
            </w:tcBorders>
            <w:vAlign w:val="bottom"/>
          </w:tcPr>
          <w:p w14:paraId="6A95DEF2" w14:textId="4C265C6E" w:rsidR="00CF154B" w:rsidRPr="004767EC" w:rsidRDefault="00CF154B" w:rsidP="005B52E6">
            <w:pPr>
              <w:jc w:val="right"/>
              <w:rPr>
                <w:rFonts w:cs="Times New Roman"/>
                <w:b/>
                <w:sz w:val="22"/>
              </w:rPr>
            </w:pPr>
            <w:r w:rsidRPr="004767EC">
              <w:rPr>
                <w:rFonts w:cs="Times New Roman"/>
                <w:b/>
                <w:color w:val="000000"/>
                <w:sz w:val="22"/>
              </w:rPr>
              <w:t>-0.29%</w:t>
            </w:r>
          </w:p>
        </w:tc>
      </w:tr>
      <w:tr w:rsidR="005B52E6" w:rsidRPr="005B52E6" w14:paraId="0A183B40" w14:textId="77777777" w:rsidTr="00951106">
        <w:tc>
          <w:tcPr>
            <w:tcW w:w="1204" w:type="pct"/>
            <w:tcBorders>
              <w:right w:val="single" w:sz="4" w:space="0" w:color="auto"/>
            </w:tcBorders>
            <w:vAlign w:val="center"/>
          </w:tcPr>
          <w:p w14:paraId="4141A259" w14:textId="77777777" w:rsidR="00CF154B" w:rsidRPr="005B52E6" w:rsidRDefault="00CF154B" w:rsidP="00CF154B">
            <w:pPr>
              <w:rPr>
                <w:rFonts w:cs="Times New Roman"/>
                <w:i/>
                <w:sz w:val="22"/>
              </w:rPr>
            </w:pPr>
            <w:r w:rsidRPr="005B52E6">
              <w:rPr>
                <w:rFonts w:cs="Times New Roman"/>
                <w:i/>
                <w:color w:val="000000"/>
                <w:sz w:val="22"/>
              </w:rPr>
              <w:t>April</w:t>
            </w:r>
          </w:p>
        </w:tc>
        <w:tc>
          <w:tcPr>
            <w:tcW w:w="768" w:type="pct"/>
            <w:tcBorders>
              <w:left w:val="single" w:sz="4" w:space="0" w:color="auto"/>
            </w:tcBorders>
            <w:vAlign w:val="center"/>
          </w:tcPr>
          <w:p w14:paraId="0DFE0DC5" w14:textId="06B191AC" w:rsidR="00CF154B" w:rsidRPr="005B52E6" w:rsidRDefault="00CF154B" w:rsidP="005B52E6">
            <w:pPr>
              <w:jc w:val="right"/>
              <w:rPr>
                <w:rFonts w:cs="Times New Roman"/>
                <w:sz w:val="22"/>
              </w:rPr>
            </w:pPr>
            <w:r w:rsidRPr="005B52E6">
              <w:rPr>
                <w:rFonts w:cs="Times New Roman"/>
                <w:color w:val="000000"/>
                <w:sz w:val="22"/>
              </w:rPr>
              <w:t>-0.31%</w:t>
            </w:r>
          </w:p>
        </w:tc>
        <w:tc>
          <w:tcPr>
            <w:tcW w:w="674" w:type="pct"/>
            <w:tcBorders>
              <w:right w:val="single" w:sz="4" w:space="0" w:color="auto"/>
            </w:tcBorders>
            <w:vAlign w:val="center"/>
          </w:tcPr>
          <w:p w14:paraId="66630572" w14:textId="3451F74B" w:rsidR="00CF154B" w:rsidRPr="005B52E6" w:rsidRDefault="00CF154B" w:rsidP="005B52E6">
            <w:pPr>
              <w:jc w:val="right"/>
              <w:rPr>
                <w:rFonts w:cs="Times New Roman"/>
                <w:sz w:val="22"/>
              </w:rPr>
            </w:pPr>
            <w:r w:rsidRPr="005B52E6">
              <w:rPr>
                <w:rFonts w:cs="Times New Roman"/>
                <w:color w:val="000000"/>
                <w:sz w:val="22"/>
              </w:rPr>
              <w:t>0.003</w:t>
            </w:r>
          </w:p>
        </w:tc>
        <w:tc>
          <w:tcPr>
            <w:tcW w:w="769" w:type="pct"/>
            <w:tcBorders>
              <w:left w:val="single" w:sz="4" w:space="0" w:color="auto"/>
            </w:tcBorders>
            <w:vAlign w:val="center"/>
          </w:tcPr>
          <w:p w14:paraId="7FD4E02B" w14:textId="2AC1A8AC" w:rsidR="00CF154B" w:rsidRPr="005B52E6" w:rsidRDefault="00CF154B" w:rsidP="005B52E6">
            <w:pPr>
              <w:jc w:val="right"/>
              <w:rPr>
                <w:rFonts w:cs="Times New Roman"/>
                <w:sz w:val="22"/>
              </w:rPr>
            </w:pPr>
            <w:r w:rsidRPr="005B52E6">
              <w:rPr>
                <w:rFonts w:cs="Times New Roman"/>
                <w:color w:val="000000"/>
                <w:sz w:val="22"/>
              </w:rPr>
              <w:t>-0.45%</w:t>
            </w:r>
          </w:p>
        </w:tc>
        <w:tc>
          <w:tcPr>
            <w:tcW w:w="770" w:type="pct"/>
            <w:tcBorders>
              <w:right w:val="single" w:sz="4" w:space="0" w:color="auto"/>
            </w:tcBorders>
            <w:vAlign w:val="center"/>
          </w:tcPr>
          <w:p w14:paraId="24A8D832" w14:textId="6270901F" w:rsidR="00CF154B" w:rsidRPr="005B52E6" w:rsidRDefault="00CF154B" w:rsidP="005B52E6">
            <w:pPr>
              <w:jc w:val="right"/>
              <w:rPr>
                <w:rFonts w:cs="Times New Roman"/>
                <w:sz w:val="22"/>
              </w:rPr>
            </w:pPr>
            <w:r w:rsidRPr="005B52E6">
              <w:rPr>
                <w:rFonts w:cs="Times New Roman"/>
                <w:color w:val="000000"/>
                <w:sz w:val="22"/>
              </w:rPr>
              <w:t>0.006</w:t>
            </w:r>
          </w:p>
        </w:tc>
        <w:tc>
          <w:tcPr>
            <w:tcW w:w="815" w:type="pct"/>
            <w:tcBorders>
              <w:left w:val="single" w:sz="4" w:space="0" w:color="auto"/>
            </w:tcBorders>
            <w:vAlign w:val="bottom"/>
          </w:tcPr>
          <w:p w14:paraId="7C7AB254" w14:textId="76B4BDE7" w:rsidR="00CF154B" w:rsidRPr="004767EC" w:rsidRDefault="00CF154B" w:rsidP="005B52E6">
            <w:pPr>
              <w:jc w:val="right"/>
              <w:rPr>
                <w:rFonts w:cs="Times New Roman"/>
                <w:b/>
                <w:sz w:val="22"/>
              </w:rPr>
            </w:pPr>
            <w:r w:rsidRPr="004767EC">
              <w:rPr>
                <w:rFonts w:cs="Times New Roman"/>
                <w:b/>
                <w:color w:val="000000"/>
                <w:sz w:val="22"/>
              </w:rPr>
              <w:t>-0.14%</w:t>
            </w:r>
          </w:p>
        </w:tc>
      </w:tr>
      <w:tr w:rsidR="005B52E6" w:rsidRPr="005B52E6" w14:paraId="0C9A554C" w14:textId="77777777" w:rsidTr="00951106">
        <w:tc>
          <w:tcPr>
            <w:tcW w:w="1204" w:type="pct"/>
            <w:tcBorders>
              <w:right w:val="single" w:sz="4" w:space="0" w:color="auto"/>
            </w:tcBorders>
            <w:vAlign w:val="center"/>
          </w:tcPr>
          <w:p w14:paraId="5EA5CE1B" w14:textId="77777777" w:rsidR="00CF154B" w:rsidRPr="005B52E6" w:rsidRDefault="00CF154B" w:rsidP="00CF154B">
            <w:pPr>
              <w:rPr>
                <w:rFonts w:cs="Times New Roman"/>
                <w:i/>
                <w:sz w:val="22"/>
              </w:rPr>
            </w:pPr>
            <w:r w:rsidRPr="005B52E6">
              <w:rPr>
                <w:rFonts w:cs="Times New Roman"/>
                <w:i/>
                <w:color w:val="000000"/>
                <w:sz w:val="22"/>
              </w:rPr>
              <w:t>May</w:t>
            </w:r>
          </w:p>
        </w:tc>
        <w:tc>
          <w:tcPr>
            <w:tcW w:w="768" w:type="pct"/>
            <w:tcBorders>
              <w:left w:val="single" w:sz="4" w:space="0" w:color="auto"/>
            </w:tcBorders>
            <w:vAlign w:val="center"/>
          </w:tcPr>
          <w:p w14:paraId="19E0C311" w14:textId="65C2953E" w:rsidR="00CF154B" w:rsidRPr="005B52E6" w:rsidRDefault="00CF154B" w:rsidP="005B52E6">
            <w:pPr>
              <w:jc w:val="right"/>
              <w:rPr>
                <w:rFonts w:cs="Times New Roman"/>
                <w:sz w:val="22"/>
              </w:rPr>
            </w:pPr>
            <w:r w:rsidRPr="005B52E6">
              <w:rPr>
                <w:rFonts w:cs="Times New Roman"/>
                <w:color w:val="000000"/>
                <w:sz w:val="22"/>
              </w:rPr>
              <w:t>-0.35%</w:t>
            </w:r>
          </w:p>
        </w:tc>
        <w:tc>
          <w:tcPr>
            <w:tcW w:w="674" w:type="pct"/>
            <w:tcBorders>
              <w:right w:val="single" w:sz="4" w:space="0" w:color="auto"/>
            </w:tcBorders>
            <w:vAlign w:val="center"/>
          </w:tcPr>
          <w:p w14:paraId="5EA8342C" w14:textId="75CFA0BD" w:rsidR="00CF154B" w:rsidRPr="005B52E6" w:rsidRDefault="00CF154B" w:rsidP="005B52E6">
            <w:pPr>
              <w:jc w:val="right"/>
              <w:rPr>
                <w:rFonts w:cs="Times New Roman"/>
                <w:sz w:val="22"/>
              </w:rPr>
            </w:pPr>
            <w:r w:rsidRPr="005B52E6">
              <w:rPr>
                <w:rFonts w:cs="Times New Roman"/>
                <w:color w:val="000000"/>
                <w:sz w:val="22"/>
              </w:rPr>
              <w:t>0.003</w:t>
            </w:r>
          </w:p>
        </w:tc>
        <w:tc>
          <w:tcPr>
            <w:tcW w:w="769" w:type="pct"/>
            <w:tcBorders>
              <w:left w:val="single" w:sz="4" w:space="0" w:color="auto"/>
            </w:tcBorders>
            <w:vAlign w:val="center"/>
          </w:tcPr>
          <w:p w14:paraId="75E66362" w14:textId="1355D399" w:rsidR="00CF154B" w:rsidRPr="005B52E6" w:rsidRDefault="00CF154B" w:rsidP="005B52E6">
            <w:pPr>
              <w:jc w:val="right"/>
              <w:rPr>
                <w:rFonts w:cs="Times New Roman"/>
                <w:sz w:val="22"/>
              </w:rPr>
            </w:pPr>
            <w:r w:rsidRPr="005B52E6">
              <w:rPr>
                <w:rFonts w:cs="Times New Roman"/>
                <w:color w:val="000000"/>
                <w:sz w:val="22"/>
              </w:rPr>
              <w:t>-0.19%</w:t>
            </w:r>
          </w:p>
        </w:tc>
        <w:tc>
          <w:tcPr>
            <w:tcW w:w="770" w:type="pct"/>
            <w:tcBorders>
              <w:right w:val="single" w:sz="4" w:space="0" w:color="auto"/>
            </w:tcBorders>
            <w:vAlign w:val="center"/>
          </w:tcPr>
          <w:p w14:paraId="227F99EB" w14:textId="5EA3625B" w:rsidR="00CF154B" w:rsidRPr="005B52E6" w:rsidRDefault="00CF154B" w:rsidP="005B52E6">
            <w:pPr>
              <w:jc w:val="right"/>
              <w:rPr>
                <w:rFonts w:cs="Times New Roman"/>
                <w:sz w:val="22"/>
              </w:rPr>
            </w:pPr>
            <w:r w:rsidRPr="005B52E6">
              <w:rPr>
                <w:rFonts w:cs="Times New Roman"/>
                <w:color w:val="000000"/>
                <w:sz w:val="22"/>
              </w:rPr>
              <w:t>0.006</w:t>
            </w:r>
          </w:p>
        </w:tc>
        <w:tc>
          <w:tcPr>
            <w:tcW w:w="815" w:type="pct"/>
            <w:tcBorders>
              <w:left w:val="single" w:sz="4" w:space="0" w:color="auto"/>
            </w:tcBorders>
            <w:vAlign w:val="bottom"/>
          </w:tcPr>
          <w:p w14:paraId="144094D4" w14:textId="0EE62DDF" w:rsidR="00CF154B" w:rsidRPr="004767EC" w:rsidRDefault="00CF154B" w:rsidP="005B52E6">
            <w:pPr>
              <w:jc w:val="right"/>
              <w:rPr>
                <w:rFonts w:cs="Times New Roman"/>
                <w:b/>
                <w:sz w:val="22"/>
              </w:rPr>
            </w:pPr>
            <w:r w:rsidRPr="004767EC">
              <w:rPr>
                <w:rFonts w:cs="Times New Roman"/>
                <w:b/>
                <w:color w:val="000000"/>
                <w:sz w:val="22"/>
              </w:rPr>
              <w:t>0.16%</w:t>
            </w:r>
          </w:p>
        </w:tc>
      </w:tr>
      <w:tr w:rsidR="005B52E6" w:rsidRPr="005B52E6" w14:paraId="75869B49" w14:textId="77777777" w:rsidTr="00951106">
        <w:tc>
          <w:tcPr>
            <w:tcW w:w="1204" w:type="pct"/>
            <w:tcBorders>
              <w:right w:val="single" w:sz="4" w:space="0" w:color="auto"/>
            </w:tcBorders>
            <w:vAlign w:val="center"/>
          </w:tcPr>
          <w:p w14:paraId="17C6F4A4" w14:textId="77777777" w:rsidR="00CF154B" w:rsidRPr="005B52E6" w:rsidRDefault="00CF154B" w:rsidP="00CF154B">
            <w:pPr>
              <w:rPr>
                <w:rFonts w:cs="Times New Roman"/>
                <w:i/>
                <w:sz w:val="22"/>
              </w:rPr>
            </w:pPr>
            <w:r w:rsidRPr="005B52E6">
              <w:rPr>
                <w:rFonts w:cs="Times New Roman"/>
                <w:i/>
                <w:color w:val="000000"/>
                <w:sz w:val="22"/>
              </w:rPr>
              <w:t>June</w:t>
            </w:r>
          </w:p>
        </w:tc>
        <w:tc>
          <w:tcPr>
            <w:tcW w:w="768" w:type="pct"/>
            <w:tcBorders>
              <w:left w:val="single" w:sz="4" w:space="0" w:color="auto"/>
            </w:tcBorders>
            <w:vAlign w:val="center"/>
          </w:tcPr>
          <w:p w14:paraId="46A3FB9D" w14:textId="4B2A1C0F" w:rsidR="00CF154B" w:rsidRPr="005B52E6" w:rsidRDefault="00CF154B" w:rsidP="005B52E6">
            <w:pPr>
              <w:jc w:val="right"/>
              <w:rPr>
                <w:rFonts w:cs="Times New Roman"/>
                <w:sz w:val="22"/>
              </w:rPr>
            </w:pPr>
            <w:r w:rsidRPr="005B52E6">
              <w:rPr>
                <w:rFonts w:cs="Times New Roman"/>
                <w:color w:val="000000"/>
                <w:sz w:val="22"/>
              </w:rPr>
              <w:t>-0.91%</w:t>
            </w:r>
            <w:r w:rsidR="00FB23D6">
              <w:rPr>
                <w:rFonts w:cs="Times New Roman"/>
                <w:color w:val="000000"/>
                <w:sz w:val="22"/>
              </w:rPr>
              <w:t>***</w:t>
            </w:r>
          </w:p>
        </w:tc>
        <w:tc>
          <w:tcPr>
            <w:tcW w:w="674" w:type="pct"/>
            <w:tcBorders>
              <w:right w:val="single" w:sz="4" w:space="0" w:color="auto"/>
            </w:tcBorders>
            <w:vAlign w:val="center"/>
          </w:tcPr>
          <w:p w14:paraId="1BF88D2E" w14:textId="2A230061" w:rsidR="00CF154B" w:rsidRPr="005B52E6" w:rsidRDefault="00CF154B" w:rsidP="005B52E6">
            <w:pPr>
              <w:jc w:val="right"/>
              <w:rPr>
                <w:rFonts w:cs="Times New Roman"/>
                <w:sz w:val="22"/>
              </w:rPr>
            </w:pPr>
            <w:r w:rsidRPr="005B52E6">
              <w:rPr>
                <w:rFonts w:cs="Times New Roman"/>
                <w:color w:val="000000"/>
                <w:sz w:val="22"/>
              </w:rPr>
              <w:t>0.003</w:t>
            </w:r>
          </w:p>
        </w:tc>
        <w:tc>
          <w:tcPr>
            <w:tcW w:w="769" w:type="pct"/>
            <w:tcBorders>
              <w:left w:val="single" w:sz="4" w:space="0" w:color="auto"/>
            </w:tcBorders>
            <w:vAlign w:val="center"/>
          </w:tcPr>
          <w:p w14:paraId="294CDAB4" w14:textId="34232911" w:rsidR="00CF154B" w:rsidRPr="005B52E6" w:rsidRDefault="00CF154B" w:rsidP="005B52E6">
            <w:pPr>
              <w:jc w:val="right"/>
              <w:rPr>
                <w:rFonts w:cs="Times New Roman"/>
                <w:sz w:val="22"/>
              </w:rPr>
            </w:pPr>
            <w:r w:rsidRPr="005B52E6">
              <w:rPr>
                <w:rFonts w:cs="Times New Roman"/>
                <w:color w:val="000000"/>
                <w:sz w:val="22"/>
              </w:rPr>
              <w:t>-1.30%</w:t>
            </w:r>
            <w:r w:rsidR="00FB23D6">
              <w:rPr>
                <w:rFonts w:cs="Times New Roman"/>
                <w:color w:val="000000"/>
                <w:sz w:val="22"/>
              </w:rPr>
              <w:t>**</w:t>
            </w:r>
          </w:p>
        </w:tc>
        <w:tc>
          <w:tcPr>
            <w:tcW w:w="770" w:type="pct"/>
            <w:tcBorders>
              <w:right w:val="single" w:sz="4" w:space="0" w:color="auto"/>
            </w:tcBorders>
            <w:vAlign w:val="center"/>
          </w:tcPr>
          <w:p w14:paraId="046EFFB0" w14:textId="70F76345" w:rsidR="00CF154B" w:rsidRPr="005B52E6" w:rsidRDefault="00CF154B" w:rsidP="005B52E6">
            <w:pPr>
              <w:jc w:val="right"/>
              <w:rPr>
                <w:rFonts w:cs="Times New Roman"/>
                <w:sz w:val="22"/>
              </w:rPr>
            </w:pPr>
            <w:r w:rsidRPr="005B52E6">
              <w:rPr>
                <w:rFonts w:cs="Times New Roman"/>
                <w:color w:val="000000"/>
                <w:sz w:val="22"/>
              </w:rPr>
              <w:t>0.006</w:t>
            </w:r>
          </w:p>
        </w:tc>
        <w:tc>
          <w:tcPr>
            <w:tcW w:w="815" w:type="pct"/>
            <w:tcBorders>
              <w:left w:val="single" w:sz="4" w:space="0" w:color="auto"/>
            </w:tcBorders>
            <w:vAlign w:val="bottom"/>
          </w:tcPr>
          <w:p w14:paraId="3153C3AD" w14:textId="2F7A8DAB" w:rsidR="00CF154B" w:rsidRPr="004767EC" w:rsidRDefault="00CF154B" w:rsidP="005B52E6">
            <w:pPr>
              <w:jc w:val="right"/>
              <w:rPr>
                <w:rFonts w:cs="Times New Roman"/>
                <w:b/>
                <w:sz w:val="22"/>
              </w:rPr>
            </w:pPr>
            <w:r w:rsidRPr="004767EC">
              <w:rPr>
                <w:rFonts w:cs="Times New Roman"/>
                <w:b/>
                <w:color w:val="000000"/>
                <w:sz w:val="22"/>
              </w:rPr>
              <w:t>-0.39%</w:t>
            </w:r>
          </w:p>
        </w:tc>
      </w:tr>
      <w:tr w:rsidR="005B52E6" w:rsidRPr="005B52E6" w14:paraId="3F7B551E" w14:textId="77777777" w:rsidTr="00951106">
        <w:tc>
          <w:tcPr>
            <w:tcW w:w="1204" w:type="pct"/>
            <w:tcBorders>
              <w:right w:val="single" w:sz="4" w:space="0" w:color="auto"/>
            </w:tcBorders>
            <w:vAlign w:val="center"/>
          </w:tcPr>
          <w:p w14:paraId="48003EBF" w14:textId="77777777" w:rsidR="00CF154B" w:rsidRPr="005B52E6" w:rsidRDefault="00CF154B" w:rsidP="00CF154B">
            <w:pPr>
              <w:rPr>
                <w:rFonts w:cs="Times New Roman"/>
                <w:i/>
                <w:sz w:val="22"/>
              </w:rPr>
            </w:pPr>
            <w:r w:rsidRPr="005B52E6">
              <w:rPr>
                <w:rFonts w:cs="Times New Roman"/>
                <w:i/>
                <w:color w:val="000000"/>
                <w:sz w:val="22"/>
              </w:rPr>
              <w:t>July</w:t>
            </w:r>
          </w:p>
        </w:tc>
        <w:tc>
          <w:tcPr>
            <w:tcW w:w="768" w:type="pct"/>
            <w:tcBorders>
              <w:left w:val="single" w:sz="4" w:space="0" w:color="auto"/>
            </w:tcBorders>
            <w:vAlign w:val="center"/>
          </w:tcPr>
          <w:p w14:paraId="4C740FB6" w14:textId="6FFF15A5" w:rsidR="00CF154B" w:rsidRPr="005B52E6" w:rsidRDefault="00CF154B" w:rsidP="005B52E6">
            <w:pPr>
              <w:jc w:val="right"/>
              <w:rPr>
                <w:rFonts w:cs="Times New Roman"/>
                <w:sz w:val="22"/>
              </w:rPr>
            </w:pPr>
            <w:r w:rsidRPr="005B52E6">
              <w:rPr>
                <w:rFonts w:cs="Times New Roman"/>
                <w:color w:val="000000"/>
                <w:sz w:val="22"/>
              </w:rPr>
              <w:t>-0.37%</w:t>
            </w:r>
          </w:p>
        </w:tc>
        <w:tc>
          <w:tcPr>
            <w:tcW w:w="674" w:type="pct"/>
            <w:tcBorders>
              <w:right w:val="single" w:sz="4" w:space="0" w:color="auto"/>
            </w:tcBorders>
            <w:vAlign w:val="center"/>
          </w:tcPr>
          <w:p w14:paraId="1B8B894B" w14:textId="7A939592" w:rsidR="00CF154B" w:rsidRPr="005B52E6" w:rsidRDefault="00CF154B" w:rsidP="005B52E6">
            <w:pPr>
              <w:jc w:val="right"/>
              <w:rPr>
                <w:rFonts w:cs="Times New Roman"/>
                <w:sz w:val="22"/>
              </w:rPr>
            </w:pPr>
            <w:r w:rsidRPr="005B52E6">
              <w:rPr>
                <w:rFonts w:cs="Times New Roman"/>
                <w:color w:val="000000"/>
                <w:sz w:val="22"/>
              </w:rPr>
              <w:t>0.003</w:t>
            </w:r>
          </w:p>
        </w:tc>
        <w:tc>
          <w:tcPr>
            <w:tcW w:w="769" w:type="pct"/>
            <w:tcBorders>
              <w:left w:val="single" w:sz="4" w:space="0" w:color="auto"/>
            </w:tcBorders>
            <w:vAlign w:val="center"/>
          </w:tcPr>
          <w:p w14:paraId="531EC35C" w14:textId="33C69458" w:rsidR="00CF154B" w:rsidRPr="005B52E6" w:rsidRDefault="00CF154B" w:rsidP="005B52E6">
            <w:pPr>
              <w:jc w:val="right"/>
              <w:rPr>
                <w:rFonts w:cs="Times New Roman"/>
                <w:sz w:val="22"/>
              </w:rPr>
            </w:pPr>
            <w:r w:rsidRPr="005B52E6">
              <w:rPr>
                <w:rFonts w:cs="Times New Roman"/>
                <w:color w:val="000000"/>
                <w:sz w:val="22"/>
              </w:rPr>
              <w:t>-1.03%</w:t>
            </w:r>
          </w:p>
        </w:tc>
        <w:tc>
          <w:tcPr>
            <w:tcW w:w="770" w:type="pct"/>
            <w:tcBorders>
              <w:right w:val="single" w:sz="4" w:space="0" w:color="auto"/>
            </w:tcBorders>
            <w:vAlign w:val="center"/>
          </w:tcPr>
          <w:p w14:paraId="5E397457" w14:textId="1D87768A" w:rsidR="00CF154B" w:rsidRPr="005B52E6" w:rsidRDefault="00CF154B" w:rsidP="005B52E6">
            <w:pPr>
              <w:jc w:val="right"/>
              <w:rPr>
                <w:rFonts w:cs="Times New Roman"/>
                <w:sz w:val="22"/>
              </w:rPr>
            </w:pPr>
            <w:r w:rsidRPr="005B52E6">
              <w:rPr>
                <w:rFonts w:cs="Times New Roman"/>
                <w:color w:val="000000"/>
                <w:sz w:val="22"/>
              </w:rPr>
              <w:t>0.006</w:t>
            </w:r>
          </w:p>
        </w:tc>
        <w:tc>
          <w:tcPr>
            <w:tcW w:w="815" w:type="pct"/>
            <w:tcBorders>
              <w:left w:val="single" w:sz="4" w:space="0" w:color="auto"/>
            </w:tcBorders>
            <w:vAlign w:val="bottom"/>
          </w:tcPr>
          <w:p w14:paraId="5D31183A" w14:textId="0B99A1CE" w:rsidR="00CF154B" w:rsidRPr="004767EC" w:rsidRDefault="00CF154B" w:rsidP="005B52E6">
            <w:pPr>
              <w:jc w:val="right"/>
              <w:rPr>
                <w:rFonts w:cs="Times New Roman"/>
                <w:b/>
                <w:sz w:val="22"/>
              </w:rPr>
            </w:pPr>
            <w:r w:rsidRPr="004767EC">
              <w:rPr>
                <w:rFonts w:cs="Times New Roman"/>
                <w:b/>
                <w:color w:val="000000"/>
                <w:sz w:val="22"/>
              </w:rPr>
              <w:t>-0.67%</w:t>
            </w:r>
          </w:p>
        </w:tc>
      </w:tr>
      <w:tr w:rsidR="005B52E6" w:rsidRPr="005B52E6" w14:paraId="1E13C435" w14:textId="77777777" w:rsidTr="00951106">
        <w:tc>
          <w:tcPr>
            <w:tcW w:w="1204" w:type="pct"/>
            <w:tcBorders>
              <w:right w:val="single" w:sz="4" w:space="0" w:color="auto"/>
            </w:tcBorders>
            <w:vAlign w:val="center"/>
          </w:tcPr>
          <w:p w14:paraId="797D36E3" w14:textId="77777777" w:rsidR="00CF154B" w:rsidRPr="005B52E6" w:rsidRDefault="00CF154B" w:rsidP="00CF154B">
            <w:pPr>
              <w:rPr>
                <w:rFonts w:cs="Times New Roman"/>
                <w:i/>
                <w:sz w:val="22"/>
              </w:rPr>
            </w:pPr>
            <w:r w:rsidRPr="005B52E6">
              <w:rPr>
                <w:rFonts w:cs="Times New Roman"/>
                <w:i/>
                <w:color w:val="000000"/>
                <w:sz w:val="22"/>
              </w:rPr>
              <w:t>August</w:t>
            </w:r>
          </w:p>
        </w:tc>
        <w:tc>
          <w:tcPr>
            <w:tcW w:w="768" w:type="pct"/>
            <w:tcBorders>
              <w:left w:val="single" w:sz="4" w:space="0" w:color="auto"/>
            </w:tcBorders>
            <w:vAlign w:val="center"/>
          </w:tcPr>
          <w:p w14:paraId="53AF9E3F" w14:textId="7F6B1479" w:rsidR="00CF154B" w:rsidRPr="005B52E6" w:rsidRDefault="00CF154B" w:rsidP="005B52E6">
            <w:pPr>
              <w:jc w:val="right"/>
              <w:rPr>
                <w:rFonts w:cs="Times New Roman"/>
                <w:sz w:val="22"/>
              </w:rPr>
            </w:pPr>
            <w:r w:rsidRPr="005B52E6">
              <w:rPr>
                <w:rFonts w:cs="Times New Roman"/>
                <w:color w:val="000000"/>
                <w:sz w:val="22"/>
              </w:rPr>
              <w:t>0.02%</w:t>
            </w:r>
          </w:p>
        </w:tc>
        <w:tc>
          <w:tcPr>
            <w:tcW w:w="674" w:type="pct"/>
            <w:tcBorders>
              <w:right w:val="single" w:sz="4" w:space="0" w:color="auto"/>
            </w:tcBorders>
            <w:vAlign w:val="center"/>
          </w:tcPr>
          <w:p w14:paraId="1356B36D" w14:textId="1B758B80" w:rsidR="00CF154B" w:rsidRPr="005B52E6" w:rsidRDefault="00CF154B" w:rsidP="005B52E6">
            <w:pPr>
              <w:jc w:val="right"/>
              <w:rPr>
                <w:rFonts w:cs="Times New Roman"/>
                <w:sz w:val="22"/>
              </w:rPr>
            </w:pPr>
            <w:r w:rsidRPr="005B52E6">
              <w:rPr>
                <w:rFonts w:cs="Times New Roman"/>
                <w:color w:val="000000"/>
                <w:sz w:val="22"/>
              </w:rPr>
              <w:t>0.003</w:t>
            </w:r>
          </w:p>
        </w:tc>
        <w:tc>
          <w:tcPr>
            <w:tcW w:w="769" w:type="pct"/>
            <w:tcBorders>
              <w:left w:val="single" w:sz="4" w:space="0" w:color="auto"/>
            </w:tcBorders>
            <w:vAlign w:val="center"/>
          </w:tcPr>
          <w:p w14:paraId="002E1C97" w14:textId="70DB4AEC" w:rsidR="00CF154B" w:rsidRPr="005B52E6" w:rsidRDefault="00CF154B" w:rsidP="005B52E6">
            <w:pPr>
              <w:jc w:val="right"/>
              <w:rPr>
                <w:rFonts w:cs="Times New Roman"/>
                <w:sz w:val="22"/>
              </w:rPr>
            </w:pPr>
            <w:r w:rsidRPr="005B52E6">
              <w:rPr>
                <w:rFonts w:cs="Times New Roman"/>
                <w:color w:val="000000"/>
                <w:sz w:val="22"/>
              </w:rPr>
              <w:t>-0.84%</w:t>
            </w:r>
          </w:p>
        </w:tc>
        <w:tc>
          <w:tcPr>
            <w:tcW w:w="770" w:type="pct"/>
            <w:tcBorders>
              <w:right w:val="single" w:sz="4" w:space="0" w:color="auto"/>
            </w:tcBorders>
            <w:vAlign w:val="center"/>
          </w:tcPr>
          <w:p w14:paraId="040B84FB" w14:textId="27D621D1" w:rsidR="00CF154B" w:rsidRPr="005B52E6" w:rsidRDefault="00CF154B" w:rsidP="005B52E6">
            <w:pPr>
              <w:jc w:val="right"/>
              <w:rPr>
                <w:rFonts w:cs="Times New Roman"/>
                <w:sz w:val="22"/>
              </w:rPr>
            </w:pPr>
            <w:r w:rsidRPr="005B52E6">
              <w:rPr>
                <w:rFonts w:cs="Times New Roman"/>
                <w:color w:val="000000"/>
                <w:sz w:val="22"/>
              </w:rPr>
              <w:t>0.006</w:t>
            </w:r>
          </w:p>
        </w:tc>
        <w:tc>
          <w:tcPr>
            <w:tcW w:w="815" w:type="pct"/>
            <w:tcBorders>
              <w:left w:val="single" w:sz="4" w:space="0" w:color="auto"/>
            </w:tcBorders>
            <w:vAlign w:val="bottom"/>
          </w:tcPr>
          <w:p w14:paraId="48F94689" w14:textId="1FE116A8" w:rsidR="00CF154B" w:rsidRPr="004767EC" w:rsidRDefault="00CF154B" w:rsidP="005B52E6">
            <w:pPr>
              <w:jc w:val="right"/>
              <w:rPr>
                <w:rFonts w:cs="Times New Roman"/>
                <w:b/>
                <w:sz w:val="22"/>
              </w:rPr>
            </w:pPr>
            <w:r w:rsidRPr="004767EC">
              <w:rPr>
                <w:rFonts w:cs="Times New Roman"/>
                <w:b/>
                <w:color w:val="000000"/>
                <w:sz w:val="22"/>
              </w:rPr>
              <w:t>-0.82%</w:t>
            </w:r>
          </w:p>
        </w:tc>
      </w:tr>
      <w:tr w:rsidR="005B52E6" w:rsidRPr="005B52E6" w14:paraId="0A6520BE" w14:textId="77777777" w:rsidTr="00951106">
        <w:tc>
          <w:tcPr>
            <w:tcW w:w="1204" w:type="pct"/>
            <w:tcBorders>
              <w:right w:val="single" w:sz="4" w:space="0" w:color="auto"/>
            </w:tcBorders>
            <w:vAlign w:val="center"/>
          </w:tcPr>
          <w:p w14:paraId="775AEF0E" w14:textId="77777777" w:rsidR="00CF154B" w:rsidRPr="005B52E6" w:rsidRDefault="00CF154B" w:rsidP="00CF154B">
            <w:pPr>
              <w:rPr>
                <w:rFonts w:cs="Times New Roman"/>
                <w:i/>
                <w:sz w:val="22"/>
              </w:rPr>
            </w:pPr>
            <w:r w:rsidRPr="005B52E6">
              <w:rPr>
                <w:rFonts w:cs="Times New Roman"/>
                <w:i/>
                <w:color w:val="000000"/>
                <w:sz w:val="22"/>
              </w:rPr>
              <w:t>September</w:t>
            </w:r>
          </w:p>
        </w:tc>
        <w:tc>
          <w:tcPr>
            <w:tcW w:w="768" w:type="pct"/>
            <w:tcBorders>
              <w:left w:val="single" w:sz="4" w:space="0" w:color="auto"/>
            </w:tcBorders>
            <w:vAlign w:val="center"/>
          </w:tcPr>
          <w:p w14:paraId="7691E910" w14:textId="3F692DB9" w:rsidR="00CF154B" w:rsidRPr="005B52E6" w:rsidRDefault="00CF154B" w:rsidP="005B52E6">
            <w:pPr>
              <w:jc w:val="right"/>
              <w:rPr>
                <w:rFonts w:cs="Times New Roman"/>
                <w:sz w:val="22"/>
              </w:rPr>
            </w:pPr>
            <w:r w:rsidRPr="005B52E6">
              <w:rPr>
                <w:rFonts w:cs="Times New Roman"/>
                <w:color w:val="000000"/>
                <w:sz w:val="22"/>
              </w:rPr>
              <w:t>-0.44%</w:t>
            </w:r>
          </w:p>
        </w:tc>
        <w:tc>
          <w:tcPr>
            <w:tcW w:w="674" w:type="pct"/>
            <w:tcBorders>
              <w:right w:val="single" w:sz="4" w:space="0" w:color="auto"/>
            </w:tcBorders>
            <w:vAlign w:val="center"/>
          </w:tcPr>
          <w:p w14:paraId="56A70A1D" w14:textId="7FFE4A74" w:rsidR="00CF154B" w:rsidRPr="005B52E6" w:rsidRDefault="00CF154B" w:rsidP="005B52E6">
            <w:pPr>
              <w:jc w:val="right"/>
              <w:rPr>
                <w:rFonts w:cs="Times New Roman"/>
                <w:sz w:val="22"/>
              </w:rPr>
            </w:pPr>
            <w:r w:rsidRPr="005B52E6">
              <w:rPr>
                <w:rFonts w:cs="Times New Roman"/>
                <w:color w:val="000000"/>
                <w:sz w:val="22"/>
              </w:rPr>
              <w:t>0.003</w:t>
            </w:r>
          </w:p>
        </w:tc>
        <w:tc>
          <w:tcPr>
            <w:tcW w:w="769" w:type="pct"/>
            <w:tcBorders>
              <w:left w:val="single" w:sz="4" w:space="0" w:color="auto"/>
            </w:tcBorders>
            <w:vAlign w:val="center"/>
          </w:tcPr>
          <w:p w14:paraId="613BEBC0" w14:textId="5CDC1FEC" w:rsidR="00CF154B" w:rsidRPr="005B52E6" w:rsidRDefault="00CF154B" w:rsidP="005B52E6">
            <w:pPr>
              <w:jc w:val="right"/>
              <w:rPr>
                <w:rFonts w:cs="Times New Roman"/>
                <w:sz w:val="22"/>
              </w:rPr>
            </w:pPr>
            <w:r w:rsidRPr="005B52E6">
              <w:rPr>
                <w:rFonts w:cs="Times New Roman"/>
                <w:color w:val="000000"/>
                <w:sz w:val="22"/>
              </w:rPr>
              <w:t>-0.83%</w:t>
            </w:r>
          </w:p>
        </w:tc>
        <w:tc>
          <w:tcPr>
            <w:tcW w:w="770" w:type="pct"/>
            <w:tcBorders>
              <w:right w:val="single" w:sz="4" w:space="0" w:color="auto"/>
            </w:tcBorders>
            <w:vAlign w:val="center"/>
          </w:tcPr>
          <w:p w14:paraId="52D01032" w14:textId="03C18824" w:rsidR="00CF154B" w:rsidRPr="005B52E6" w:rsidRDefault="00CF154B" w:rsidP="005B52E6">
            <w:pPr>
              <w:jc w:val="right"/>
              <w:rPr>
                <w:rFonts w:cs="Times New Roman"/>
                <w:sz w:val="22"/>
              </w:rPr>
            </w:pPr>
            <w:r w:rsidRPr="005B52E6">
              <w:rPr>
                <w:rFonts w:cs="Times New Roman"/>
                <w:color w:val="000000"/>
                <w:sz w:val="22"/>
              </w:rPr>
              <w:t>0.006</w:t>
            </w:r>
          </w:p>
        </w:tc>
        <w:tc>
          <w:tcPr>
            <w:tcW w:w="815" w:type="pct"/>
            <w:tcBorders>
              <w:left w:val="single" w:sz="4" w:space="0" w:color="auto"/>
            </w:tcBorders>
            <w:vAlign w:val="bottom"/>
          </w:tcPr>
          <w:p w14:paraId="130A3A24" w14:textId="192EF510" w:rsidR="00CF154B" w:rsidRPr="004767EC" w:rsidRDefault="00CF154B" w:rsidP="005B52E6">
            <w:pPr>
              <w:jc w:val="right"/>
              <w:rPr>
                <w:rFonts w:cs="Times New Roman"/>
                <w:b/>
                <w:sz w:val="22"/>
              </w:rPr>
            </w:pPr>
            <w:r w:rsidRPr="004767EC">
              <w:rPr>
                <w:rFonts w:cs="Times New Roman"/>
                <w:b/>
                <w:color w:val="000000"/>
                <w:sz w:val="22"/>
              </w:rPr>
              <w:t>-0.39%</w:t>
            </w:r>
          </w:p>
        </w:tc>
      </w:tr>
      <w:tr w:rsidR="005B52E6" w:rsidRPr="005B52E6" w14:paraId="08590022" w14:textId="77777777" w:rsidTr="00951106">
        <w:tc>
          <w:tcPr>
            <w:tcW w:w="1204" w:type="pct"/>
            <w:tcBorders>
              <w:right w:val="single" w:sz="4" w:space="0" w:color="auto"/>
            </w:tcBorders>
            <w:vAlign w:val="center"/>
          </w:tcPr>
          <w:p w14:paraId="64A5CC33" w14:textId="77777777" w:rsidR="00CF154B" w:rsidRPr="005B52E6" w:rsidRDefault="00CF154B" w:rsidP="00CF154B">
            <w:pPr>
              <w:rPr>
                <w:rFonts w:cs="Times New Roman"/>
                <w:i/>
                <w:sz w:val="22"/>
              </w:rPr>
            </w:pPr>
            <w:r w:rsidRPr="005B52E6">
              <w:rPr>
                <w:rFonts w:cs="Times New Roman"/>
                <w:i/>
                <w:color w:val="000000"/>
                <w:sz w:val="22"/>
              </w:rPr>
              <w:t>October</w:t>
            </w:r>
          </w:p>
        </w:tc>
        <w:tc>
          <w:tcPr>
            <w:tcW w:w="768" w:type="pct"/>
            <w:tcBorders>
              <w:left w:val="single" w:sz="4" w:space="0" w:color="auto"/>
            </w:tcBorders>
            <w:vAlign w:val="center"/>
          </w:tcPr>
          <w:p w14:paraId="47979CB0" w14:textId="0E1C4932" w:rsidR="00CF154B" w:rsidRPr="005B52E6" w:rsidRDefault="00CF154B" w:rsidP="005B52E6">
            <w:pPr>
              <w:jc w:val="right"/>
              <w:rPr>
                <w:rFonts w:cs="Times New Roman"/>
                <w:sz w:val="22"/>
              </w:rPr>
            </w:pPr>
            <w:r w:rsidRPr="005B52E6">
              <w:rPr>
                <w:rFonts w:cs="Times New Roman"/>
                <w:color w:val="000000"/>
                <w:sz w:val="22"/>
              </w:rPr>
              <w:t>-0.99%</w:t>
            </w:r>
            <w:r w:rsidR="00FB23D6">
              <w:rPr>
                <w:rFonts w:cs="Times New Roman"/>
                <w:color w:val="000000"/>
                <w:sz w:val="22"/>
              </w:rPr>
              <w:t>***</w:t>
            </w:r>
          </w:p>
        </w:tc>
        <w:tc>
          <w:tcPr>
            <w:tcW w:w="674" w:type="pct"/>
            <w:tcBorders>
              <w:right w:val="single" w:sz="4" w:space="0" w:color="auto"/>
            </w:tcBorders>
            <w:vAlign w:val="center"/>
          </w:tcPr>
          <w:p w14:paraId="1E62F5D0" w14:textId="44B7EEC7" w:rsidR="00CF154B" w:rsidRPr="005B52E6" w:rsidRDefault="00CF154B" w:rsidP="005B52E6">
            <w:pPr>
              <w:jc w:val="right"/>
              <w:rPr>
                <w:rFonts w:cs="Times New Roman"/>
                <w:sz w:val="22"/>
              </w:rPr>
            </w:pPr>
            <w:r w:rsidRPr="005B52E6">
              <w:rPr>
                <w:rFonts w:cs="Times New Roman"/>
                <w:color w:val="000000"/>
                <w:sz w:val="22"/>
              </w:rPr>
              <w:t>0.003</w:t>
            </w:r>
          </w:p>
        </w:tc>
        <w:tc>
          <w:tcPr>
            <w:tcW w:w="769" w:type="pct"/>
            <w:tcBorders>
              <w:left w:val="single" w:sz="4" w:space="0" w:color="auto"/>
            </w:tcBorders>
            <w:vAlign w:val="center"/>
          </w:tcPr>
          <w:p w14:paraId="557CF94A" w14:textId="7578B2CF" w:rsidR="00CF154B" w:rsidRPr="005B52E6" w:rsidRDefault="00CF154B" w:rsidP="005B52E6">
            <w:pPr>
              <w:jc w:val="right"/>
              <w:rPr>
                <w:rFonts w:cs="Times New Roman"/>
                <w:sz w:val="22"/>
              </w:rPr>
            </w:pPr>
            <w:r w:rsidRPr="005B52E6">
              <w:rPr>
                <w:rFonts w:cs="Times New Roman"/>
                <w:color w:val="000000"/>
                <w:sz w:val="22"/>
              </w:rPr>
              <w:t>-1.87%</w:t>
            </w:r>
            <w:r w:rsidR="00FB23D6">
              <w:rPr>
                <w:rFonts w:cs="Times New Roman"/>
                <w:color w:val="000000"/>
                <w:sz w:val="22"/>
              </w:rPr>
              <w:t>***</w:t>
            </w:r>
          </w:p>
        </w:tc>
        <w:tc>
          <w:tcPr>
            <w:tcW w:w="770" w:type="pct"/>
            <w:tcBorders>
              <w:right w:val="single" w:sz="4" w:space="0" w:color="auto"/>
            </w:tcBorders>
            <w:vAlign w:val="center"/>
          </w:tcPr>
          <w:p w14:paraId="367465B9" w14:textId="6AB22F80" w:rsidR="00CF154B" w:rsidRPr="005B52E6" w:rsidRDefault="00CF154B" w:rsidP="005B52E6">
            <w:pPr>
              <w:jc w:val="right"/>
              <w:rPr>
                <w:rFonts w:cs="Times New Roman"/>
                <w:sz w:val="22"/>
              </w:rPr>
            </w:pPr>
            <w:r w:rsidRPr="005B52E6">
              <w:rPr>
                <w:rFonts w:cs="Times New Roman"/>
                <w:color w:val="000000"/>
                <w:sz w:val="22"/>
              </w:rPr>
              <w:t>0.006</w:t>
            </w:r>
          </w:p>
        </w:tc>
        <w:tc>
          <w:tcPr>
            <w:tcW w:w="815" w:type="pct"/>
            <w:tcBorders>
              <w:left w:val="single" w:sz="4" w:space="0" w:color="auto"/>
            </w:tcBorders>
            <w:vAlign w:val="bottom"/>
          </w:tcPr>
          <w:p w14:paraId="2A6F3BE1" w14:textId="397C2BF9" w:rsidR="00CF154B" w:rsidRPr="004767EC" w:rsidRDefault="00CF154B" w:rsidP="005B52E6">
            <w:pPr>
              <w:jc w:val="right"/>
              <w:rPr>
                <w:rFonts w:cs="Times New Roman"/>
                <w:b/>
                <w:sz w:val="22"/>
              </w:rPr>
            </w:pPr>
            <w:r w:rsidRPr="004767EC">
              <w:rPr>
                <w:rFonts w:cs="Times New Roman"/>
                <w:b/>
                <w:color w:val="000000"/>
                <w:sz w:val="22"/>
              </w:rPr>
              <w:t>-0.88%</w:t>
            </w:r>
          </w:p>
        </w:tc>
      </w:tr>
      <w:tr w:rsidR="005B52E6" w:rsidRPr="005B52E6" w14:paraId="3C0CD802" w14:textId="77777777" w:rsidTr="00951106">
        <w:tc>
          <w:tcPr>
            <w:tcW w:w="1204" w:type="pct"/>
            <w:tcBorders>
              <w:right w:val="single" w:sz="4" w:space="0" w:color="auto"/>
            </w:tcBorders>
            <w:vAlign w:val="center"/>
          </w:tcPr>
          <w:p w14:paraId="5966C036" w14:textId="77777777" w:rsidR="00CF154B" w:rsidRPr="005B52E6" w:rsidRDefault="00CF154B" w:rsidP="00CF154B">
            <w:pPr>
              <w:rPr>
                <w:rFonts w:cs="Times New Roman"/>
                <w:i/>
                <w:sz w:val="22"/>
              </w:rPr>
            </w:pPr>
            <w:r w:rsidRPr="005B52E6">
              <w:rPr>
                <w:rFonts w:cs="Times New Roman"/>
                <w:i/>
                <w:color w:val="000000"/>
                <w:sz w:val="22"/>
              </w:rPr>
              <w:t>November</w:t>
            </w:r>
          </w:p>
        </w:tc>
        <w:tc>
          <w:tcPr>
            <w:tcW w:w="768" w:type="pct"/>
            <w:tcBorders>
              <w:left w:val="single" w:sz="4" w:space="0" w:color="auto"/>
            </w:tcBorders>
            <w:vAlign w:val="center"/>
          </w:tcPr>
          <w:p w14:paraId="55E8C9BB" w14:textId="6AB432C3" w:rsidR="00CF154B" w:rsidRPr="005B52E6" w:rsidRDefault="00CF154B" w:rsidP="005B52E6">
            <w:pPr>
              <w:jc w:val="right"/>
              <w:rPr>
                <w:rFonts w:cs="Times New Roman"/>
                <w:sz w:val="22"/>
              </w:rPr>
            </w:pPr>
            <w:r w:rsidRPr="005B52E6">
              <w:rPr>
                <w:rFonts w:cs="Times New Roman"/>
                <w:color w:val="000000"/>
                <w:sz w:val="22"/>
              </w:rPr>
              <w:t>-0.98%</w:t>
            </w:r>
            <w:r w:rsidR="00FB23D6">
              <w:rPr>
                <w:rFonts w:cs="Times New Roman"/>
                <w:color w:val="000000"/>
                <w:sz w:val="22"/>
              </w:rPr>
              <w:t>***</w:t>
            </w:r>
          </w:p>
        </w:tc>
        <w:tc>
          <w:tcPr>
            <w:tcW w:w="674" w:type="pct"/>
            <w:tcBorders>
              <w:right w:val="single" w:sz="4" w:space="0" w:color="auto"/>
            </w:tcBorders>
            <w:vAlign w:val="center"/>
          </w:tcPr>
          <w:p w14:paraId="5E8FFD46" w14:textId="0ABAC678" w:rsidR="00CF154B" w:rsidRPr="005B52E6" w:rsidRDefault="00CF154B" w:rsidP="005B52E6">
            <w:pPr>
              <w:jc w:val="right"/>
              <w:rPr>
                <w:rFonts w:cs="Times New Roman"/>
                <w:sz w:val="22"/>
              </w:rPr>
            </w:pPr>
            <w:r w:rsidRPr="005B52E6">
              <w:rPr>
                <w:rFonts w:cs="Times New Roman"/>
                <w:color w:val="000000"/>
                <w:sz w:val="22"/>
              </w:rPr>
              <w:t>0.003</w:t>
            </w:r>
          </w:p>
        </w:tc>
        <w:tc>
          <w:tcPr>
            <w:tcW w:w="769" w:type="pct"/>
            <w:tcBorders>
              <w:left w:val="single" w:sz="4" w:space="0" w:color="auto"/>
            </w:tcBorders>
            <w:vAlign w:val="center"/>
          </w:tcPr>
          <w:p w14:paraId="54F44750" w14:textId="049013AF" w:rsidR="00CF154B" w:rsidRPr="005B52E6" w:rsidRDefault="00CF154B" w:rsidP="005B52E6">
            <w:pPr>
              <w:jc w:val="right"/>
              <w:rPr>
                <w:rFonts w:cs="Times New Roman"/>
                <w:sz w:val="22"/>
              </w:rPr>
            </w:pPr>
            <w:r w:rsidRPr="005B52E6">
              <w:rPr>
                <w:rFonts w:cs="Times New Roman"/>
                <w:color w:val="000000"/>
                <w:sz w:val="22"/>
              </w:rPr>
              <w:t>-1.78%</w:t>
            </w:r>
            <w:r w:rsidR="00FB23D6">
              <w:rPr>
                <w:rFonts w:cs="Times New Roman"/>
                <w:color w:val="000000"/>
                <w:sz w:val="22"/>
              </w:rPr>
              <w:t>***</w:t>
            </w:r>
          </w:p>
        </w:tc>
        <w:tc>
          <w:tcPr>
            <w:tcW w:w="770" w:type="pct"/>
            <w:tcBorders>
              <w:right w:val="single" w:sz="4" w:space="0" w:color="auto"/>
            </w:tcBorders>
            <w:vAlign w:val="center"/>
          </w:tcPr>
          <w:p w14:paraId="3A609C95" w14:textId="1D32CB80" w:rsidR="00CF154B" w:rsidRPr="005B52E6" w:rsidRDefault="00CF154B" w:rsidP="005B52E6">
            <w:pPr>
              <w:jc w:val="right"/>
              <w:rPr>
                <w:rFonts w:cs="Times New Roman"/>
                <w:sz w:val="22"/>
              </w:rPr>
            </w:pPr>
            <w:r w:rsidRPr="005B52E6">
              <w:rPr>
                <w:rFonts w:cs="Times New Roman"/>
                <w:color w:val="000000"/>
                <w:sz w:val="22"/>
              </w:rPr>
              <w:t>0.006</w:t>
            </w:r>
          </w:p>
        </w:tc>
        <w:tc>
          <w:tcPr>
            <w:tcW w:w="815" w:type="pct"/>
            <w:tcBorders>
              <w:left w:val="single" w:sz="4" w:space="0" w:color="auto"/>
            </w:tcBorders>
            <w:vAlign w:val="bottom"/>
          </w:tcPr>
          <w:p w14:paraId="2763D5C6" w14:textId="6BAFBC08" w:rsidR="00CF154B" w:rsidRPr="004767EC" w:rsidRDefault="00CF154B" w:rsidP="005B52E6">
            <w:pPr>
              <w:jc w:val="right"/>
              <w:rPr>
                <w:rFonts w:cs="Times New Roman"/>
                <w:b/>
                <w:sz w:val="22"/>
              </w:rPr>
            </w:pPr>
            <w:r w:rsidRPr="004767EC">
              <w:rPr>
                <w:rFonts w:cs="Times New Roman"/>
                <w:b/>
                <w:color w:val="000000"/>
                <w:sz w:val="22"/>
              </w:rPr>
              <w:t>-0.80%</w:t>
            </w:r>
          </w:p>
        </w:tc>
      </w:tr>
      <w:tr w:rsidR="005B52E6" w:rsidRPr="005B52E6" w14:paraId="4B35885E" w14:textId="77777777" w:rsidTr="00951106">
        <w:tc>
          <w:tcPr>
            <w:tcW w:w="1204" w:type="pct"/>
            <w:tcBorders>
              <w:right w:val="single" w:sz="4" w:space="0" w:color="auto"/>
            </w:tcBorders>
            <w:vAlign w:val="center"/>
          </w:tcPr>
          <w:p w14:paraId="53C79EB7" w14:textId="77777777" w:rsidR="00CF154B" w:rsidRPr="005B52E6" w:rsidRDefault="00CF154B" w:rsidP="00CF154B">
            <w:pPr>
              <w:rPr>
                <w:rFonts w:cs="Times New Roman"/>
                <w:i/>
                <w:sz w:val="22"/>
              </w:rPr>
            </w:pPr>
            <w:r w:rsidRPr="005B52E6">
              <w:rPr>
                <w:rFonts w:cs="Times New Roman"/>
                <w:i/>
                <w:color w:val="000000"/>
                <w:sz w:val="22"/>
              </w:rPr>
              <w:t>December</w:t>
            </w:r>
          </w:p>
        </w:tc>
        <w:tc>
          <w:tcPr>
            <w:tcW w:w="768" w:type="pct"/>
            <w:tcBorders>
              <w:left w:val="single" w:sz="4" w:space="0" w:color="auto"/>
            </w:tcBorders>
            <w:vAlign w:val="center"/>
          </w:tcPr>
          <w:p w14:paraId="2C20B217" w14:textId="111EC964" w:rsidR="00CF154B" w:rsidRPr="005B52E6" w:rsidRDefault="00CF154B" w:rsidP="005B52E6">
            <w:pPr>
              <w:jc w:val="right"/>
              <w:rPr>
                <w:rFonts w:cs="Times New Roman"/>
                <w:sz w:val="22"/>
              </w:rPr>
            </w:pPr>
            <w:r w:rsidRPr="005B52E6">
              <w:rPr>
                <w:rFonts w:cs="Times New Roman"/>
                <w:color w:val="000000"/>
                <w:sz w:val="22"/>
              </w:rPr>
              <w:t>-0.38%</w:t>
            </w:r>
          </w:p>
        </w:tc>
        <w:tc>
          <w:tcPr>
            <w:tcW w:w="674" w:type="pct"/>
            <w:tcBorders>
              <w:right w:val="single" w:sz="4" w:space="0" w:color="auto"/>
            </w:tcBorders>
            <w:vAlign w:val="center"/>
          </w:tcPr>
          <w:p w14:paraId="7D5CED80" w14:textId="341B251E" w:rsidR="00CF154B" w:rsidRPr="005B52E6" w:rsidRDefault="00CF154B" w:rsidP="005B52E6">
            <w:pPr>
              <w:jc w:val="right"/>
              <w:rPr>
                <w:rFonts w:cs="Times New Roman"/>
                <w:sz w:val="22"/>
              </w:rPr>
            </w:pPr>
            <w:r w:rsidRPr="005B52E6">
              <w:rPr>
                <w:rFonts w:cs="Times New Roman"/>
                <w:color w:val="000000"/>
                <w:sz w:val="22"/>
              </w:rPr>
              <w:t>0.003</w:t>
            </w:r>
          </w:p>
        </w:tc>
        <w:tc>
          <w:tcPr>
            <w:tcW w:w="769" w:type="pct"/>
            <w:tcBorders>
              <w:left w:val="single" w:sz="4" w:space="0" w:color="auto"/>
            </w:tcBorders>
            <w:vAlign w:val="center"/>
          </w:tcPr>
          <w:p w14:paraId="71103CD6" w14:textId="5F308C46" w:rsidR="00CF154B" w:rsidRPr="005B52E6" w:rsidRDefault="00CF154B" w:rsidP="005B52E6">
            <w:pPr>
              <w:jc w:val="right"/>
              <w:rPr>
                <w:rFonts w:cs="Times New Roman"/>
                <w:sz w:val="22"/>
              </w:rPr>
            </w:pPr>
            <w:r w:rsidRPr="005B52E6">
              <w:rPr>
                <w:rFonts w:cs="Times New Roman"/>
                <w:color w:val="000000"/>
                <w:sz w:val="22"/>
              </w:rPr>
              <w:t>-1.30%</w:t>
            </w:r>
            <w:r w:rsidR="00FB23D6">
              <w:rPr>
                <w:rFonts w:cs="Times New Roman"/>
                <w:color w:val="000000"/>
                <w:sz w:val="22"/>
              </w:rPr>
              <w:t>**</w:t>
            </w:r>
          </w:p>
        </w:tc>
        <w:tc>
          <w:tcPr>
            <w:tcW w:w="770" w:type="pct"/>
            <w:tcBorders>
              <w:right w:val="single" w:sz="4" w:space="0" w:color="auto"/>
            </w:tcBorders>
            <w:vAlign w:val="center"/>
          </w:tcPr>
          <w:p w14:paraId="16FAC8F8" w14:textId="155A4C90" w:rsidR="00CF154B" w:rsidRPr="005B52E6" w:rsidRDefault="00CF154B" w:rsidP="005B52E6">
            <w:pPr>
              <w:jc w:val="right"/>
              <w:rPr>
                <w:rFonts w:cs="Times New Roman"/>
                <w:sz w:val="22"/>
              </w:rPr>
            </w:pPr>
            <w:r w:rsidRPr="005B52E6">
              <w:rPr>
                <w:rFonts w:cs="Times New Roman"/>
                <w:color w:val="000000"/>
                <w:sz w:val="22"/>
              </w:rPr>
              <w:t>0.006</w:t>
            </w:r>
          </w:p>
        </w:tc>
        <w:tc>
          <w:tcPr>
            <w:tcW w:w="815" w:type="pct"/>
            <w:tcBorders>
              <w:left w:val="single" w:sz="4" w:space="0" w:color="auto"/>
            </w:tcBorders>
            <w:vAlign w:val="bottom"/>
          </w:tcPr>
          <w:p w14:paraId="2DFC82E0" w14:textId="4FCD712C" w:rsidR="00CF154B" w:rsidRPr="004767EC" w:rsidRDefault="00CF154B" w:rsidP="005B52E6">
            <w:pPr>
              <w:jc w:val="right"/>
              <w:rPr>
                <w:rFonts w:cs="Times New Roman"/>
                <w:b/>
                <w:sz w:val="22"/>
              </w:rPr>
            </w:pPr>
            <w:r w:rsidRPr="004767EC">
              <w:rPr>
                <w:rFonts w:cs="Times New Roman"/>
                <w:b/>
                <w:color w:val="000000"/>
                <w:sz w:val="22"/>
              </w:rPr>
              <w:t>-0.92%</w:t>
            </w:r>
          </w:p>
        </w:tc>
      </w:tr>
      <w:tr w:rsidR="004A3490" w:rsidRPr="005B52E6" w14:paraId="21FE6D06" w14:textId="77777777" w:rsidTr="00B13D06">
        <w:tc>
          <w:tcPr>
            <w:tcW w:w="1204" w:type="pct"/>
            <w:tcBorders>
              <w:right w:val="single" w:sz="4" w:space="0" w:color="auto"/>
            </w:tcBorders>
            <w:vAlign w:val="center"/>
          </w:tcPr>
          <w:p w14:paraId="5FBD5271" w14:textId="5AB4964E" w:rsidR="004A3490" w:rsidRPr="005B52E6" w:rsidRDefault="004A3490" w:rsidP="004A3490">
            <w:pPr>
              <w:rPr>
                <w:rFonts w:cs="Times New Roman"/>
                <w:sz w:val="22"/>
              </w:rPr>
            </w:pPr>
            <w:r w:rsidRPr="005B52E6">
              <w:rPr>
                <w:rFonts w:cs="Times New Roman"/>
                <w:i/>
                <w:sz w:val="22"/>
              </w:rPr>
              <w:t>Recession</w:t>
            </w:r>
          </w:p>
        </w:tc>
        <w:tc>
          <w:tcPr>
            <w:tcW w:w="768" w:type="pct"/>
            <w:tcBorders>
              <w:left w:val="single" w:sz="4" w:space="0" w:color="auto"/>
            </w:tcBorders>
            <w:vAlign w:val="center"/>
          </w:tcPr>
          <w:p w14:paraId="7D10A026" w14:textId="5CF71942" w:rsidR="004A3490" w:rsidRPr="005B52E6" w:rsidRDefault="004A3490" w:rsidP="004A3490">
            <w:pPr>
              <w:jc w:val="right"/>
              <w:rPr>
                <w:rFonts w:cs="Times New Roman"/>
                <w:sz w:val="22"/>
              </w:rPr>
            </w:pPr>
            <w:r w:rsidRPr="005B52E6">
              <w:rPr>
                <w:rFonts w:cs="Times New Roman"/>
                <w:color w:val="000000"/>
                <w:sz w:val="22"/>
              </w:rPr>
              <w:t>-0.05%</w:t>
            </w:r>
          </w:p>
        </w:tc>
        <w:tc>
          <w:tcPr>
            <w:tcW w:w="674" w:type="pct"/>
            <w:tcBorders>
              <w:right w:val="single" w:sz="4" w:space="0" w:color="auto"/>
            </w:tcBorders>
            <w:vAlign w:val="center"/>
          </w:tcPr>
          <w:p w14:paraId="01DCCF9D" w14:textId="0E90DA89" w:rsidR="004A3490" w:rsidRPr="005B52E6" w:rsidRDefault="004A3490" w:rsidP="004A3490">
            <w:pPr>
              <w:jc w:val="right"/>
              <w:rPr>
                <w:rFonts w:cs="Times New Roman"/>
                <w:sz w:val="22"/>
              </w:rPr>
            </w:pPr>
            <w:r w:rsidRPr="005B52E6">
              <w:rPr>
                <w:rFonts w:cs="Times New Roman"/>
                <w:color w:val="000000"/>
                <w:sz w:val="22"/>
              </w:rPr>
              <w:t>0.002</w:t>
            </w:r>
          </w:p>
        </w:tc>
        <w:tc>
          <w:tcPr>
            <w:tcW w:w="769" w:type="pct"/>
            <w:tcBorders>
              <w:left w:val="single" w:sz="4" w:space="0" w:color="auto"/>
            </w:tcBorders>
            <w:vAlign w:val="center"/>
          </w:tcPr>
          <w:p w14:paraId="0F156C9D" w14:textId="661C8046" w:rsidR="004A3490" w:rsidRPr="005B52E6" w:rsidRDefault="004A3490" w:rsidP="004A3490">
            <w:pPr>
              <w:jc w:val="right"/>
              <w:rPr>
                <w:rFonts w:cs="Times New Roman"/>
                <w:sz w:val="22"/>
              </w:rPr>
            </w:pPr>
            <w:r w:rsidRPr="005B52E6">
              <w:rPr>
                <w:rFonts w:cs="Times New Roman"/>
                <w:color w:val="000000"/>
                <w:sz w:val="22"/>
              </w:rPr>
              <w:t>-0.40%</w:t>
            </w:r>
          </w:p>
        </w:tc>
        <w:tc>
          <w:tcPr>
            <w:tcW w:w="770" w:type="pct"/>
            <w:tcBorders>
              <w:right w:val="single" w:sz="4" w:space="0" w:color="auto"/>
            </w:tcBorders>
            <w:vAlign w:val="center"/>
          </w:tcPr>
          <w:p w14:paraId="43F48DD1" w14:textId="6E71FAB5" w:rsidR="004A3490" w:rsidRPr="005B52E6" w:rsidRDefault="004A3490" w:rsidP="004A3490">
            <w:pPr>
              <w:jc w:val="right"/>
              <w:rPr>
                <w:rFonts w:cs="Times New Roman"/>
                <w:sz w:val="22"/>
              </w:rPr>
            </w:pPr>
            <w:r w:rsidRPr="005B52E6">
              <w:rPr>
                <w:rFonts w:cs="Times New Roman"/>
                <w:color w:val="000000"/>
                <w:sz w:val="22"/>
              </w:rPr>
              <w:t>0.004</w:t>
            </w:r>
          </w:p>
        </w:tc>
        <w:tc>
          <w:tcPr>
            <w:tcW w:w="815" w:type="pct"/>
            <w:tcBorders>
              <w:left w:val="single" w:sz="4" w:space="0" w:color="auto"/>
            </w:tcBorders>
          </w:tcPr>
          <w:p w14:paraId="17F1600C" w14:textId="77777777" w:rsidR="004A3490" w:rsidRPr="005B52E6" w:rsidRDefault="004A3490" w:rsidP="004A3490">
            <w:pPr>
              <w:jc w:val="right"/>
              <w:rPr>
                <w:rFonts w:cs="Times New Roman"/>
                <w:b/>
                <w:sz w:val="22"/>
              </w:rPr>
            </w:pPr>
          </w:p>
        </w:tc>
      </w:tr>
      <w:tr w:rsidR="004A3490" w:rsidRPr="005B52E6" w14:paraId="6F27F66D" w14:textId="77777777" w:rsidTr="00951106">
        <w:tc>
          <w:tcPr>
            <w:tcW w:w="1204" w:type="pct"/>
            <w:tcBorders>
              <w:right w:val="single" w:sz="4" w:space="0" w:color="auto"/>
            </w:tcBorders>
            <w:vAlign w:val="center"/>
          </w:tcPr>
          <w:p w14:paraId="38A94FA7" w14:textId="54FADAD5" w:rsidR="004A3490" w:rsidRPr="005B52E6" w:rsidRDefault="004A3490" w:rsidP="004A3490">
            <w:pPr>
              <w:rPr>
                <w:rFonts w:cs="Times New Roman"/>
                <w:i/>
                <w:sz w:val="22"/>
              </w:rPr>
            </w:pPr>
          </w:p>
        </w:tc>
        <w:tc>
          <w:tcPr>
            <w:tcW w:w="768" w:type="pct"/>
            <w:tcBorders>
              <w:left w:val="single" w:sz="4" w:space="0" w:color="auto"/>
            </w:tcBorders>
            <w:vAlign w:val="center"/>
          </w:tcPr>
          <w:p w14:paraId="526196A7" w14:textId="49762875" w:rsidR="004A3490" w:rsidRPr="005B52E6" w:rsidRDefault="004A3490" w:rsidP="004A3490">
            <w:pPr>
              <w:jc w:val="right"/>
              <w:rPr>
                <w:rFonts w:cs="Times New Roman"/>
                <w:sz w:val="22"/>
              </w:rPr>
            </w:pPr>
          </w:p>
        </w:tc>
        <w:tc>
          <w:tcPr>
            <w:tcW w:w="674" w:type="pct"/>
            <w:tcBorders>
              <w:right w:val="single" w:sz="4" w:space="0" w:color="auto"/>
            </w:tcBorders>
            <w:vAlign w:val="center"/>
          </w:tcPr>
          <w:p w14:paraId="04DD6E78" w14:textId="307667BA" w:rsidR="004A3490" w:rsidRPr="005B52E6" w:rsidRDefault="004A3490" w:rsidP="004A3490">
            <w:pPr>
              <w:jc w:val="right"/>
              <w:rPr>
                <w:rFonts w:cs="Times New Roman"/>
                <w:sz w:val="22"/>
              </w:rPr>
            </w:pPr>
          </w:p>
        </w:tc>
        <w:tc>
          <w:tcPr>
            <w:tcW w:w="769" w:type="pct"/>
            <w:tcBorders>
              <w:left w:val="single" w:sz="4" w:space="0" w:color="auto"/>
            </w:tcBorders>
            <w:vAlign w:val="center"/>
          </w:tcPr>
          <w:p w14:paraId="3DE3B75A" w14:textId="4EB92968" w:rsidR="004A3490" w:rsidRPr="005B52E6" w:rsidRDefault="004A3490" w:rsidP="004A3490">
            <w:pPr>
              <w:jc w:val="right"/>
              <w:rPr>
                <w:rFonts w:cs="Times New Roman"/>
                <w:sz w:val="22"/>
              </w:rPr>
            </w:pPr>
          </w:p>
        </w:tc>
        <w:tc>
          <w:tcPr>
            <w:tcW w:w="770" w:type="pct"/>
            <w:tcBorders>
              <w:right w:val="single" w:sz="4" w:space="0" w:color="auto"/>
            </w:tcBorders>
            <w:vAlign w:val="center"/>
          </w:tcPr>
          <w:p w14:paraId="63FDD5A7" w14:textId="25ABE692" w:rsidR="004A3490" w:rsidRPr="005B52E6" w:rsidRDefault="004A3490" w:rsidP="004A3490">
            <w:pPr>
              <w:jc w:val="right"/>
              <w:rPr>
                <w:rFonts w:cs="Times New Roman"/>
                <w:color w:val="000000"/>
                <w:sz w:val="22"/>
              </w:rPr>
            </w:pPr>
          </w:p>
        </w:tc>
        <w:tc>
          <w:tcPr>
            <w:tcW w:w="815" w:type="pct"/>
            <w:tcBorders>
              <w:left w:val="single" w:sz="4" w:space="0" w:color="auto"/>
            </w:tcBorders>
          </w:tcPr>
          <w:p w14:paraId="1BFA5F55" w14:textId="77777777" w:rsidR="004A3490" w:rsidRPr="005B52E6" w:rsidRDefault="004A3490" w:rsidP="004A3490">
            <w:pPr>
              <w:jc w:val="right"/>
              <w:rPr>
                <w:rFonts w:cs="Times New Roman"/>
                <w:b/>
                <w:sz w:val="22"/>
              </w:rPr>
            </w:pPr>
          </w:p>
        </w:tc>
      </w:tr>
      <w:tr w:rsidR="004A3490" w:rsidRPr="005B52E6" w14:paraId="615A04FE" w14:textId="77777777" w:rsidTr="00951106">
        <w:tc>
          <w:tcPr>
            <w:tcW w:w="1204" w:type="pct"/>
            <w:tcBorders>
              <w:right w:val="single" w:sz="4" w:space="0" w:color="auto"/>
            </w:tcBorders>
            <w:vAlign w:val="center"/>
          </w:tcPr>
          <w:p w14:paraId="6B25966D" w14:textId="3BFC76BB" w:rsidR="004A3490" w:rsidRPr="005B52E6" w:rsidRDefault="004A3490" w:rsidP="004A3490">
            <w:pPr>
              <w:rPr>
                <w:rFonts w:cs="Times New Roman"/>
                <w:i/>
                <w:sz w:val="22"/>
              </w:rPr>
            </w:pPr>
            <w:r w:rsidRPr="005B52E6">
              <w:rPr>
                <w:rFonts w:cs="Times New Roman"/>
                <w:color w:val="000000"/>
                <w:sz w:val="22"/>
              </w:rPr>
              <w:t>sar1</w:t>
            </w:r>
          </w:p>
        </w:tc>
        <w:tc>
          <w:tcPr>
            <w:tcW w:w="768" w:type="pct"/>
            <w:tcBorders>
              <w:left w:val="single" w:sz="4" w:space="0" w:color="auto"/>
            </w:tcBorders>
            <w:vAlign w:val="center"/>
          </w:tcPr>
          <w:p w14:paraId="1C08C3EB" w14:textId="57528771" w:rsidR="004A3490" w:rsidRPr="005B52E6" w:rsidRDefault="004A3490" w:rsidP="004A3490">
            <w:pPr>
              <w:jc w:val="right"/>
              <w:rPr>
                <w:rFonts w:cs="Times New Roman"/>
                <w:sz w:val="22"/>
              </w:rPr>
            </w:pPr>
            <w:r w:rsidRPr="005B52E6">
              <w:rPr>
                <w:rFonts w:cs="Times New Roman"/>
                <w:color w:val="000000"/>
                <w:sz w:val="22"/>
              </w:rPr>
              <w:t>-13.71%</w:t>
            </w:r>
            <w:r>
              <w:rPr>
                <w:rFonts w:cs="Times New Roman"/>
                <w:color w:val="000000"/>
                <w:sz w:val="22"/>
              </w:rPr>
              <w:t>**</w:t>
            </w:r>
          </w:p>
        </w:tc>
        <w:tc>
          <w:tcPr>
            <w:tcW w:w="674" w:type="pct"/>
            <w:tcBorders>
              <w:right w:val="single" w:sz="4" w:space="0" w:color="auto"/>
            </w:tcBorders>
            <w:vAlign w:val="center"/>
          </w:tcPr>
          <w:p w14:paraId="1750CCA4" w14:textId="2E6F767F" w:rsidR="004A3490" w:rsidRPr="005B52E6" w:rsidRDefault="004A3490" w:rsidP="004A3490">
            <w:pPr>
              <w:jc w:val="right"/>
              <w:rPr>
                <w:rFonts w:cs="Times New Roman"/>
                <w:sz w:val="22"/>
              </w:rPr>
            </w:pPr>
            <w:r w:rsidRPr="005B52E6">
              <w:rPr>
                <w:rFonts w:cs="Times New Roman"/>
                <w:color w:val="000000"/>
                <w:sz w:val="22"/>
              </w:rPr>
              <w:t>0.069</w:t>
            </w:r>
          </w:p>
        </w:tc>
        <w:tc>
          <w:tcPr>
            <w:tcW w:w="769" w:type="pct"/>
            <w:tcBorders>
              <w:left w:val="single" w:sz="4" w:space="0" w:color="auto"/>
            </w:tcBorders>
            <w:vAlign w:val="center"/>
          </w:tcPr>
          <w:p w14:paraId="11C760E2" w14:textId="4C308B7F" w:rsidR="004A3490" w:rsidRPr="005B52E6" w:rsidRDefault="004A3490" w:rsidP="004A3490">
            <w:pPr>
              <w:jc w:val="right"/>
              <w:rPr>
                <w:rFonts w:cs="Times New Roman"/>
                <w:sz w:val="22"/>
              </w:rPr>
            </w:pPr>
          </w:p>
        </w:tc>
        <w:tc>
          <w:tcPr>
            <w:tcW w:w="770" w:type="pct"/>
            <w:tcBorders>
              <w:right w:val="single" w:sz="4" w:space="0" w:color="auto"/>
            </w:tcBorders>
            <w:vAlign w:val="center"/>
          </w:tcPr>
          <w:p w14:paraId="28DC8583" w14:textId="7104474F" w:rsidR="004A3490" w:rsidRPr="005B52E6" w:rsidRDefault="004A3490" w:rsidP="004A3490">
            <w:pPr>
              <w:jc w:val="right"/>
              <w:rPr>
                <w:rFonts w:cs="Times New Roman"/>
                <w:sz w:val="22"/>
              </w:rPr>
            </w:pPr>
          </w:p>
        </w:tc>
        <w:tc>
          <w:tcPr>
            <w:tcW w:w="815" w:type="pct"/>
            <w:tcBorders>
              <w:left w:val="single" w:sz="4" w:space="0" w:color="auto"/>
            </w:tcBorders>
          </w:tcPr>
          <w:p w14:paraId="2EFAAA0A" w14:textId="77777777" w:rsidR="004A3490" w:rsidRPr="005B52E6" w:rsidRDefault="004A3490" w:rsidP="004A3490">
            <w:pPr>
              <w:jc w:val="right"/>
              <w:rPr>
                <w:rFonts w:cs="Times New Roman"/>
                <w:b/>
                <w:sz w:val="22"/>
              </w:rPr>
            </w:pPr>
          </w:p>
        </w:tc>
      </w:tr>
      <w:tr w:rsidR="004A3490" w:rsidRPr="005B52E6" w14:paraId="4BF02066" w14:textId="77777777" w:rsidTr="00951106">
        <w:tc>
          <w:tcPr>
            <w:tcW w:w="1204" w:type="pct"/>
            <w:tcBorders>
              <w:right w:val="single" w:sz="4" w:space="0" w:color="auto"/>
            </w:tcBorders>
            <w:vAlign w:val="center"/>
          </w:tcPr>
          <w:p w14:paraId="557E696D" w14:textId="10154ADF" w:rsidR="004A3490" w:rsidRPr="005B52E6" w:rsidRDefault="004A3490" w:rsidP="004A3490">
            <w:pPr>
              <w:rPr>
                <w:rFonts w:cs="Times New Roman"/>
                <w:i/>
                <w:sz w:val="22"/>
              </w:rPr>
            </w:pPr>
            <w:r w:rsidRPr="005B52E6">
              <w:rPr>
                <w:rFonts w:cs="Times New Roman"/>
                <w:color w:val="000000"/>
                <w:sz w:val="22"/>
              </w:rPr>
              <w:t>intercept</w:t>
            </w:r>
          </w:p>
        </w:tc>
        <w:tc>
          <w:tcPr>
            <w:tcW w:w="768" w:type="pct"/>
            <w:tcBorders>
              <w:left w:val="single" w:sz="4" w:space="0" w:color="auto"/>
            </w:tcBorders>
            <w:vAlign w:val="center"/>
          </w:tcPr>
          <w:p w14:paraId="6D9F5CAD" w14:textId="355944B1" w:rsidR="004A3490" w:rsidRPr="005B52E6" w:rsidRDefault="004A3490" w:rsidP="004A3490">
            <w:pPr>
              <w:jc w:val="right"/>
              <w:rPr>
                <w:rFonts w:cs="Times New Roman"/>
                <w:sz w:val="22"/>
              </w:rPr>
            </w:pPr>
            <w:r w:rsidRPr="005B52E6">
              <w:rPr>
                <w:rFonts w:cs="Times New Roman"/>
                <w:color w:val="000000"/>
                <w:sz w:val="22"/>
              </w:rPr>
              <w:t>0.93%</w:t>
            </w:r>
            <w:r>
              <w:rPr>
                <w:rFonts w:cs="Times New Roman"/>
                <w:color w:val="000000"/>
                <w:sz w:val="22"/>
              </w:rPr>
              <w:t>***</w:t>
            </w:r>
          </w:p>
        </w:tc>
        <w:tc>
          <w:tcPr>
            <w:tcW w:w="674" w:type="pct"/>
            <w:tcBorders>
              <w:right w:val="single" w:sz="4" w:space="0" w:color="auto"/>
            </w:tcBorders>
            <w:vAlign w:val="center"/>
          </w:tcPr>
          <w:p w14:paraId="15B35023" w14:textId="29C91A37" w:rsidR="004A3490" w:rsidRPr="005B52E6" w:rsidRDefault="004A3490" w:rsidP="004A3490">
            <w:pPr>
              <w:jc w:val="right"/>
              <w:rPr>
                <w:rFonts w:cs="Times New Roman"/>
                <w:sz w:val="22"/>
              </w:rPr>
            </w:pPr>
            <w:r w:rsidRPr="005B52E6">
              <w:rPr>
                <w:rFonts w:cs="Times New Roman"/>
                <w:color w:val="000000"/>
                <w:sz w:val="22"/>
              </w:rPr>
              <w:t>0.002</w:t>
            </w:r>
          </w:p>
        </w:tc>
        <w:tc>
          <w:tcPr>
            <w:tcW w:w="769" w:type="pct"/>
            <w:tcBorders>
              <w:left w:val="single" w:sz="4" w:space="0" w:color="auto"/>
            </w:tcBorders>
            <w:vAlign w:val="center"/>
          </w:tcPr>
          <w:p w14:paraId="1B1608C9" w14:textId="1CBE0E01" w:rsidR="004A3490" w:rsidRPr="00FB23D6" w:rsidRDefault="004A3490" w:rsidP="004A3490">
            <w:pPr>
              <w:jc w:val="right"/>
              <w:rPr>
                <w:rFonts w:cs="Times New Roman"/>
                <w:sz w:val="22"/>
              </w:rPr>
            </w:pPr>
            <w:r w:rsidRPr="00FB23D6">
              <w:rPr>
                <w:rFonts w:cs="Times New Roman"/>
                <w:color w:val="000000"/>
                <w:sz w:val="22"/>
              </w:rPr>
              <w:t>1.52%</w:t>
            </w:r>
            <w:r>
              <w:rPr>
                <w:rFonts w:cs="Times New Roman"/>
                <w:color w:val="000000"/>
                <w:sz w:val="22"/>
              </w:rPr>
              <w:t>***</w:t>
            </w:r>
          </w:p>
        </w:tc>
        <w:tc>
          <w:tcPr>
            <w:tcW w:w="770" w:type="pct"/>
            <w:tcBorders>
              <w:right w:val="single" w:sz="4" w:space="0" w:color="auto"/>
            </w:tcBorders>
            <w:vAlign w:val="center"/>
          </w:tcPr>
          <w:p w14:paraId="375BD818" w14:textId="64195A92" w:rsidR="004A3490" w:rsidRPr="00FB23D6" w:rsidRDefault="004A3490" w:rsidP="004A3490">
            <w:pPr>
              <w:jc w:val="right"/>
              <w:rPr>
                <w:rFonts w:cs="Times New Roman"/>
                <w:sz w:val="22"/>
              </w:rPr>
            </w:pPr>
            <w:r w:rsidRPr="00FB23D6">
              <w:rPr>
                <w:rFonts w:cs="Times New Roman"/>
                <w:color w:val="000000"/>
                <w:sz w:val="22"/>
              </w:rPr>
              <w:t>0.005</w:t>
            </w:r>
          </w:p>
        </w:tc>
        <w:tc>
          <w:tcPr>
            <w:tcW w:w="815" w:type="pct"/>
            <w:tcBorders>
              <w:left w:val="single" w:sz="4" w:space="0" w:color="auto"/>
            </w:tcBorders>
          </w:tcPr>
          <w:p w14:paraId="597DD8B9" w14:textId="77777777" w:rsidR="004A3490" w:rsidRPr="005B52E6" w:rsidRDefault="004A3490" w:rsidP="004A3490">
            <w:pPr>
              <w:jc w:val="right"/>
              <w:rPr>
                <w:rFonts w:cs="Times New Roman"/>
                <w:b/>
                <w:sz w:val="22"/>
              </w:rPr>
            </w:pPr>
          </w:p>
        </w:tc>
      </w:tr>
      <w:tr w:rsidR="004A3490" w:rsidRPr="005B52E6" w14:paraId="2DC99CAE" w14:textId="77777777" w:rsidTr="00951106">
        <w:tc>
          <w:tcPr>
            <w:tcW w:w="1204" w:type="pct"/>
            <w:tcBorders>
              <w:right w:val="single" w:sz="4" w:space="0" w:color="auto"/>
            </w:tcBorders>
            <w:vAlign w:val="center"/>
          </w:tcPr>
          <w:p w14:paraId="5617D82C" w14:textId="64BE49C6" w:rsidR="004A3490" w:rsidRPr="005B52E6" w:rsidRDefault="004A3490" w:rsidP="004A3490">
            <w:pPr>
              <w:rPr>
                <w:rFonts w:cs="Times New Roman"/>
                <w:color w:val="000000"/>
                <w:sz w:val="22"/>
              </w:rPr>
            </w:pPr>
            <w:r w:rsidRPr="005B52E6">
              <w:rPr>
                <w:rFonts w:cs="Times New Roman"/>
                <w:color w:val="000000"/>
                <w:sz w:val="22"/>
              </w:rPr>
              <w:t>ma1</w:t>
            </w:r>
          </w:p>
        </w:tc>
        <w:tc>
          <w:tcPr>
            <w:tcW w:w="768" w:type="pct"/>
            <w:tcBorders>
              <w:left w:val="single" w:sz="4" w:space="0" w:color="auto"/>
            </w:tcBorders>
            <w:vAlign w:val="center"/>
          </w:tcPr>
          <w:p w14:paraId="6BCCF822" w14:textId="167DBA1B" w:rsidR="004A3490" w:rsidRPr="005B52E6" w:rsidRDefault="004A3490" w:rsidP="004A3490">
            <w:pPr>
              <w:jc w:val="right"/>
              <w:rPr>
                <w:rFonts w:cs="Times New Roman"/>
                <w:sz w:val="22"/>
              </w:rPr>
            </w:pPr>
          </w:p>
        </w:tc>
        <w:tc>
          <w:tcPr>
            <w:tcW w:w="674" w:type="pct"/>
            <w:tcBorders>
              <w:right w:val="single" w:sz="4" w:space="0" w:color="auto"/>
            </w:tcBorders>
            <w:vAlign w:val="center"/>
          </w:tcPr>
          <w:p w14:paraId="31581CA0" w14:textId="1C662A9E" w:rsidR="004A3490" w:rsidRPr="005B52E6" w:rsidRDefault="004A3490" w:rsidP="004A3490">
            <w:pPr>
              <w:jc w:val="right"/>
              <w:rPr>
                <w:rFonts w:cs="Times New Roman"/>
                <w:sz w:val="22"/>
              </w:rPr>
            </w:pPr>
          </w:p>
        </w:tc>
        <w:tc>
          <w:tcPr>
            <w:tcW w:w="769" w:type="pct"/>
            <w:tcBorders>
              <w:left w:val="single" w:sz="4" w:space="0" w:color="auto"/>
            </w:tcBorders>
            <w:vAlign w:val="center"/>
          </w:tcPr>
          <w:p w14:paraId="1C4EEBBC" w14:textId="48ABA7E9" w:rsidR="004A3490" w:rsidRPr="005B52E6" w:rsidRDefault="004A3490" w:rsidP="004A3490">
            <w:pPr>
              <w:jc w:val="right"/>
              <w:rPr>
                <w:rFonts w:cs="Times New Roman"/>
                <w:sz w:val="22"/>
              </w:rPr>
            </w:pPr>
            <w:r w:rsidRPr="005B52E6">
              <w:rPr>
                <w:rFonts w:cs="Times New Roman"/>
                <w:color w:val="000000"/>
                <w:sz w:val="22"/>
              </w:rPr>
              <w:t>22.88%</w:t>
            </w:r>
            <w:r>
              <w:rPr>
                <w:rFonts w:cs="Times New Roman"/>
                <w:color w:val="000000"/>
                <w:sz w:val="22"/>
              </w:rPr>
              <w:t>***</w:t>
            </w:r>
          </w:p>
        </w:tc>
        <w:tc>
          <w:tcPr>
            <w:tcW w:w="770" w:type="pct"/>
            <w:tcBorders>
              <w:right w:val="single" w:sz="4" w:space="0" w:color="auto"/>
            </w:tcBorders>
            <w:vAlign w:val="center"/>
          </w:tcPr>
          <w:p w14:paraId="1AB65B53" w14:textId="12BB401E" w:rsidR="004A3490" w:rsidRPr="005B52E6" w:rsidRDefault="004A3490" w:rsidP="004A3490">
            <w:pPr>
              <w:jc w:val="right"/>
              <w:rPr>
                <w:rFonts w:cs="Times New Roman"/>
                <w:sz w:val="22"/>
              </w:rPr>
            </w:pPr>
            <w:r w:rsidRPr="005B52E6">
              <w:rPr>
                <w:rFonts w:cs="Times New Roman"/>
                <w:color w:val="000000"/>
                <w:sz w:val="22"/>
              </w:rPr>
              <w:t>0.062</w:t>
            </w:r>
          </w:p>
        </w:tc>
        <w:tc>
          <w:tcPr>
            <w:tcW w:w="815" w:type="pct"/>
            <w:tcBorders>
              <w:left w:val="single" w:sz="4" w:space="0" w:color="auto"/>
            </w:tcBorders>
          </w:tcPr>
          <w:p w14:paraId="60DA3254" w14:textId="77777777" w:rsidR="004A3490" w:rsidRPr="005B52E6" w:rsidRDefault="004A3490" w:rsidP="004A3490">
            <w:pPr>
              <w:jc w:val="right"/>
              <w:rPr>
                <w:rFonts w:cs="Times New Roman"/>
                <w:b/>
                <w:sz w:val="22"/>
              </w:rPr>
            </w:pPr>
          </w:p>
        </w:tc>
      </w:tr>
      <w:tr w:rsidR="004A3490" w:rsidRPr="005B52E6" w14:paraId="354323F8" w14:textId="77777777" w:rsidTr="00951106">
        <w:tc>
          <w:tcPr>
            <w:tcW w:w="1204" w:type="pct"/>
            <w:tcBorders>
              <w:bottom w:val="single" w:sz="4" w:space="0" w:color="auto"/>
              <w:right w:val="single" w:sz="4" w:space="0" w:color="auto"/>
            </w:tcBorders>
            <w:vAlign w:val="center"/>
          </w:tcPr>
          <w:p w14:paraId="11CBF1A0" w14:textId="77777777" w:rsidR="004A3490" w:rsidRPr="005B52E6" w:rsidRDefault="004A3490" w:rsidP="004A3490">
            <w:pPr>
              <w:rPr>
                <w:rFonts w:cs="Times New Roman"/>
                <w:sz w:val="22"/>
              </w:rPr>
            </w:pPr>
          </w:p>
        </w:tc>
        <w:tc>
          <w:tcPr>
            <w:tcW w:w="768" w:type="pct"/>
            <w:tcBorders>
              <w:left w:val="single" w:sz="4" w:space="0" w:color="auto"/>
              <w:bottom w:val="single" w:sz="4" w:space="0" w:color="auto"/>
            </w:tcBorders>
            <w:vAlign w:val="center"/>
          </w:tcPr>
          <w:p w14:paraId="58014FCE" w14:textId="77777777" w:rsidR="004A3490" w:rsidRPr="005B52E6" w:rsidRDefault="004A3490" w:rsidP="004A3490">
            <w:pPr>
              <w:jc w:val="right"/>
              <w:rPr>
                <w:rFonts w:cs="Times New Roman"/>
                <w:sz w:val="22"/>
              </w:rPr>
            </w:pPr>
          </w:p>
        </w:tc>
        <w:tc>
          <w:tcPr>
            <w:tcW w:w="674" w:type="pct"/>
            <w:tcBorders>
              <w:bottom w:val="single" w:sz="4" w:space="0" w:color="auto"/>
              <w:right w:val="single" w:sz="4" w:space="0" w:color="auto"/>
            </w:tcBorders>
            <w:vAlign w:val="center"/>
          </w:tcPr>
          <w:p w14:paraId="455F7305" w14:textId="77777777" w:rsidR="004A3490" w:rsidRPr="005B52E6" w:rsidRDefault="004A3490" w:rsidP="004A3490">
            <w:pPr>
              <w:jc w:val="right"/>
              <w:rPr>
                <w:rFonts w:cs="Times New Roman"/>
                <w:sz w:val="22"/>
              </w:rPr>
            </w:pPr>
          </w:p>
        </w:tc>
        <w:tc>
          <w:tcPr>
            <w:tcW w:w="769" w:type="pct"/>
            <w:tcBorders>
              <w:left w:val="single" w:sz="4" w:space="0" w:color="auto"/>
              <w:bottom w:val="single" w:sz="4" w:space="0" w:color="auto"/>
            </w:tcBorders>
          </w:tcPr>
          <w:p w14:paraId="79CC50D8" w14:textId="77777777" w:rsidR="004A3490" w:rsidRPr="005B52E6" w:rsidRDefault="004A3490" w:rsidP="004A3490">
            <w:pPr>
              <w:jc w:val="right"/>
              <w:rPr>
                <w:rFonts w:cs="Times New Roman"/>
                <w:sz w:val="22"/>
              </w:rPr>
            </w:pPr>
          </w:p>
        </w:tc>
        <w:tc>
          <w:tcPr>
            <w:tcW w:w="770" w:type="pct"/>
            <w:tcBorders>
              <w:bottom w:val="single" w:sz="4" w:space="0" w:color="auto"/>
              <w:right w:val="single" w:sz="4" w:space="0" w:color="auto"/>
            </w:tcBorders>
          </w:tcPr>
          <w:p w14:paraId="2E4659FE" w14:textId="77777777" w:rsidR="004A3490" w:rsidRPr="005B52E6" w:rsidRDefault="004A3490" w:rsidP="004A3490">
            <w:pPr>
              <w:jc w:val="right"/>
              <w:rPr>
                <w:rFonts w:cs="Times New Roman"/>
                <w:sz w:val="22"/>
              </w:rPr>
            </w:pPr>
          </w:p>
        </w:tc>
        <w:tc>
          <w:tcPr>
            <w:tcW w:w="815" w:type="pct"/>
            <w:tcBorders>
              <w:left w:val="single" w:sz="4" w:space="0" w:color="auto"/>
              <w:bottom w:val="single" w:sz="4" w:space="0" w:color="auto"/>
            </w:tcBorders>
          </w:tcPr>
          <w:p w14:paraId="5BF731EC" w14:textId="77777777" w:rsidR="004A3490" w:rsidRPr="005B52E6" w:rsidRDefault="004A3490" w:rsidP="004A3490">
            <w:pPr>
              <w:jc w:val="right"/>
              <w:rPr>
                <w:rFonts w:cs="Times New Roman"/>
                <w:b/>
                <w:sz w:val="22"/>
              </w:rPr>
            </w:pPr>
          </w:p>
        </w:tc>
      </w:tr>
      <w:tr w:rsidR="004A3490" w:rsidRPr="005B52E6" w14:paraId="520CA6E4" w14:textId="77777777" w:rsidTr="00951106">
        <w:tc>
          <w:tcPr>
            <w:tcW w:w="1204" w:type="pct"/>
            <w:tcBorders>
              <w:top w:val="single" w:sz="4" w:space="0" w:color="auto"/>
              <w:right w:val="single" w:sz="4" w:space="0" w:color="auto"/>
            </w:tcBorders>
            <w:vAlign w:val="center"/>
          </w:tcPr>
          <w:p w14:paraId="6BC7B6E2" w14:textId="77777777" w:rsidR="004A3490" w:rsidRPr="005B52E6" w:rsidRDefault="004A3490" w:rsidP="004A3490">
            <w:pPr>
              <w:rPr>
                <w:rFonts w:cs="Times New Roman"/>
                <w:sz w:val="22"/>
              </w:rPr>
            </w:pPr>
            <w:r w:rsidRPr="005B52E6">
              <w:rPr>
                <w:rFonts w:cs="Times New Roman"/>
                <w:sz w:val="22"/>
              </w:rPr>
              <w:t>Observations</w:t>
            </w:r>
          </w:p>
        </w:tc>
        <w:tc>
          <w:tcPr>
            <w:tcW w:w="1442" w:type="pct"/>
            <w:gridSpan w:val="2"/>
            <w:tcBorders>
              <w:top w:val="single" w:sz="4" w:space="0" w:color="auto"/>
              <w:left w:val="single" w:sz="4" w:space="0" w:color="auto"/>
              <w:right w:val="single" w:sz="4" w:space="0" w:color="auto"/>
            </w:tcBorders>
            <w:vAlign w:val="center"/>
          </w:tcPr>
          <w:p w14:paraId="67BFFB7A" w14:textId="08F2AB90" w:rsidR="004A3490" w:rsidRPr="005B52E6" w:rsidRDefault="004A3490" w:rsidP="004A3490">
            <w:pPr>
              <w:jc w:val="center"/>
              <w:rPr>
                <w:rFonts w:cs="Times New Roman"/>
                <w:sz w:val="22"/>
              </w:rPr>
            </w:pPr>
            <w:r w:rsidRPr="005B52E6">
              <w:rPr>
                <w:rFonts w:cs="Times New Roman"/>
                <w:sz w:val="22"/>
              </w:rPr>
              <w:t>216</w:t>
            </w:r>
          </w:p>
        </w:tc>
        <w:tc>
          <w:tcPr>
            <w:tcW w:w="1539" w:type="pct"/>
            <w:gridSpan w:val="2"/>
            <w:tcBorders>
              <w:top w:val="single" w:sz="4" w:space="0" w:color="auto"/>
              <w:left w:val="single" w:sz="4" w:space="0" w:color="auto"/>
              <w:right w:val="single" w:sz="4" w:space="0" w:color="auto"/>
            </w:tcBorders>
            <w:vAlign w:val="center"/>
          </w:tcPr>
          <w:p w14:paraId="4B1F6F6E" w14:textId="707882DE" w:rsidR="004A3490" w:rsidRPr="005B52E6" w:rsidRDefault="004A3490" w:rsidP="004A3490">
            <w:pPr>
              <w:jc w:val="center"/>
              <w:rPr>
                <w:rFonts w:cs="Times New Roman"/>
                <w:sz w:val="22"/>
              </w:rPr>
            </w:pPr>
            <w:r w:rsidRPr="005B52E6">
              <w:rPr>
                <w:rFonts w:cs="Times New Roman"/>
                <w:sz w:val="22"/>
              </w:rPr>
              <w:t>216</w:t>
            </w:r>
          </w:p>
        </w:tc>
        <w:tc>
          <w:tcPr>
            <w:tcW w:w="815" w:type="pct"/>
            <w:tcBorders>
              <w:top w:val="single" w:sz="4" w:space="0" w:color="auto"/>
              <w:left w:val="single" w:sz="4" w:space="0" w:color="auto"/>
            </w:tcBorders>
          </w:tcPr>
          <w:p w14:paraId="1002AF52" w14:textId="77777777" w:rsidR="004A3490" w:rsidRPr="005B52E6" w:rsidRDefault="004A3490" w:rsidP="004A3490">
            <w:pPr>
              <w:rPr>
                <w:rFonts w:cs="Times New Roman"/>
                <w:b/>
                <w:sz w:val="22"/>
              </w:rPr>
            </w:pPr>
          </w:p>
        </w:tc>
      </w:tr>
      <w:tr w:rsidR="004A3490" w:rsidRPr="005B52E6" w14:paraId="47CA61B4" w14:textId="77777777" w:rsidTr="00951106">
        <w:tc>
          <w:tcPr>
            <w:tcW w:w="1204" w:type="pct"/>
            <w:tcBorders>
              <w:right w:val="single" w:sz="4" w:space="0" w:color="auto"/>
            </w:tcBorders>
            <w:vAlign w:val="center"/>
          </w:tcPr>
          <w:p w14:paraId="4A6B6B51" w14:textId="77777777" w:rsidR="004A3490" w:rsidRPr="005B52E6" w:rsidRDefault="004A3490" w:rsidP="004A3490">
            <w:pPr>
              <w:rPr>
                <w:rFonts w:cs="Times New Roman"/>
                <w:sz w:val="22"/>
              </w:rPr>
            </w:pPr>
            <w:r w:rsidRPr="005B52E6">
              <w:rPr>
                <w:rFonts w:cs="Times New Roman"/>
                <w:sz w:val="22"/>
              </w:rPr>
              <w:t>Order</w:t>
            </w:r>
          </w:p>
        </w:tc>
        <w:tc>
          <w:tcPr>
            <w:tcW w:w="1442" w:type="pct"/>
            <w:gridSpan w:val="2"/>
            <w:tcBorders>
              <w:left w:val="single" w:sz="4" w:space="0" w:color="auto"/>
              <w:right w:val="single" w:sz="4" w:space="0" w:color="auto"/>
            </w:tcBorders>
            <w:vAlign w:val="center"/>
          </w:tcPr>
          <w:p w14:paraId="1600F13F" w14:textId="5C823404" w:rsidR="004A3490" w:rsidRPr="005B52E6" w:rsidRDefault="004A3490" w:rsidP="004A3490">
            <w:pPr>
              <w:jc w:val="center"/>
              <w:rPr>
                <w:rFonts w:cs="Times New Roman"/>
                <w:sz w:val="22"/>
              </w:rPr>
            </w:pPr>
            <w:r w:rsidRPr="005B52E6">
              <w:rPr>
                <w:rFonts w:cs="Times New Roman"/>
                <w:sz w:val="22"/>
              </w:rPr>
              <w:t>(0,0,0),(1,0,0)</w:t>
            </w:r>
            <w:r w:rsidRPr="005B52E6">
              <w:rPr>
                <w:rFonts w:cs="Times New Roman"/>
                <w:sz w:val="22"/>
                <w:vertAlign w:val="subscript"/>
              </w:rPr>
              <w:t>[12]</w:t>
            </w:r>
          </w:p>
        </w:tc>
        <w:tc>
          <w:tcPr>
            <w:tcW w:w="1539" w:type="pct"/>
            <w:gridSpan w:val="2"/>
            <w:tcBorders>
              <w:left w:val="single" w:sz="4" w:space="0" w:color="auto"/>
              <w:right w:val="single" w:sz="4" w:space="0" w:color="auto"/>
            </w:tcBorders>
            <w:vAlign w:val="center"/>
          </w:tcPr>
          <w:p w14:paraId="3D33CA2A" w14:textId="659D7CB7" w:rsidR="004A3490" w:rsidRPr="005B52E6" w:rsidRDefault="004A3490" w:rsidP="004A3490">
            <w:pPr>
              <w:jc w:val="center"/>
              <w:rPr>
                <w:rFonts w:cs="Times New Roman"/>
                <w:sz w:val="22"/>
              </w:rPr>
            </w:pPr>
            <w:r w:rsidRPr="005B52E6">
              <w:rPr>
                <w:rFonts w:cs="Times New Roman"/>
                <w:sz w:val="22"/>
              </w:rPr>
              <w:t>(0,0,1)</w:t>
            </w:r>
          </w:p>
        </w:tc>
        <w:tc>
          <w:tcPr>
            <w:tcW w:w="815" w:type="pct"/>
            <w:tcBorders>
              <w:left w:val="single" w:sz="4" w:space="0" w:color="auto"/>
            </w:tcBorders>
          </w:tcPr>
          <w:p w14:paraId="06DF83A7" w14:textId="77777777" w:rsidR="004A3490" w:rsidRPr="005B52E6" w:rsidRDefault="004A3490" w:rsidP="004A3490">
            <w:pPr>
              <w:rPr>
                <w:rFonts w:cs="Times New Roman"/>
                <w:b/>
                <w:sz w:val="22"/>
              </w:rPr>
            </w:pPr>
          </w:p>
        </w:tc>
      </w:tr>
      <w:tr w:rsidR="004A3490" w:rsidRPr="005B52E6" w14:paraId="73AE0294" w14:textId="77777777" w:rsidTr="00951106">
        <w:tc>
          <w:tcPr>
            <w:tcW w:w="1204" w:type="pct"/>
            <w:tcBorders>
              <w:right w:val="single" w:sz="4" w:space="0" w:color="auto"/>
            </w:tcBorders>
            <w:vAlign w:val="center"/>
          </w:tcPr>
          <w:p w14:paraId="3A130D88" w14:textId="77777777" w:rsidR="004A3490" w:rsidRPr="005B52E6" w:rsidRDefault="004A3490" w:rsidP="004A3490">
            <w:pPr>
              <w:rPr>
                <w:rFonts w:cs="Times New Roman"/>
                <w:sz w:val="22"/>
              </w:rPr>
            </w:pPr>
            <w:r w:rsidRPr="005B52E6">
              <w:rPr>
                <w:rFonts w:cs="Times New Roman"/>
                <w:sz w:val="22"/>
              </w:rPr>
              <w:t>Ljung Box-test (h=24)</w:t>
            </w:r>
          </w:p>
        </w:tc>
        <w:tc>
          <w:tcPr>
            <w:tcW w:w="1442" w:type="pct"/>
            <w:gridSpan w:val="2"/>
            <w:tcBorders>
              <w:left w:val="single" w:sz="4" w:space="0" w:color="auto"/>
              <w:right w:val="single" w:sz="4" w:space="0" w:color="auto"/>
            </w:tcBorders>
            <w:vAlign w:val="center"/>
          </w:tcPr>
          <w:p w14:paraId="07FAFDC4" w14:textId="37255201" w:rsidR="004A3490" w:rsidRPr="005B52E6" w:rsidRDefault="004A3490" w:rsidP="004A3490">
            <w:pPr>
              <w:jc w:val="center"/>
              <w:rPr>
                <w:rFonts w:cs="Times New Roman"/>
                <w:sz w:val="22"/>
              </w:rPr>
            </w:pPr>
            <w:r w:rsidRPr="005B52E6">
              <w:rPr>
                <w:rFonts w:cs="Times New Roman"/>
                <w:sz w:val="22"/>
              </w:rPr>
              <w:t>.97</w:t>
            </w:r>
          </w:p>
        </w:tc>
        <w:tc>
          <w:tcPr>
            <w:tcW w:w="1539" w:type="pct"/>
            <w:gridSpan w:val="2"/>
            <w:tcBorders>
              <w:left w:val="single" w:sz="4" w:space="0" w:color="auto"/>
              <w:right w:val="single" w:sz="4" w:space="0" w:color="auto"/>
            </w:tcBorders>
            <w:vAlign w:val="center"/>
          </w:tcPr>
          <w:p w14:paraId="42E5F622" w14:textId="5064FF5E" w:rsidR="004A3490" w:rsidRPr="005B52E6" w:rsidRDefault="004A3490" w:rsidP="004A3490">
            <w:pPr>
              <w:jc w:val="center"/>
              <w:rPr>
                <w:rFonts w:cs="Times New Roman"/>
                <w:sz w:val="22"/>
              </w:rPr>
            </w:pPr>
            <w:r w:rsidRPr="005B52E6">
              <w:rPr>
                <w:rFonts w:cs="Times New Roman"/>
                <w:sz w:val="22"/>
              </w:rPr>
              <w:t>.47</w:t>
            </w:r>
          </w:p>
        </w:tc>
        <w:tc>
          <w:tcPr>
            <w:tcW w:w="815" w:type="pct"/>
            <w:tcBorders>
              <w:left w:val="single" w:sz="4" w:space="0" w:color="auto"/>
            </w:tcBorders>
          </w:tcPr>
          <w:p w14:paraId="0B205D75" w14:textId="77777777" w:rsidR="004A3490" w:rsidRPr="005B52E6" w:rsidRDefault="004A3490" w:rsidP="004A3490">
            <w:pPr>
              <w:rPr>
                <w:rFonts w:cs="Times New Roman"/>
                <w:b/>
                <w:sz w:val="22"/>
              </w:rPr>
            </w:pPr>
          </w:p>
        </w:tc>
      </w:tr>
      <w:tr w:rsidR="004A3490" w:rsidRPr="005B52E6" w14:paraId="46D2728A" w14:textId="77777777" w:rsidTr="00951106">
        <w:tc>
          <w:tcPr>
            <w:tcW w:w="1204" w:type="pct"/>
            <w:tcBorders>
              <w:right w:val="single" w:sz="4" w:space="0" w:color="auto"/>
            </w:tcBorders>
            <w:vAlign w:val="center"/>
          </w:tcPr>
          <w:p w14:paraId="75A5E6FE" w14:textId="77777777" w:rsidR="004A3490" w:rsidRPr="005B52E6" w:rsidRDefault="004A3490" w:rsidP="004A3490">
            <w:pPr>
              <w:rPr>
                <w:rFonts w:cs="Times New Roman"/>
                <w:sz w:val="22"/>
              </w:rPr>
            </w:pPr>
            <w:r w:rsidRPr="005B52E6">
              <w:rPr>
                <w:rFonts w:cs="Times New Roman"/>
                <w:sz w:val="22"/>
              </w:rPr>
              <w:t>AIC</w:t>
            </w:r>
          </w:p>
        </w:tc>
        <w:tc>
          <w:tcPr>
            <w:tcW w:w="1442" w:type="pct"/>
            <w:gridSpan w:val="2"/>
            <w:tcBorders>
              <w:left w:val="single" w:sz="4" w:space="0" w:color="auto"/>
              <w:right w:val="single" w:sz="4" w:space="0" w:color="auto"/>
            </w:tcBorders>
            <w:vAlign w:val="center"/>
          </w:tcPr>
          <w:p w14:paraId="789B8898" w14:textId="6187E161" w:rsidR="004A3490" w:rsidRPr="005B52E6" w:rsidRDefault="004A3490" w:rsidP="004A3490">
            <w:pPr>
              <w:pStyle w:val="HTMLPreformatted"/>
              <w:shd w:val="clear" w:color="auto" w:fill="FFFFFF"/>
              <w:wordWrap w:val="0"/>
              <w:spacing w:line="225" w:lineRule="atLeast"/>
              <w:jc w:val="center"/>
              <w:rPr>
                <w:rFonts w:ascii="Times New Roman" w:hAnsi="Times New Roman" w:cs="Times New Roman"/>
                <w:color w:val="000000"/>
                <w:sz w:val="22"/>
                <w:szCs w:val="22"/>
              </w:rPr>
            </w:pPr>
            <w:r w:rsidRPr="005B52E6">
              <w:rPr>
                <w:rFonts w:ascii="Times New Roman" w:hAnsi="Times New Roman" w:cs="Times New Roman"/>
                <w:color w:val="000000"/>
                <w:sz w:val="22"/>
                <w:szCs w:val="22"/>
              </w:rPr>
              <w:t>-1282.35</w:t>
            </w:r>
          </w:p>
        </w:tc>
        <w:tc>
          <w:tcPr>
            <w:tcW w:w="1539" w:type="pct"/>
            <w:gridSpan w:val="2"/>
            <w:tcBorders>
              <w:left w:val="single" w:sz="4" w:space="0" w:color="auto"/>
              <w:right w:val="single" w:sz="4" w:space="0" w:color="auto"/>
            </w:tcBorders>
            <w:vAlign w:val="center"/>
          </w:tcPr>
          <w:p w14:paraId="01D425D6" w14:textId="0EDB5513" w:rsidR="004A3490" w:rsidRPr="005B52E6" w:rsidRDefault="004A3490" w:rsidP="004A3490">
            <w:pPr>
              <w:pStyle w:val="HTMLPreformatted"/>
              <w:shd w:val="clear" w:color="auto" w:fill="FFFFFF"/>
              <w:wordWrap w:val="0"/>
              <w:spacing w:line="225" w:lineRule="atLeast"/>
              <w:jc w:val="center"/>
              <w:rPr>
                <w:rFonts w:ascii="Times New Roman" w:hAnsi="Times New Roman" w:cs="Times New Roman"/>
                <w:color w:val="000000"/>
                <w:sz w:val="22"/>
                <w:szCs w:val="22"/>
              </w:rPr>
            </w:pPr>
            <w:r w:rsidRPr="005B52E6">
              <w:rPr>
                <w:rFonts w:ascii="Times New Roman" w:hAnsi="Times New Roman" w:cs="Times New Roman"/>
                <w:color w:val="000000"/>
                <w:sz w:val="22"/>
                <w:szCs w:val="22"/>
              </w:rPr>
              <w:t>-1077.51</w:t>
            </w:r>
          </w:p>
        </w:tc>
        <w:tc>
          <w:tcPr>
            <w:tcW w:w="815" w:type="pct"/>
            <w:tcBorders>
              <w:left w:val="single" w:sz="4" w:space="0" w:color="auto"/>
            </w:tcBorders>
          </w:tcPr>
          <w:p w14:paraId="42BC2489" w14:textId="77777777" w:rsidR="004A3490" w:rsidRPr="005B52E6" w:rsidRDefault="004A3490" w:rsidP="004A3490">
            <w:pPr>
              <w:rPr>
                <w:rFonts w:cs="Times New Roman"/>
                <w:b/>
                <w:sz w:val="22"/>
              </w:rPr>
            </w:pPr>
          </w:p>
        </w:tc>
      </w:tr>
    </w:tbl>
    <w:p w14:paraId="6256D2A8" w14:textId="77777777" w:rsidR="008F1AF3" w:rsidRDefault="008F1AF3" w:rsidP="008F1AF3">
      <w:pPr>
        <w:spacing w:after="0" w:line="480" w:lineRule="auto"/>
        <w:rPr>
          <w:sz w:val="20"/>
          <w:szCs w:val="20"/>
        </w:rPr>
      </w:pPr>
      <w:r>
        <w:rPr>
          <w:sz w:val="20"/>
          <w:szCs w:val="20"/>
        </w:rPr>
        <w:t xml:space="preserve">*** Significant at the 1% level; ** Significant at the 5% level; * Significant at the 10% level </w:t>
      </w:r>
    </w:p>
    <w:p w14:paraId="7EE727D1" w14:textId="7F52C810" w:rsidR="003B4C94" w:rsidRPr="00452C0F" w:rsidRDefault="00452C0F" w:rsidP="00452C0F">
      <w:pPr>
        <w:keepNext/>
        <w:spacing w:after="0" w:line="480" w:lineRule="auto"/>
      </w:pPr>
      <w:r>
        <w:lastRenderedPageBreak/>
        <w:t xml:space="preserve">As a robustness check, Table 4 provides the results of appropriate regression with ARIMA error specifications after being applied to an index on investment grade municipal bonds and high yield municipal bonds </w:t>
      </w:r>
      <w:r w:rsidR="001573BF">
        <w:t>with the exclusion of</w:t>
      </w:r>
      <w:r>
        <w:t xml:space="preserve"> Puerto Rico </w:t>
      </w:r>
      <w:r w:rsidR="00CA3A17">
        <w:t xml:space="preserve">from </w:t>
      </w:r>
      <w:r>
        <w:t>2010-2017</w:t>
      </w:r>
      <w:r>
        <w:rPr>
          <w:rStyle w:val="FootnoteReference"/>
        </w:rPr>
        <w:footnoteReference w:id="4"/>
      </w:r>
      <w:r w:rsidR="00711735">
        <w:t>, due to Puerto Rico’s potential of being an out</w:t>
      </w:r>
      <w:r w:rsidR="004236F2">
        <w:t>lier (</w:t>
      </w:r>
      <w:proofErr w:type="spellStart"/>
      <w:r w:rsidR="004236F2">
        <w:t>DePersio</w:t>
      </w:r>
      <w:proofErr w:type="spellEnd"/>
      <w:r w:rsidR="004236F2">
        <w:t xml:space="preserve">, 2017). </w:t>
      </w:r>
    </w:p>
    <w:p w14:paraId="1511FAF2" w14:textId="0F35515A" w:rsidR="00AA1F2A" w:rsidRPr="00FA2CDC" w:rsidRDefault="00FA2CDC" w:rsidP="00FA2CDC">
      <w:pPr>
        <w:pStyle w:val="Caption"/>
        <w:rPr>
          <w:b/>
          <w:i w:val="0"/>
          <w:color w:val="000000" w:themeColor="text1"/>
          <w:sz w:val="24"/>
          <w:szCs w:val="24"/>
        </w:rPr>
      </w:pPr>
      <w:r w:rsidRPr="00FA2CDC">
        <w:rPr>
          <w:b/>
          <w:i w:val="0"/>
          <w:color w:val="000000" w:themeColor="text1"/>
          <w:sz w:val="24"/>
          <w:szCs w:val="24"/>
        </w:rPr>
        <w:t xml:space="preserve">Table </w:t>
      </w:r>
      <w:r w:rsidRPr="00FA2CDC">
        <w:rPr>
          <w:b/>
          <w:i w:val="0"/>
          <w:color w:val="000000" w:themeColor="text1"/>
          <w:sz w:val="24"/>
          <w:szCs w:val="24"/>
        </w:rPr>
        <w:fldChar w:fldCharType="begin"/>
      </w:r>
      <w:r w:rsidRPr="00FA2CDC">
        <w:rPr>
          <w:b/>
          <w:i w:val="0"/>
          <w:color w:val="000000" w:themeColor="text1"/>
          <w:sz w:val="24"/>
          <w:szCs w:val="24"/>
        </w:rPr>
        <w:instrText xml:space="preserve"> SEQ Table \* ARABIC </w:instrText>
      </w:r>
      <w:r w:rsidRPr="00FA2CDC">
        <w:rPr>
          <w:b/>
          <w:i w:val="0"/>
          <w:color w:val="000000" w:themeColor="text1"/>
          <w:sz w:val="24"/>
          <w:szCs w:val="24"/>
        </w:rPr>
        <w:fldChar w:fldCharType="separate"/>
      </w:r>
      <w:r w:rsidR="0009609F">
        <w:rPr>
          <w:b/>
          <w:i w:val="0"/>
          <w:noProof/>
          <w:color w:val="000000" w:themeColor="text1"/>
          <w:sz w:val="24"/>
          <w:szCs w:val="24"/>
        </w:rPr>
        <w:t>4</w:t>
      </w:r>
      <w:r w:rsidRPr="00FA2CDC">
        <w:rPr>
          <w:b/>
          <w:i w:val="0"/>
          <w:color w:val="000000" w:themeColor="text1"/>
          <w:sz w:val="24"/>
          <w:szCs w:val="24"/>
        </w:rPr>
        <w:fldChar w:fldCharType="end"/>
      </w:r>
    </w:p>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2252"/>
        <w:gridCol w:w="1436"/>
        <w:gridCol w:w="1260"/>
        <w:gridCol w:w="1438"/>
        <w:gridCol w:w="1440"/>
        <w:gridCol w:w="1524"/>
      </w:tblGrid>
      <w:tr w:rsidR="00827C19" w:rsidRPr="00E73D07" w14:paraId="3AEA4CD8" w14:textId="77777777" w:rsidTr="00745FAB">
        <w:tc>
          <w:tcPr>
            <w:tcW w:w="1204" w:type="pct"/>
            <w:tcBorders>
              <w:right w:val="single" w:sz="4" w:space="0" w:color="auto"/>
            </w:tcBorders>
          </w:tcPr>
          <w:p w14:paraId="3FC30693" w14:textId="77777777" w:rsidR="00827C19" w:rsidRPr="00E73D07" w:rsidRDefault="00827C19" w:rsidP="005C6BF6">
            <w:pPr>
              <w:rPr>
                <w:rFonts w:cs="Times New Roman"/>
                <w:b/>
                <w:sz w:val="22"/>
              </w:rPr>
            </w:pPr>
            <w:r w:rsidRPr="00E73D07">
              <w:rPr>
                <w:rFonts w:cs="Times New Roman"/>
                <w:b/>
                <w:sz w:val="22"/>
              </w:rPr>
              <w:t>Municipal Bonds</w:t>
            </w:r>
          </w:p>
        </w:tc>
        <w:tc>
          <w:tcPr>
            <w:tcW w:w="1442" w:type="pct"/>
            <w:gridSpan w:val="2"/>
            <w:tcBorders>
              <w:left w:val="single" w:sz="4" w:space="0" w:color="auto"/>
              <w:right w:val="single" w:sz="4" w:space="0" w:color="auto"/>
            </w:tcBorders>
          </w:tcPr>
          <w:p w14:paraId="37E00547" w14:textId="529A06B3" w:rsidR="00827C19" w:rsidRPr="00E73D07" w:rsidRDefault="00827C19" w:rsidP="005C6BF6">
            <w:pPr>
              <w:rPr>
                <w:rFonts w:cs="Times New Roman"/>
                <w:b/>
                <w:sz w:val="22"/>
              </w:rPr>
            </w:pPr>
            <w:r w:rsidRPr="00E73D07">
              <w:rPr>
                <w:rFonts w:cs="Times New Roman"/>
                <w:b/>
                <w:sz w:val="22"/>
              </w:rPr>
              <w:t>Investment Grade: M(</w:t>
            </w:r>
            <w:r w:rsidR="00CD20B7" w:rsidRPr="00E73D07">
              <w:rPr>
                <w:rFonts w:cs="Times New Roman"/>
                <w:b/>
                <w:sz w:val="22"/>
              </w:rPr>
              <w:t>6</w:t>
            </w:r>
            <w:r w:rsidRPr="00E73D07">
              <w:rPr>
                <w:rFonts w:cs="Times New Roman"/>
                <w:b/>
                <w:sz w:val="22"/>
              </w:rPr>
              <w:t>)</w:t>
            </w:r>
          </w:p>
        </w:tc>
        <w:tc>
          <w:tcPr>
            <w:tcW w:w="1539" w:type="pct"/>
            <w:gridSpan w:val="2"/>
            <w:tcBorders>
              <w:left w:val="single" w:sz="4" w:space="0" w:color="auto"/>
            </w:tcBorders>
          </w:tcPr>
          <w:p w14:paraId="28374066" w14:textId="688D5C08" w:rsidR="00827C19" w:rsidRPr="00E73D07" w:rsidRDefault="00827C19" w:rsidP="005C6BF6">
            <w:pPr>
              <w:rPr>
                <w:rFonts w:cs="Times New Roman"/>
                <w:b/>
                <w:sz w:val="22"/>
              </w:rPr>
            </w:pPr>
            <w:r w:rsidRPr="00E73D07">
              <w:rPr>
                <w:rFonts w:cs="Times New Roman"/>
                <w:b/>
                <w:sz w:val="22"/>
              </w:rPr>
              <w:t>Non-investment grade: M(</w:t>
            </w:r>
            <w:r w:rsidR="00CD20B7" w:rsidRPr="00E73D07">
              <w:rPr>
                <w:rFonts w:cs="Times New Roman"/>
                <w:b/>
                <w:sz w:val="22"/>
              </w:rPr>
              <w:t>7</w:t>
            </w:r>
            <w:r w:rsidR="0013273F" w:rsidRPr="00E73D07">
              <w:rPr>
                <w:rFonts w:cs="Times New Roman"/>
                <w:b/>
                <w:sz w:val="22"/>
              </w:rPr>
              <w:t>)</w:t>
            </w:r>
          </w:p>
        </w:tc>
        <w:tc>
          <w:tcPr>
            <w:tcW w:w="815" w:type="pct"/>
          </w:tcPr>
          <w:p w14:paraId="6AAE4718" w14:textId="3617C0D8" w:rsidR="00827C19" w:rsidRPr="00E73D07" w:rsidRDefault="00827C19" w:rsidP="005C6BF6">
            <w:pPr>
              <w:rPr>
                <w:rFonts w:cs="Times New Roman"/>
                <w:b/>
                <w:sz w:val="22"/>
              </w:rPr>
            </w:pPr>
            <w:r w:rsidRPr="00E73D07">
              <w:rPr>
                <w:rFonts w:cs="Times New Roman"/>
                <w:b/>
                <w:sz w:val="22"/>
              </w:rPr>
              <w:t>|M(</w:t>
            </w:r>
            <w:r w:rsidR="00CD20B7" w:rsidRPr="00E73D07">
              <w:rPr>
                <w:rFonts w:cs="Times New Roman"/>
                <w:b/>
                <w:sz w:val="22"/>
              </w:rPr>
              <w:t>6</w:t>
            </w:r>
            <w:r w:rsidRPr="00E73D07">
              <w:rPr>
                <w:rFonts w:cs="Times New Roman"/>
                <w:b/>
                <w:sz w:val="22"/>
              </w:rPr>
              <w:t>)| - |M(</w:t>
            </w:r>
            <w:r w:rsidR="00CD20B7" w:rsidRPr="00E73D07">
              <w:rPr>
                <w:rFonts w:cs="Times New Roman"/>
                <w:b/>
                <w:sz w:val="22"/>
              </w:rPr>
              <w:t>7</w:t>
            </w:r>
            <w:r w:rsidRPr="00E73D07">
              <w:rPr>
                <w:rFonts w:cs="Times New Roman"/>
                <w:b/>
                <w:sz w:val="22"/>
              </w:rPr>
              <w:t>)|</w:t>
            </w:r>
          </w:p>
        </w:tc>
      </w:tr>
      <w:tr w:rsidR="00827C19" w:rsidRPr="00E73D07" w14:paraId="77242772" w14:textId="77777777" w:rsidTr="00745FAB">
        <w:tc>
          <w:tcPr>
            <w:tcW w:w="1204" w:type="pct"/>
            <w:tcBorders>
              <w:bottom w:val="single" w:sz="4" w:space="0" w:color="auto"/>
              <w:right w:val="single" w:sz="4" w:space="0" w:color="auto"/>
            </w:tcBorders>
          </w:tcPr>
          <w:p w14:paraId="4992CE3D" w14:textId="77777777" w:rsidR="00827C19" w:rsidRPr="00E73D07" w:rsidRDefault="00827C19" w:rsidP="005C6BF6">
            <w:pPr>
              <w:rPr>
                <w:rFonts w:cs="Times New Roman"/>
                <w:b/>
                <w:sz w:val="22"/>
              </w:rPr>
            </w:pPr>
            <w:r w:rsidRPr="00E73D07">
              <w:rPr>
                <w:rFonts w:cs="Times New Roman"/>
                <w:b/>
                <w:sz w:val="22"/>
              </w:rPr>
              <w:t>2000-2017</w:t>
            </w:r>
          </w:p>
        </w:tc>
        <w:tc>
          <w:tcPr>
            <w:tcW w:w="768" w:type="pct"/>
            <w:tcBorders>
              <w:left w:val="single" w:sz="4" w:space="0" w:color="auto"/>
              <w:bottom w:val="single" w:sz="4" w:space="0" w:color="auto"/>
            </w:tcBorders>
          </w:tcPr>
          <w:p w14:paraId="1FFED6D9" w14:textId="77777777" w:rsidR="00827C19" w:rsidRPr="00E73D07" w:rsidRDefault="00827C19" w:rsidP="005C6BF6">
            <w:pPr>
              <w:rPr>
                <w:rFonts w:cs="Times New Roman"/>
                <w:b/>
                <w:sz w:val="22"/>
              </w:rPr>
            </w:pPr>
            <w:r w:rsidRPr="00E73D07">
              <w:rPr>
                <w:rFonts w:cs="Times New Roman"/>
                <w:b/>
                <w:sz w:val="22"/>
              </w:rPr>
              <w:t>Co-efficients</w:t>
            </w:r>
          </w:p>
        </w:tc>
        <w:tc>
          <w:tcPr>
            <w:tcW w:w="674" w:type="pct"/>
            <w:tcBorders>
              <w:bottom w:val="single" w:sz="4" w:space="0" w:color="auto"/>
              <w:right w:val="single" w:sz="4" w:space="0" w:color="auto"/>
            </w:tcBorders>
          </w:tcPr>
          <w:p w14:paraId="0E8510C3" w14:textId="77777777" w:rsidR="00827C19" w:rsidRPr="00E73D07" w:rsidRDefault="00827C19" w:rsidP="005C6BF6">
            <w:pPr>
              <w:rPr>
                <w:rFonts w:cs="Times New Roman"/>
                <w:b/>
                <w:sz w:val="22"/>
              </w:rPr>
            </w:pPr>
            <w:r w:rsidRPr="00E73D07">
              <w:rPr>
                <w:rFonts w:cs="Times New Roman"/>
                <w:b/>
                <w:sz w:val="22"/>
              </w:rPr>
              <w:t>Std. Error</w:t>
            </w:r>
          </w:p>
        </w:tc>
        <w:tc>
          <w:tcPr>
            <w:tcW w:w="769" w:type="pct"/>
            <w:tcBorders>
              <w:left w:val="single" w:sz="4" w:space="0" w:color="auto"/>
              <w:bottom w:val="single" w:sz="4" w:space="0" w:color="auto"/>
            </w:tcBorders>
          </w:tcPr>
          <w:p w14:paraId="21E0B8B9" w14:textId="77777777" w:rsidR="00827C19" w:rsidRPr="00E73D07" w:rsidRDefault="00827C19" w:rsidP="005C6BF6">
            <w:pPr>
              <w:rPr>
                <w:rFonts w:cs="Times New Roman"/>
                <w:b/>
                <w:sz w:val="22"/>
              </w:rPr>
            </w:pPr>
            <w:r w:rsidRPr="00E73D07">
              <w:rPr>
                <w:rFonts w:cs="Times New Roman"/>
                <w:b/>
                <w:sz w:val="22"/>
              </w:rPr>
              <w:t>Co-efficients</w:t>
            </w:r>
          </w:p>
        </w:tc>
        <w:tc>
          <w:tcPr>
            <w:tcW w:w="770" w:type="pct"/>
            <w:tcBorders>
              <w:bottom w:val="single" w:sz="4" w:space="0" w:color="auto"/>
            </w:tcBorders>
          </w:tcPr>
          <w:p w14:paraId="451B474E" w14:textId="77777777" w:rsidR="00827C19" w:rsidRPr="00E73D07" w:rsidRDefault="00827C19" w:rsidP="005C6BF6">
            <w:pPr>
              <w:rPr>
                <w:rFonts w:cs="Times New Roman"/>
                <w:b/>
                <w:sz w:val="22"/>
              </w:rPr>
            </w:pPr>
            <w:r w:rsidRPr="00E73D07">
              <w:rPr>
                <w:rFonts w:cs="Times New Roman"/>
                <w:b/>
                <w:sz w:val="22"/>
              </w:rPr>
              <w:t>Std. Error</w:t>
            </w:r>
          </w:p>
        </w:tc>
        <w:tc>
          <w:tcPr>
            <w:tcW w:w="815" w:type="pct"/>
            <w:tcBorders>
              <w:bottom w:val="single" w:sz="4" w:space="0" w:color="auto"/>
            </w:tcBorders>
          </w:tcPr>
          <w:p w14:paraId="428B5AB8" w14:textId="77777777" w:rsidR="00827C19" w:rsidRPr="00E73D07" w:rsidRDefault="00827C19" w:rsidP="005C6BF6">
            <w:pPr>
              <w:rPr>
                <w:rFonts w:cs="Times New Roman"/>
                <w:b/>
                <w:sz w:val="22"/>
              </w:rPr>
            </w:pPr>
            <w:r w:rsidRPr="00E73D07">
              <w:rPr>
                <w:rFonts w:cs="Times New Roman"/>
                <w:b/>
                <w:sz w:val="22"/>
              </w:rPr>
              <w:t>Difference</w:t>
            </w:r>
          </w:p>
        </w:tc>
      </w:tr>
      <w:tr w:rsidR="00827C19" w:rsidRPr="00E73D07" w14:paraId="3A6EFDAC" w14:textId="77777777" w:rsidTr="00745FAB">
        <w:tc>
          <w:tcPr>
            <w:tcW w:w="1204" w:type="pct"/>
            <w:tcBorders>
              <w:top w:val="single" w:sz="4" w:space="0" w:color="auto"/>
              <w:right w:val="single" w:sz="4" w:space="0" w:color="auto"/>
            </w:tcBorders>
          </w:tcPr>
          <w:p w14:paraId="410A421D" w14:textId="77777777" w:rsidR="00827C19" w:rsidRPr="00E73D07" w:rsidRDefault="00827C19" w:rsidP="005C6BF6">
            <w:pPr>
              <w:rPr>
                <w:rFonts w:cs="Times New Roman"/>
                <w:sz w:val="22"/>
              </w:rPr>
            </w:pPr>
          </w:p>
        </w:tc>
        <w:tc>
          <w:tcPr>
            <w:tcW w:w="768" w:type="pct"/>
            <w:tcBorders>
              <w:top w:val="single" w:sz="4" w:space="0" w:color="auto"/>
              <w:left w:val="single" w:sz="4" w:space="0" w:color="auto"/>
            </w:tcBorders>
          </w:tcPr>
          <w:p w14:paraId="41973C8F" w14:textId="77777777" w:rsidR="00827C19" w:rsidRPr="00E73D07" w:rsidRDefault="00827C19" w:rsidP="005C6BF6">
            <w:pPr>
              <w:rPr>
                <w:rFonts w:cs="Times New Roman"/>
                <w:sz w:val="22"/>
              </w:rPr>
            </w:pPr>
          </w:p>
        </w:tc>
        <w:tc>
          <w:tcPr>
            <w:tcW w:w="674" w:type="pct"/>
            <w:tcBorders>
              <w:top w:val="single" w:sz="4" w:space="0" w:color="auto"/>
              <w:right w:val="single" w:sz="4" w:space="0" w:color="auto"/>
            </w:tcBorders>
          </w:tcPr>
          <w:p w14:paraId="61FB149C" w14:textId="77777777" w:rsidR="00827C19" w:rsidRPr="00E73D07" w:rsidRDefault="00827C19" w:rsidP="005C6BF6">
            <w:pPr>
              <w:rPr>
                <w:rFonts w:cs="Times New Roman"/>
                <w:sz w:val="22"/>
              </w:rPr>
            </w:pPr>
          </w:p>
        </w:tc>
        <w:tc>
          <w:tcPr>
            <w:tcW w:w="769" w:type="pct"/>
            <w:tcBorders>
              <w:top w:val="single" w:sz="4" w:space="0" w:color="auto"/>
              <w:left w:val="single" w:sz="4" w:space="0" w:color="auto"/>
            </w:tcBorders>
          </w:tcPr>
          <w:p w14:paraId="78529CA1" w14:textId="77777777" w:rsidR="00827C19" w:rsidRPr="00E73D07" w:rsidRDefault="00827C19" w:rsidP="005C6BF6">
            <w:pPr>
              <w:rPr>
                <w:rFonts w:cs="Times New Roman"/>
                <w:sz w:val="22"/>
              </w:rPr>
            </w:pPr>
          </w:p>
        </w:tc>
        <w:tc>
          <w:tcPr>
            <w:tcW w:w="770" w:type="pct"/>
            <w:tcBorders>
              <w:top w:val="single" w:sz="4" w:space="0" w:color="auto"/>
            </w:tcBorders>
          </w:tcPr>
          <w:p w14:paraId="144FC547" w14:textId="77777777" w:rsidR="00827C19" w:rsidRPr="00E73D07" w:rsidRDefault="00827C19" w:rsidP="005C6BF6">
            <w:pPr>
              <w:rPr>
                <w:rFonts w:cs="Times New Roman"/>
                <w:sz w:val="22"/>
              </w:rPr>
            </w:pPr>
          </w:p>
        </w:tc>
        <w:tc>
          <w:tcPr>
            <w:tcW w:w="815" w:type="pct"/>
            <w:tcBorders>
              <w:top w:val="single" w:sz="4" w:space="0" w:color="auto"/>
            </w:tcBorders>
          </w:tcPr>
          <w:p w14:paraId="534FE0C6" w14:textId="77777777" w:rsidR="00827C19" w:rsidRPr="00E73D07" w:rsidRDefault="00827C19" w:rsidP="005C6BF6">
            <w:pPr>
              <w:rPr>
                <w:rFonts w:cs="Times New Roman"/>
                <w:b/>
                <w:sz w:val="22"/>
              </w:rPr>
            </w:pPr>
          </w:p>
        </w:tc>
      </w:tr>
      <w:tr w:rsidR="004D51EA" w:rsidRPr="00E73D07" w14:paraId="55F94C09" w14:textId="77777777" w:rsidTr="00745FAB">
        <w:tc>
          <w:tcPr>
            <w:tcW w:w="1204" w:type="pct"/>
            <w:tcBorders>
              <w:right w:val="single" w:sz="4" w:space="0" w:color="auto"/>
            </w:tcBorders>
            <w:vAlign w:val="center"/>
          </w:tcPr>
          <w:p w14:paraId="4F067EFC" w14:textId="77777777" w:rsidR="004D51EA" w:rsidRPr="00E73D07" w:rsidRDefault="004D51EA" w:rsidP="004D51EA">
            <w:pPr>
              <w:rPr>
                <w:rFonts w:cs="Times New Roman"/>
                <w:i/>
                <w:sz w:val="22"/>
              </w:rPr>
            </w:pPr>
            <w:r w:rsidRPr="00E73D07">
              <w:rPr>
                <w:rFonts w:cs="Times New Roman"/>
                <w:i/>
                <w:color w:val="000000"/>
                <w:sz w:val="22"/>
              </w:rPr>
              <w:t>February</w:t>
            </w:r>
          </w:p>
        </w:tc>
        <w:tc>
          <w:tcPr>
            <w:tcW w:w="768" w:type="pct"/>
            <w:tcBorders>
              <w:left w:val="single" w:sz="4" w:space="0" w:color="auto"/>
            </w:tcBorders>
            <w:vAlign w:val="center"/>
          </w:tcPr>
          <w:p w14:paraId="474258AC" w14:textId="3FFD6526" w:rsidR="004D51EA" w:rsidRPr="00E73D07" w:rsidRDefault="004D51EA" w:rsidP="004D51EA">
            <w:pPr>
              <w:jc w:val="right"/>
              <w:rPr>
                <w:rFonts w:cs="Times New Roman"/>
                <w:sz w:val="22"/>
              </w:rPr>
            </w:pPr>
            <w:r w:rsidRPr="00E73D07">
              <w:rPr>
                <w:rFonts w:cs="Times New Roman"/>
                <w:color w:val="000000"/>
                <w:sz w:val="22"/>
              </w:rPr>
              <w:t>-0.53%</w:t>
            </w:r>
          </w:p>
        </w:tc>
        <w:tc>
          <w:tcPr>
            <w:tcW w:w="674" w:type="pct"/>
            <w:tcBorders>
              <w:right w:val="single" w:sz="4" w:space="0" w:color="auto"/>
            </w:tcBorders>
            <w:vAlign w:val="center"/>
          </w:tcPr>
          <w:p w14:paraId="57509121" w14:textId="771E4B40" w:rsidR="004D51EA" w:rsidRPr="00E73D07" w:rsidRDefault="004D51EA" w:rsidP="004D51EA">
            <w:pPr>
              <w:jc w:val="right"/>
              <w:rPr>
                <w:rFonts w:cs="Times New Roman"/>
                <w:sz w:val="22"/>
              </w:rPr>
            </w:pPr>
            <w:r w:rsidRPr="00E73D07">
              <w:rPr>
                <w:rFonts w:cs="Times New Roman"/>
                <w:color w:val="000000"/>
                <w:sz w:val="22"/>
              </w:rPr>
              <w:t>0.004</w:t>
            </w:r>
          </w:p>
        </w:tc>
        <w:tc>
          <w:tcPr>
            <w:tcW w:w="769" w:type="pct"/>
            <w:tcBorders>
              <w:left w:val="single" w:sz="4" w:space="0" w:color="auto"/>
            </w:tcBorders>
            <w:vAlign w:val="center"/>
          </w:tcPr>
          <w:p w14:paraId="48DC863D" w14:textId="6C14CD1A" w:rsidR="004D51EA" w:rsidRPr="00E73D07" w:rsidRDefault="004D51EA" w:rsidP="004D51EA">
            <w:pPr>
              <w:jc w:val="right"/>
              <w:rPr>
                <w:rFonts w:cs="Times New Roman"/>
                <w:sz w:val="22"/>
              </w:rPr>
            </w:pPr>
            <w:r w:rsidRPr="00E73D07">
              <w:rPr>
                <w:rFonts w:cs="Times New Roman"/>
                <w:color w:val="000000"/>
                <w:sz w:val="22"/>
              </w:rPr>
              <w:t>-0.81%</w:t>
            </w:r>
            <w:r w:rsidR="00686AE7">
              <w:rPr>
                <w:rFonts w:cs="Times New Roman"/>
                <w:color w:val="000000"/>
                <w:sz w:val="22"/>
              </w:rPr>
              <w:t>**</w:t>
            </w:r>
          </w:p>
        </w:tc>
        <w:tc>
          <w:tcPr>
            <w:tcW w:w="770" w:type="pct"/>
            <w:vAlign w:val="center"/>
          </w:tcPr>
          <w:p w14:paraId="4F16B78A" w14:textId="1ACA985A" w:rsidR="004D51EA" w:rsidRPr="00E73D07" w:rsidRDefault="004D51EA" w:rsidP="004D51EA">
            <w:pPr>
              <w:jc w:val="right"/>
              <w:rPr>
                <w:rFonts w:cs="Times New Roman"/>
                <w:sz w:val="22"/>
              </w:rPr>
            </w:pPr>
            <w:r w:rsidRPr="00E73D07">
              <w:rPr>
                <w:rFonts w:cs="Times New Roman"/>
                <w:color w:val="000000"/>
                <w:sz w:val="22"/>
              </w:rPr>
              <w:t>0.004</w:t>
            </w:r>
          </w:p>
        </w:tc>
        <w:tc>
          <w:tcPr>
            <w:tcW w:w="815" w:type="pct"/>
            <w:vAlign w:val="bottom"/>
          </w:tcPr>
          <w:p w14:paraId="358BF9C2" w14:textId="335CB4F6" w:rsidR="004D51EA" w:rsidRPr="00E73D07" w:rsidRDefault="004D51EA" w:rsidP="004D51EA">
            <w:pPr>
              <w:jc w:val="right"/>
              <w:rPr>
                <w:rFonts w:cs="Times New Roman"/>
                <w:b/>
                <w:sz w:val="22"/>
              </w:rPr>
            </w:pPr>
            <w:r w:rsidRPr="00E73D07">
              <w:rPr>
                <w:rFonts w:cs="Times New Roman"/>
                <w:b/>
                <w:color w:val="000000"/>
                <w:sz w:val="22"/>
              </w:rPr>
              <w:t>-0.28%</w:t>
            </w:r>
          </w:p>
        </w:tc>
      </w:tr>
      <w:tr w:rsidR="004D51EA" w:rsidRPr="00E73D07" w14:paraId="388951F7" w14:textId="77777777" w:rsidTr="00745FAB">
        <w:tc>
          <w:tcPr>
            <w:tcW w:w="1204" w:type="pct"/>
            <w:tcBorders>
              <w:right w:val="single" w:sz="4" w:space="0" w:color="auto"/>
            </w:tcBorders>
            <w:vAlign w:val="center"/>
          </w:tcPr>
          <w:p w14:paraId="57E6D6D3" w14:textId="77777777" w:rsidR="004D51EA" w:rsidRPr="00E73D07" w:rsidRDefault="004D51EA" w:rsidP="004D51EA">
            <w:pPr>
              <w:rPr>
                <w:rFonts w:cs="Times New Roman"/>
                <w:i/>
                <w:sz w:val="22"/>
              </w:rPr>
            </w:pPr>
            <w:r w:rsidRPr="00E73D07">
              <w:rPr>
                <w:rFonts w:cs="Times New Roman"/>
                <w:i/>
                <w:color w:val="000000"/>
                <w:sz w:val="22"/>
              </w:rPr>
              <w:t>March</w:t>
            </w:r>
          </w:p>
        </w:tc>
        <w:tc>
          <w:tcPr>
            <w:tcW w:w="768" w:type="pct"/>
            <w:tcBorders>
              <w:left w:val="single" w:sz="4" w:space="0" w:color="auto"/>
            </w:tcBorders>
            <w:vAlign w:val="center"/>
          </w:tcPr>
          <w:p w14:paraId="4DCC4986" w14:textId="5FB3C815" w:rsidR="004D51EA" w:rsidRPr="00E73D07" w:rsidRDefault="004D51EA" w:rsidP="004D51EA">
            <w:pPr>
              <w:jc w:val="right"/>
              <w:rPr>
                <w:rFonts w:cs="Times New Roman"/>
                <w:sz w:val="22"/>
              </w:rPr>
            </w:pPr>
            <w:r w:rsidRPr="00E73D07">
              <w:rPr>
                <w:rFonts w:cs="Times New Roman"/>
                <w:color w:val="000000"/>
                <w:sz w:val="22"/>
              </w:rPr>
              <w:t>-1.11%**</w:t>
            </w:r>
          </w:p>
        </w:tc>
        <w:tc>
          <w:tcPr>
            <w:tcW w:w="674" w:type="pct"/>
            <w:tcBorders>
              <w:right w:val="single" w:sz="4" w:space="0" w:color="auto"/>
            </w:tcBorders>
            <w:vAlign w:val="center"/>
          </w:tcPr>
          <w:p w14:paraId="312D7099" w14:textId="2715A42E" w:rsidR="004D51EA" w:rsidRPr="00E73D07" w:rsidRDefault="004D51EA" w:rsidP="004D51EA">
            <w:pPr>
              <w:jc w:val="right"/>
              <w:rPr>
                <w:rFonts w:cs="Times New Roman"/>
                <w:sz w:val="22"/>
              </w:rPr>
            </w:pPr>
            <w:r w:rsidRPr="00E73D07">
              <w:rPr>
                <w:rFonts w:cs="Times New Roman"/>
                <w:color w:val="000000"/>
                <w:sz w:val="22"/>
              </w:rPr>
              <w:t>0.005</w:t>
            </w:r>
          </w:p>
        </w:tc>
        <w:tc>
          <w:tcPr>
            <w:tcW w:w="769" w:type="pct"/>
            <w:tcBorders>
              <w:left w:val="single" w:sz="4" w:space="0" w:color="auto"/>
            </w:tcBorders>
            <w:vAlign w:val="center"/>
          </w:tcPr>
          <w:p w14:paraId="37456C08" w14:textId="1A14F929" w:rsidR="004D51EA" w:rsidRPr="00E73D07" w:rsidRDefault="004D51EA" w:rsidP="004D51EA">
            <w:pPr>
              <w:jc w:val="right"/>
              <w:rPr>
                <w:rFonts w:cs="Times New Roman"/>
                <w:sz w:val="22"/>
              </w:rPr>
            </w:pPr>
            <w:r w:rsidRPr="00E73D07">
              <w:rPr>
                <w:rFonts w:cs="Times New Roman"/>
                <w:color w:val="000000"/>
                <w:sz w:val="22"/>
              </w:rPr>
              <w:t>-1.03%</w:t>
            </w:r>
            <w:r w:rsidR="00686AE7">
              <w:rPr>
                <w:rFonts w:cs="Times New Roman"/>
                <w:color w:val="000000"/>
                <w:sz w:val="22"/>
              </w:rPr>
              <w:t>**</w:t>
            </w:r>
          </w:p>
        </w:tc>
        <w:tc>
          <w:tcPr>
            <w:tcW w:w="770" w:type="pct"/>
            <w:vAlign w:val="center"/>
          </w:tcPr>
          <w:p w14:paraId="7D4E4F8F" w14:textId="7FF1D44A" w:rsidR="004D51EA" w:rsidRPr="00E73D07" w:rsidRDefault="004D51EA" w:rsidP="004D51EA">
            <w:pPr>
              <w:jc w:val="right"/>
              <w:rPr>
                <w:rFonts w:cs="Times New Roman"/>
                <w:sz w:val="22"/>
              </w:rPr>
            </w:pPr>
            <w:r w:rsidRPr="00E73D07">
              <w:rPr>
                <w:rFonts w:cs="Times New Roman"/>
                <w:color w:val="000000"/>
                <w:sz w:val="22"/>
              </w:rPr>
              <w:t>0.004</w:t>
            </w:r>
          </w:p>
        </w:tc>
        <w:tc>
          <w:tcPr>
            <w:tcW w:w="815" w:type="pct"/>
            <w:vAlign w:val="bottom"/>
          </w:tcPr>
          <w:p w14:paraId="404F2D4A" w14:textId="6C242722" w:rsidR="004D51EA" w:rsidRPr="00E73D07" w:rsidRDefault="004D51EA" w:rsidP="004D51EA">
            <w:pPr>
              <w:jc w:val="right"/>
              <w:rPr>
                <w:rFonts w:cs="Times New Roman"/>
                <w:b/>
                <w:sz w:val="22"/>
              </w:rPr>
            </w:pPr>
            <w:r w:rsidRPr="00E73D07">
              <w:rPr>
                <w:rFonts w:cs="Times New Roman"/>
                <w:b/>
                <w:color w:val="000000"/>
                <w:sz w:val="22"/>
              </w:rPr>
              <w:t>0.08%</w:t>
            </w:r>
          </w:p>
        </w:tc>
      </w:tr>
      <w:tr w:rsidR="004D51EA" w:rsidRPr="00E73D07" w14:paraId="192F9E20" w14:textId="77777777" w:rsidTr="00745FAB">
        <w:tc>
          <w:tcPr>
            <w:tcW w:w="1204" w:type="pct"/>
            <w:tcBorders>
              <w:right w:val="single" w:sz="4" w:space="0" w:color="auto"/>
            </w:tcBorders>
            <w:vAlign w:val="center"/>
          </w:tcPr>
          <w:p w14:paraId="071A41A8" w14:textId="77777777" w:rsidR="004D51EA" w:rsidRPr="00E73D07" w:rsidRDefault="004D51EA" w:rsidP="004D51EA">
            <w:pPr>
              <w:rPr>
                <w:rFonts w:cs="Times New Roman"/>
                <w:i/>
                <w:sz w:val="22"/>
              </w:rPr>
            </w:pPr>
            <w:r w:rsidRPr="00E73D07">
              <w:rPr>
                <w:rFonts w:cs="Times New Roman"/>
                <w:i/>
                <w:color w:val="000000"/>
                <w:sz w:val="22"/>
              </w:rPr>
              <w:t>April</w:t>
            </w:r>
          </w:p>
        </w:tc>
        <w:tc>
          <w:tcPr>
            <w:tcW w:w="768" w:type="pct"/>
            <w:tcBorders>
              <w:left w:val="single" w:sz="4" w:space="0" w:color="auto"/>
            </w:tcBorders>
            <w:vAlign w:val="center"/>
          </w:tcPr>
          <w:p w14:paraId="1555841B" w14:textId="04484A3D" w:rsidR="004D51EA" w:rsidRPr="00E73D07" w:rsidRDefault="004D51EA" w:rsidP="004D51EA">
            <w:pPr>
              <w:jc w:val="right"/>
              <w:rPr>
                <w:rFonts w:cs="Times New Roman"/>
                <w:sz w:val="22"/>
              </w:rPr>
            </w:pPr>
            <w:r w:rsidRPr="00E73D07">
              <w:rPr>
                <w:rFonts w:cs="Times New Roman"/>
                <w:color w:val="000000"/>
                <w:sz w:val="22"/>
              </w:rPr>
              <w:t>-0.10%</w:t>
            </w:r>
          </w:p>
        </w:tc>
        <w:tc>
          <w:tcPr>
            <w:tcW w:w="674" w:type="pct"/>
            <w:tcBorders>
              <w:right w:val="single" w:sz="4" w:space="0" w:color="auto"/>
            </w:tcBorders>
            <w:vAlign w:val="center"/>
          </w:tcPr>
          <w:p w14:paraId="0CB9AA85" w14:textId="6454AB3F" w:rsidR="004D51EA" w:rsidRPr="00E73D07" w:rsidRDefault="004D51EA" w:rsidP="004D51EA">
            <w:pPr>
              <w:jc w:val="right"/>
              <w:rPr>
                <w:rFonts w:cs="Times New Roman"/>
                <w:sz w:val="22"/>
              </w:rPr>
            </w:pPr>
            <w:r w:rsidRPr="00E73D07">
              <w:rPr>
                <w:rFonts w:cs="Times New Roman"/>
                <w:color w:val="000000"/>
                <w:sz w:val="22"/>
              </w:rPr>
              <w:t>0.005</w:t>
            </w:r>
          </w:p>
        </w:tc>
        <w:tc>
          <w:tcPr>
            <w:tcW w:w="769" w:type="pct"/>
            <w:tcBorders>
              <w:left w:val="single" w:sz="4" w:space="0" w:color="auto"/>
            </w:tcBorders>
            <w:vAlign w:val="center"/>
          </w:tcPr>
          <w:p w14:paraId="49CF7852" w14:textId="31E59DFF" w:rsidR="004D51EA" w:rsidRPr="00E73D07" w:rsidRDefault="004D51EA" w:rsidP="004D51EA">
            <w:pPr>
              <w:jc w:val="right"/>
              <w:rPr>
                <w:rFonts w:cs="Times New Roman"/>
                <w:sz w:val="22"/>
              </w:rPr>
            </w:pPr>
            <w:r w:rsidRPr="00E73D07">
              <w:rPr>
                <w:rFonts w:cs="Times New Roman"/>
                <w:color w:val="000000"/>
                <w:sz w:val="22"/>
              </w:rPr>
              <w:t>-0.39%</w:t>
            </w:r>
          </w:p>
        </w:tc>
        <w:tc>
          <w:tcPr>
            <w:tcW w:w="770" w:type="pct"/>
            <w:vAlign w:val="center"/>
          </w:tcPr>
          <w:p w14:paraId="3747D0FC" w14:textId="65CFF3E8" w:rsidR="004D51EA" w:rsidRPr="00E73D07" w:rsidRDefault="004D51EA" w:rsidP="004D51EA">
            <w:pPr>
              <w:jc w:val="right"/>
              <w:rPr>
                <w:rFonts w:cs="Times New Roman"/>
                <w:sz w:val="22"/>
              </w:rPr>
            </w:pPr>
            <w:r w:rsidRPr="00E73D07">
              <w:rPr>
                <w:rFonts w:cs="Times New Roman"/>
                <w:color w:val="000000"/>
                <w:sz w:val="22"/>
              </w:rPr>
              <w:t>0.005</w:t>
            </w:r>
          </w:p>
        </w:tc>
        <w:tc>
          <w:tcPr>
            <w:tcW w:w="815" w:type="pct"/>
            <w:vAlign w:val="bottom"/>
          </w:tcPr>
          <w:p w14:paraId="59291C4D" w14:textId="502DCA75" w:rsidR="004D51EA" w:rsidRPr="00E73D07" w:rsidRDefault="004D51EA" w:rsidP="004D51EA">
            <w:pPr>
              <w:jc w:val="right"/>
              <w:rPr>
                <w:rFonts w:cs="Times New Roman"/>
                <w:b/>
                <w:sz w:val="22"/>
              </w:rPr>
            </w:pPr>
            <w:r w:rsidRPr="00E73D07">
              <w:rPr>
                <w:rFonts w:cs="Times New Roman"/>
                <w:b/>
                <w:color w:val="000000"/>
                <w:sz w:val="22"/>
              </w:rPr>
              <w:t>-0.29%</w:t>
            </w:r>
          </w:p>
        </w:tc>
      </w:tr>
      <w:tr w:rsidR="004D51EA" w:rsidRPr="00E73D07" w14:paraId="50EA2DC8" w14:textId="77777777" w:rsidTr="00745FAB">
        <w:tc>
          <w:tcPr>
            <w:tcW w:w="1204" w:type="pct"/>
            <w:tcBorders>
              <w:right w:val="single" w:sz="4" w:space="0" w:color="auto"/>
            </w:tcBorders>
            <w:vAlign w:val="center"/>
          </w:tcPr>
          <w:p w14:paraId="52D1F788" w14:textId="77777777" w:rsidR="004D51EA" w:rsidRPr="00E73D07" w:rsidRDefault="004D51EA" w:rsidP="004D51EA">
            <w:pPr>
              <w:rPr>
                <w:rFonts w:cs="Times New Roman"/>
                <w:i/>
                <w:sz w:val="22"/>
              </w:rPr>
            </w:pPr>
            <w:r w:rsidRPr="00E73D07">
              <w:rPr>
                <w:rFonts w:cs="Times New Roman"/>
                <w:i/>
                <w:color w:val="000000"/>
                <w:sz w:val="22"/>
              </w:rPr>
              <w:t>May</w:t>
            </w:r>
          </w:p>
        </w:tc>
        <w:tc>
          <w:tcPr>
            <w:tcW w:w="768" w:type="pct"/>
            <w:tcBorders>
              <w:left w:val="single" w:sz="4" w:space="0" w:color="auto"/>
            </w:tcBorders>
            <w:vAlign w:val="center"/>
          </w:tcPr>
          <w:p w14:paraId="5C12084D" w14:textId="1F3A8CB8" w:rsidR="004D51EA" w:rsidRPr="00E73D07" w:rsidRDefault="004D51EA" w:rsidP="004D51EA">
            <w:pPr>
              <w:jc w:val="right"/>
              <w:rPr>
                <w:rFonts w:cs="Times New Roman"/>
                <w:sz w:val="22"/>
              </w:rPr>
            </w:pPr>
            <w:r w:rsidRPr="00E73D07">
              <w:rPr>
                <w:rFonts w:cs="Times New Roman"/>
                <w:color w:val="000000"/>
                <w:sz w:val="22"/>
              </w:rPr>
              <w:t>-0.41%</w:t>
            </w:r>
          </w:p>
        </w:tc>
        <w:tc>
          <w:tcPr>
            <w:tcW w:w="674" w:type="pct"/>
            <w:tcBorders>
              <w:right w:val="single" w:sz="4" w:space="0" w:color="auto"/>
            </w:tcBorders>
            <w:vAlign w:val="center"/>
          </w:tcPr>
          <w:p w14:paraId="3AD56164" w14:textId="243539D9" w:rsidR="004D51EA" w:rsidRPr="00E73D07" w:rsidRDefault="004D51EA" w:rsidP="004D51EA">
            <w:pPr>
              <w:jc w:val="right"/>
              <w:rPr>
                <w:rFonts w:cs="Times New Roman"/>
                <w:sz w:val="22"/>
              </w:rPr>
            </w:pPr>
            <w:r w:rsidRPr="00E73D07">
              <w:rPr>
                <w:rFonts w:cs="Times New Roman"/>
                <w:color w:val="000000"/>
                <w:sz w:val="22"/>
              </w:rPr>
              <w:t>0.005</w:t>
            </w:r>
          </w:p>
        </w:tc>
        <w:tc>
          <w:tcPr>
            <w:tcW w:w="769" w:type="pct"/>
            <w:tcBorders>
              <w:left w:val="single" w:sz="4" w:space="0" w:color="auto"/>
            </w:tcBorders>
            <w:vAlign w:val="center"/>
          </w:tcPr>
          <w:p w14:paraId="270616FE" w14:textId="50E62347" w:rsidR="004D51EA" w:rsidRPr="00E73D07" w:rsidRDefault="004D51EA" w:rsidP="004D51EA">
            <w:pPr>
              <w:jc w:val="right"/>
              <w:rPr>
                <w:rFonts w:cs="Times New Roman"/>
                <w:sz w:val="22"/>
              </w:rPr>
            </w:pPr>
            <w:r w:rsidRPr="00E73D07">
              <w:rPr>
                <w:rFonts w:cs="Times New Roman"/>
                <w:color w:val="000000"/>
                <w:sz w:val="22"/>
              </w:rPr>
              <w:t>-0.67%</w:t>
            </w:r>
          </w:p>
        </w:tc>
        <w:tc>
          <w:tcPr>
            <w:tcW w:w="770" w:type="pct"/>
            <w:vAlign w:val="center"/>
          </w:tcPr>
          <w:p w14:paraId="2FACC3B3" w14:textId="797BF43E" w:rsidR="004D51EA" w:rsidRPr="00E73D07" w:rsidRDefault="004D51EA" w:rsidP="004D51EA">
            <w:pPr>
              <w:jc w:val="right"/>
              <w:rPr>
                <w:rFonts w:cs="Times New Roman"/>
                <w:sz w:val="22"/>
              </w:rPr>
            </w:pPr>
            <w:r w:rsidRPr="00E73D07">
              <w:rPr>
                <w:rFonts w:cs="Times New Roman"/>
                <w:color w:val="000000"/>
                <w:sz w:val="22"/>
              </w:rPr>
              <w:t>0.004</w:t>
            </w:r>
          </w:p>
        </w:tc>
        <w:tc>
          <w:tcPr>
            <w:tcW w:w="815" w:type="pct"/>
            <w:vAlign w:val="bottom"/>
          </w:tcPr>
          <w:p w14:paraId="11DC7110" w14:textId="6F049E4E" w:rsidR="004D51EA" w:rsidRPr="00E73D07" w:rsidRDefault="004D51EA" w:rsidP="004D51EA">
            <w:pPr>
              <w:jc w:val="right"/>
              <w:rPr>
                <w:rFonts w:cs="Times New Roman"/>
                <w:b/>
                <w:sz w:val="22"/>
              </w:rPr>
            </w:pPr>
            <w:r w:rsidRPr="00E73D07">
              <w:rPr>
                <w:rFonts w:cs="Times New Roman"/>
                <w:b/>
                <w:color w:val="000000"/>
                <w:sz w:val="22"/>
              </w:rPr>
              <w:t>-0.26%</w:t>
            </w:r>
          </w:p>
        </w:tc>
      </w:tr>
      <w:tr w:rsidR="004D51EA" w:rsidRPr="00E73D07" w14:paraId="1015B3CA" w14:textId="77777777" w:rsidTr="00745FAB">
        <w:tc>
          <w:tcPr>
            <w:tcW w:w="1204" w:type="pct"/>
            <w:tcBorders>
              <w:right w:val="single" w:sz="4" w:space="0" w:color="auto"/>
            </w:tcBorders>
            <w:vAlign w:val="center"/>
          </w:tcPr>
          <w:p w14:paraId="42EB299F" w14:textId="77777777" w:rsidR="004D51EA" w:rsidRPr="00E73D07" w:rsidRDefault="004D51EA" w:rsidP="004D51EA">
            <w:pPr>
              <w:rPr>
                <w:rFonts w:cs="Times New Roman"/>
                <w:i/>
                <w:sz w:val="22"/>
              </w:rPr>
            </w:pPr>
            <w:r w:rsidRPr="00E73D07">
              <w:rPr>
                <w:rFonts w:cs="Times New Roman"/>
                <w:i/>
                <w:color w:val="000000"/>
                <w:sz w:val="22"/>
              </w:rPr>
              <w:t>June</w:t>
            </w:r>
          </w:p>
        </w:tc>
        <w:tc>
          <w:tcPr>
            <w:tcW w:w="768" w:type="pct"/>
            <w:tcBorders>
              <w:left w:val="single" w:sz="4" w:space="0" w:color="auto"/>
            </w:tcBorders>
            <w:vAlign w:val="center"/>
          </w:tcPr>
          <w:p w14:paraId="52A89C0A" w14:textId="081E6B65" w:rsidR="004D51EA" w:rsidRPr="00E73D07" w:rsidRDefault="004D51EA" w:rsidP="004D51EA">
            <w:pPr>
              <w:jc w:val="right"/>
              <w:rPr>
                <w:rFonts w:cs="Times New Roman"/>
                <w:sz w:val="22"/>
              </w:rPr>
            </w:pPr>
            <w:r w:rsidRPr="00E73D07">
              <w:rPr>
                <w:rFonts w:cs="Times New Roman"/>
                <w:color w:val="000000"/>
                <w:sz w:val="22"/>
              </w:rPr>
              <w:t>-1.19%***</w:t>
            </w:r>
          </w:p>
        </w:tc>
        <w:tc>
          <w:tcPr>
            <w:tcW w:w="674" w:type="pct"/>
            <w:tcBorders>
              <w:right w:val="single" w:sz="4" w:space="0" w:color="auto"/>
            </w:tcBorders>
            <w:vAlign w:val="center"/>
          </w:tcPr>
          <w:p w14:paraId="29771F53" w14:textId="756EEAEC" w:rsidR="004D51EA" w:rsidRPr="00E73D07" w:rsidRDefault="004D51EA" w:rsidP="004D51EA">
            <w:pPr>
              <w:jc w:val="right"/>
              <w:rPr>
                <w:rFonts w:cs="Times New Roman"/>
                <w:sz w:val="22"/>
              </w:rPr>
            </w:pPr>
            <w:r w:rsidRPr="00E73D07">
              <w:rPr>
                <w:rFonts w:cs="Times New Roman"/>
                <w:color w:val="000000"/>
                <w:sz w:val="22"/>
              </w:rPr>
              <w:t>0.005</w:t>
            </w:r>
          </w:p>
        </w:tc>
        <w:tc>
          <w:tcPr>
            <w:tcW w:w="769" w:type="pct"/>
            <w:tcBorders>
              <w:left w:val="single" w:sz="4" w:space="0" w:color="auto"/>
            </w:tcBorders>
            <w:vAlign w:val="center"/>
          </w:tcPr>
          <w:p w14:paraId="59F97803" w14:textId="19CEB9DB" w:rsidR="004D51EA" w:rsidRPr="00E73D07" w:rsidRDefault="004D51EA" w:rsidP="004D51EA">
            <w:pPr>
              <w:jc w:val="right"/>
              <w:rPr>
                <w:rFonts w:cs="Times New Roman"/>
                <w:sz w:val="22"/>
              </w:rPr>
            </w:pPr>
            <w:r w:rsidRPr="00E73D07">
              <w:rPr>
                <w:rFonts w:cs="Times New Roman"/>
                <w:color w:val="000000"/>
                <w:sz w:val="22"/>
              </w:rPr>
              <w:t>-2.03%</w:t>
            </w:r>
            <w:r w:rsidR="00686AE7">
              <w:rPr>
                <w:rFonts w:cs="Times New Roman"/>
                <w:color w:val="000000"/>
                <w:sz w:val="22"/>
              </w:rPr>
              <w:t>***</w:t>
            </w:r>
          </w:p>
        </w:tc>
        <w:tc>
          <w:tcPr>
            <w:tcW w:w="770" w:type="pct"/>
            <w:vAlign w:val="center"/>
          </w:tcPr>
          <w:p w14:paraId="527DE228" w14:textId="523ACAE2" w:rsidR="004D51EA" w:rsidRPr="00E73D07" w:rsidRDefault="004D51EA" w:rsidP="004D51EA">
            <w:pPr>
              <w:jc w:val="right"/>
              <w:rPr>
                <w:rFonts w:cs="Times New Roman"/>
                <w:sz w:val="22"/>
              </w:rPr>
            </w:pPr>
            <w:r w:rsidRPr="00E73D07">
              <w:rPr>
                <w:rFonts w:cs="Times New Roman"/>
                <w:color w:val="000000"/>
                <w:sz w:val="22"/>
              </w:rPr>
              <w:t>0.005</w:t>
            </w:r>
          </w:p>
        </w:tc>
        <w:tc>
          <w:tcPr>
            <w:tcW w:w="815" w:type="pct"/>
            <w:vAlign w:val="bottom"/>
          </w:tcPr>
          <w:p w14:paraId="4259F4EB" w14:textId="0DD0D3E3" w:rsidR="004D51EA" w:rsidRPr="00E73D07" w:rsidRDefault="004D51EA" w:rsidP="004D51EA">
            <w:pPr>
              <w:jc w:val="right"/>
              <w:rPr>
                <w:rFonts w:cs="Times New Roman"/>
                <w:b/>
                <w:sz w:val="22"/>
              </w:rPr>
            </w:pPr>
            <w:r w:rsidRPr="00E73D07">
              <w:rPr>
                <w:rFonts w:cs="Times New Roman"/>
                <w:b/>
                <w:color w:val="000000"/>
                <w:sz w:val="22"/>
              </w:rPr>
              <w:t>-0.84%</w:t>
            </w:r>
          </w:p>
        </w:tc>
      </w:tr>
      <w:tr w:rsidR="004D51EA" w:rsidRPr="00E73D07" w14:paraId="0D79DF4D" w14:textId="77777777" w:rsidTr="00745FAB">
        <w:tc>
          <w:tcPr>
            <w:tcW w:w="1204" w:type="pct"/>
            <w:tcBorders>
              <w:right w:val="single" w:sz="4" w:space="0" w:color="auto"/>
            </w:tcBorders>
            <w:vAlign w:val="center"/>
          </w:tcPr>
          <w:p w14:paraId="2B9F0CBF" w14:textId="77777777" w:rsidR="004D51EA" w:rsidRPr="00E73D07" w:rsidRDefault="004D51EA" w:rsidP="004D51EA">
            <w:pPr>
              <w:rPr>
                <w:rFonts w:cs="Times New Roman"/>
                <w:i/>
                <w:sz w:val="22"/>
              </w:rPr>
            </w:pPr>
            <w:r w:rsidRPr="00E73D07">
              <w:rPr>
                <w:rFonts w:cs="Times New Roman"/>
                <w:i/>
                <w:color w:val="000000"/>
                <w:sz w:val="22"/>
              </w:rPr>
              <w:t>July</w:t>
            </w:r>
          </w:p>
        </w:tc>
        <w:tc>
          <w:tcPr>
            <w:tcW w:w="768" w:type="pct"/>
            <w:tcBorders>
              <w:left w:val="single" w:sz="4" w:space="0" w:color="auto"/>
            </w:tcBorders>
            <w:vAlign w:val="center"/>
          </w:tcPr>
          <w:p w14:paraId="0FB8D65A" w14:textId="3B3756DF" w:rsidR="004D51EA" w:rsidRPr="00E73D07" w:rsidRDefault="004D51EA" w:rsidP="004D51EA">
            <w:pPr>
              <w:jc w:val="right"/>
              <w:rPr>
                <w:rFonts w:cs="Times New Roman"/>
                <w:sz w:val="22"/>
              </w:rPr>
            </w:pPr>
            <w:r w:rsidRPr="00E73D07">
              <w:rPr>
                <w:rFonts w:cs="Times New Roman"/>
                <w:color w:val="000000"/>
                <w:sz w:val="22"/>
              </w:rPr>
              <w:t>-0.43%</w:t>
            </w:r>
          </w:p>
        </w:tc>
        <w:tc>
          <w:tcPr>
            <w:tcW w:w="674" w:type="pct"/>
            <w:tcBorders>
              <w:right w:val="single" w:sz="4" w:space="0" w:color="auto"/>
            </w:tcBorders>
            <w:vAlign w:val="center"/>
          </w:tcPr>
          <w:p w14:paraId="410401CD" w14:textId="550C7BA8" w:rsidR="004D51EA" w:rsidRPr="00E73D07" w:rsidRDefault="004D51EA" w:rsidP="004D51EA">
            <w:pPr>
              <w:jc w:val="right"/>
              <w:rPr>
                <w:rFonts w:cs="Times New Roman"/>
                <w:sz w:val="22"/>
              </w:rPr>
            </w:pPr>
            <w:r w:rsidRPr="00E73D07">
              <w:rPr>
                <w:rFonts w:cs="Times New Roman"/>
                <w:color w:val="000000"/>
                <w:sz w:val="22"/>
              </w:rPr>
              <w:t>0.005</w:t>
            </w:r>
          </w:p>
        </w:tc>
        <w:tc>
          <w:tcPr>
            <w:tcW w:w="769" w:type="pct"/>
            <w:tcBorders>
              <w:left w:val="single" w:sz="4" w:space="0" w:color="auto"/>
            </w:tcBorders>
            <w:vAlign w:val="center"/>
          </w:tcPr>
          <w:p w14:paraId="51C5FDC6" w14:textId="2ABCBC49" w:rsidR="004D51EA" w:rsidRPr="00E73D07" w:rsidRDefault="004D51EA" w:rsidP="004D51EA">
            <w:pPr>
              <w:jc w:val="right"/>
              <w:rPr>
                <w:rFonts w:cs="Times New Roman"/>
                <w:sz w:val="22"/>
              </w:rPr>
            </w:pPr>
            <w:r w:rsidRPr="00E73D07">
              <w:rPr>
                <w:rFonts w:cs="Times New Roman"/>
                <w:color w:val="000000"/>
                <w:sz w:val="22"/>
              </w:rPr>
              <w:t>-1.11%</w:t>
            </w:r>
            <w:r w:rsidR="00686AE7">
              <w:rPr>
                <w:rFonts w:cs="Times New Roman"/>
                <w:color w:val="000000"/>
                <w:sz w:val="22"/>
              </w:rPr>
              <w:t>*</w:t>
            </w:r>
          </w:p>
        </w:tc>
        <w:tc>
          <w:tcPr>
            <w:tcW w:w="770" w:type="pct"/>
            <w:vAlign w:val="center"/>
          </w:tcPr>
          <w:p w14:paraId="33A568C7" w14:textId="684A165B" w:rsidR="004D51EA" w:rsidRPr="00E73D07" w:rsidRDefault="004D51EA" w:rsidP="004D51EA">
            <w:pPr>
              <w:jc w:val="right"/>
              <w:rPr>
                <w:rFonts w:cs="Times New Roman"/>
                <w:sz w:val="22"/>
              </w:rPr>
            </w:pPr>
            <w:r w:rsidRPr="00E73D07">
              <w:rPr>
                <w:rFonts w:cs="Times New Roman"/>
                <w:color w:val="000000"/>
                <w:sz w:val="22"/>
              </w:rPr>
              <w:t>0.004</w:t>
            </w:r>
          </w:p>
        </w:tc>
        <w:tc>
          <w:tcPr>
            <w:tcW w:w="815" w:type="pct"/>
            <w:vAlign w:val="bottom"/>
          </w:tcPr>
          <w:p w14:paraId="6BB15795" w14:textId="5CE7AB86" w:rsidR="004D51EA" w:rsidRPr="00E73D07" w:rsidRDefault="004D51EA" w:rsidP="004D51EA">
            <w:pPr>
              <w:jc w:val="right"/>
              <w:rPr>
                <w:rFonts w:cs="Times New Roman"/>
                <w:b/>
                <w:sz w:val="22"/>
              </w:rPr>
            </w:pPr>
            <w:r w:rsidRPr="00E73D07">
              <w:rPr>
                <w:rFonts w:cs="Times New Roman"/>
                <w:b/>
                <w:color w:val="000000"/>
                <w:sz w:val="22"/>
              </w:rPr>
              <w:t>-0.68%</w:t>
            </w:r>
          </w:p>
        </w:tc>
      </w:tr>
      <w:tr w:rsidR="004D51EA" w:rsidRPr="00E73D07" w14:paraId="1C928D32" w14:textId="77777777" w:rsidTr="00745FAB">
        <w:tc>
          <w:tcPr>
            <w:tcW w:w="1204" w:type="pct"/>
            <w:tcBorders>
              <w:right w:val="single" w:sz="4" w:space="0" w:color="auto"/>
            </w:tcBorders>
            <w:vAlign w:val="center"/>
          </w:tcPr>
          <w:p w14:paraId="17783D4E" w14:textId="77777777" w:rsidR="004D51EA" w:rsidRPr="00E73D07" w:rsidRDefault="004D51EA" w:rsidP="004D51EA">
            <w:pPr>
              <w:rPr>
                <w:rFonts w:cs="Times New Roman"/>
                <w:i/>
                <w:sz w:val="22"/>
              </w:rPr>
            </w:pPr>
            <w:r w:rsidRPr="00E73D07">
              <w:rPr>
                <w:rFonts w:cs="Times New Roman"/>
                <w:i/>
                <w:color w:val="000000"/>
                <w:sz w:val="22"/>
              </w:rPr>
              <w:t>August</w:t>
            </w:r>
          </w:p>
        </w:tc>
        <w:tc>
          <w:tcPr>
            <w:tcW w:w="768" w:type="pct"/>
            <w:tcBorders>
              <w:left w:val="single" w:sz="4" w:space="0" w:color="auto"/>
            </w:tcBorders>
            <w:vAlign w:val="center"/>
          </w:tcPr>
          <w:p w14:paraId="7AD492E1" w14:textId="5AF0C348" w:rsidR="004D51EA" w:rsidRPr="00E73D07" w:rsidRDefault="004D51EA" w:rsidP="004D51EA">
            <w:pPr>
              <w:jc w:val="right"/>
              <w:rPr>
                <w:rFonts w:cs="Times New Roman"/>
                <w:sz w:val="22"/>
              </w:rPr>
            </w:pPr>
            <w:r w:rsidRPr="00E73D07">
              <w:rPr>
                <w:rFonts w:cs="Times New Roman"/>
                <w:color w:val="000000"/>
                <w:sz w:val="22"/>
              </w:rPr>
              <w:t>-0.41%</w:t>
            </w:r>
          </w:p>
        </w:tc>
        <w:tc>
          <w:tcPr>
            <w:tcW w:w="674" w:type="pct"/>
            <w:tcBorders>
              <w:right w:val="single" w:sz="4" w:space="0" w:color="auto"/>
            </w:tcBorders>
            <w:vAlign w:val="center"/>
          </w:tcPr>
          <w:p w14:paraId="4813AEC2" w14:textId="61808688" w:rsidR="004D51EA" w:rsidRPr="00E73D07" w:rsidRDefault="004D51EA" w:rsidP="004D51EA">
            <w:pPr>
              <w:jc w:val="right"/>
              <w:rPr>
                <w:rFonts w:cs="Times New Roman"/>
                <w:sz w:val="22"/>
              </w:rPr>
            </w:pPr>
            <w:r w:rsidRPr="00E73D07">
              <w:rPr>
                <w:rFonts w:cs="Times New Roman"/>
                <w:color w:val="000000"/>
                <w:sz w:val="22"/>
              </w:rPr>
              <w:t>0.005</w:t>
            </w:r>
          </w:p>
        </w:tc>
        <w:tc>
          <w:tcPr>
            <w:tcW w:w="769" w:type="pct"/>
            <w:tcBorders>
              <w:left w:val="single" w:sz="4" w:space="0" w:color="auto"/>
            </w:tcBorders>
            <w:vAlign w:val="center"/>
          </w:tcPr>
          <w:p w14:paraId="36242D68" w14:textId="1F52ABAA" w:rsidR="004D51EA" w:rsidRPr="00E73D07" w:rsidRDefault="004D51EA" w:rsidP="004D51EA">
            <w:pPr>
              <w:jc w:val="right"/>
              <w:rPr>
                <w:rFonts w:cs="Times New Roman"/>
                <w:sz w:val="22"/>
              </w:rPr>
            </w:pPr>
            <w:r w:rsidRPr="00E73D07">
              <w:rPr>
                <w:rFonts w:cs="Times New Roman"/>
                <w:color w:val="000000"/>
                <w:sz w:val="22"/>
              </w:rPr>
              <w:t>-1.45%</w:t>
            </w:r>
            <w:r w:rsidR="00686AE7">
              <w:rPr>
                <w:rFonts w:cs="Times New Roman"/>
                <w:color w:val="000000"/>
                <w:sz w:val="22"/>
              </w:rPr>
              <w:t>**</w:t>
            </w:r>
          </w:p>
        </w:tc>
        <w:tc>
          <w:tcPr>
            <w:tcW w:w="770" w:type="pct"/>
            <w:vAlign w:val="center"/>
          </w:tcPr>
          <w:p w14:paraId="24EEBBF6" w14:textId="676FA783" w:rsidR="004D51EA" w:rsidRPr="00E73D07" w:rsidRDefault="004D51EA" w:rsidP="004D51EA">
            <w:pPr>
              <w:jc w:val="right"/>
              <w:rPr>
                <w:rFonts w:cs="Times New Roman"/>
                <w:sz w:val="22"/>
              </w:rPr>
            </w:pPr>
            <w:r w:rsidRPr="00E73D07">
              <w:rPr>
                <w:rFonts w:cs="Times New Roman"/>
                <w:color w:val="000000"/>
                <w:sz w:val="22"/>
              </w:rPr>
              <w:t>0.005</w:t>
            </w:r>
          </w:p>
        </w:tc>
        <w:tc>
          <w:tcPr>
            <w:tcW w:w="815" w:type="pct"/>
            <w:vAlign w:val="bottom"/>
          </w:tcPr>
          <w:p w14:paraId="75AD8349" w14:textId="692ADD83" w:rsidR="004D51EA" w:rsidRPr="00E73D07" w:rsidRDefault="004D51EA" w:rsidP="004D51EA">
            <w:pPr>
              <w:jc w:val="right"/>
              <w:rPr>
                <w:rFonts w:cs="Times New Roman"/>
                <w:b/>
                <w:sz w:val="22"/>
              </w:rPr>
            </w:pPr>
            <w:r w:rsidRPr="00E73D07">
              <w:rPr>
                <w:rFonts w:cs="Times New Roman"/>
                <w:b/>
                <w:color w:val="000000"/>
                <w:sz w:val="22"/>
              </w:rPr>
              <w:t>-1.04%</w:t>
            </w:r>
          </w:p>
        </w:tc>
      </w:tr>
      <w:tr w:rsidR="004D51EA" w:rsidRPr="00E73D07" w14:paraId="4ED295D7" w14:textId="77777777" w:rsidTr="00745FAB">
        <w:tc>
          <w:tcPr>
            <w:tcW w:w="1204" w:type="pct"/>
            <w:tcBorders>
              <w:right w:val="single" w:sz="4" w:space="0" w:color="auto"/>
            </w:tcBorders>
            <w:vAlign w:val="center"/>
          </w:tcPr>
          <w:p w14:paraId="3D3F6C70" w14:textId="77777777" w:rsidR="004D51EA" w:rsidRPr="00E73D07" w:rsidRDefault="004D51EA" w:rsidP="004D51EA">
            <w:pPr>
              <w:rPr>
                <w:rFonts w:cs="Times New Roman"/>
                <w:i/>
                <w:sz w:val="22"/>
              </w:rPr>
            </w:pPr>
            <w:r w:rsidRPr="00E73D07">
              <w:rPr>
                <w:rFonts w:cs="Times New Roman"/>
                <w:i/>
                <w:color w:val="000000"/>
                <w:sz w:val="22"/>
              </w:rPr>
              <w:t>September</w:t>
            </w:r>
          </w:p>
        </w:tc>
        <w:tc>
          <w:tcPr>
            <w:tcW w:w="768" w:type="pct"/>
            <w:tcBorders>
              <w:left w:val="single" w:sz="4" w:space="0" w:color="auto"/>
            </w:tcBorders>
            <w:vAlign w:val="center"/>
          </w:tcPr>
          <w:p w14:paraId="452FE425" w14:textId="1AB60665" w:rsidR="004D51EA" w:rsidRPr="00E73D07" w:rsidRDefault="004D51EA" w:rsidP="004D51EA">
            <w:pPr>
              <w:jc w:val="right"/>
              <w:rPr>
                <w:rFonts w:cs="Times New Roman"/>
                <w:sz w:val="22"/>
              </w:rPr>
            </w:pPr>
            <w:r w:rsidRPr="00E73D07">
              <w:rPr>
                <w:rFonts w:cs="Times New Roman"/>
                <w:color w:val="000000"/>
                <w:sz w:val="22"/>
              </w:rPr>
              <w:t>-0.60%</w:t>
            </w:r>
          </w:p>
        </w:tc>
        <w:tc>
          <w:tcPr>
            <w:tcW w:w="674" w:type="pct"/>
            <w:tcBorders>
              <w:right w:val="single" w:sz="4" w:space="0" w:color="auto"/>
            </w:tcBorders>
            <w:vAlign w:val="center"/>
          </w:tcPr>
          <w:p w14:paraId="59504904" w14:textId="54201540" w:rsidR="004D51EA" w:rsidRPr="00E73D07" w:rsidRDefault="004D51EA" w:rsidP="004D51EA">
            <w:pPr>
              <w:jc w:val="right"/>
              <w:rPr>
                <w:rFonts w:cs="Times New Roman"/>
                <w:sz w:val="22"/>
              </w:rPr>
            </w:pPr>
            <w:r w:rsidRPr="00E73D07">
              <w:rPr>
                <w:rFonts w:cs="Times New Roman"/>
                <w:color w:val="000000"/>
                <w:sz w:val="22"/>
              </w:rPr>
              <w:t>0.005</w:t>
            </w:r>
          </w:p>
        </w:tc>
        <w:tc>
          <w:tcPr>
            <w:tcW w:w="769" w:type="pct"/>
            <w:tcBorders>
              <w:left w:val="single" w:sz="4" w:space="0" w:color="auto"/>
            </w:tcBorders>
            <w:vAlign w:val="center"/>
          </w:tcPr>
          <w:p w14:paraId="780DF5AB" w14:textId="41904BDC" w:rsidR="004D51EA" w:rsidRPr="00E73D07" w:rsidRDefault="004D51EA" w:rsidP="004D51EA">
            <w:pPr>
              <w:jc w:val="right"/>
              <w:rPr>
                <w:rFonts w:cs="Times New Roman"/>
                <w:sz w:val="22"/>
              </w:rPr>
            </w:pPr>
            <w:r w:rsidRPr="00E73D07">
              <w:rPr>
                <w:rFonts w:cs="Times New Roman"/>
                <w:color w:val="000000"/>
                <w:sz w:val="22"/>
              </w:rPr>
              <w:t>-0.74%</w:t>
            </w:r>
            <w:r w:rsidR="00686AE7">
              <w:rPr>
                <w:rFonts w:cs="Times New Roman"/>
                <w:color w:val="000000"/>
                <w:sz w:val="22"/>
              </w:rPr>
              <w:t>*</w:t>
            </w:r>
          </w:p>
        </w:tc>
        <w:tc>
          <w:tcPr>
            <w:tcW w:w="770" w:type="pct"/>
            <w:vAlign w:val="center"/>
          </w:tcPr>
          <w:p w14:paraId="4A968B72" w14:textId="22362FCE" w:rsidR="004D51EA" w:rsidRPr="00E73D07" w:rsidRDefault="004D51EA" w:rsidP="004D51EA">
            <w:pPr>
              <w:jc w:val="right"/>
              <w:rPr>
                <w:rFonts w:cs="Times New Roman"/>
                <w:sz w:val="22"/>
              </w:rPr>
            </w:pPr>
            <w:r w:rsidRPr="00E73D07">
              <w:rPr>
                <w:rFonts w:cs="Times New Roman"/>
                <w:color w:val="000000"/>
                <w:sz w:val="22"/>
              </w:rPr>
              <w:t>0.004</w:t>
            </w:r>
          </w:p>
        </w:tc>
        <w:tc>
          <w:tcPr>
            <w:tcW w:w="815" w:type="pct"/>
            <w:vAlign w:val="bottom"/>
          </w:tcPr>
          <w:p w14:paraId="0C7064AA" w14:textId="67497019" w:rsidR="004D51EA" w:rsidRPr="00E73D07" w:rsidRDefault="004D51EA" w:rsidP="004D51EA">
            <w:pPr>
              <w:jc w:val="right"/>
              <w:rPr>
                <w:rFonts w:cs="Times New Roman"/>
                <w:b/>
                <w:sz w:val="22"/>
              </w:rPr>
            </w:pPr>
            <w:r w:rsidRPr="00E73D07">
              <w:rPr>
                <w:rFonts w:cs="Times New Roman"/>
                <w:b/>
                <w:color w:val="000000"/>
                <w:sz w:val="22"/>
              </w:rPr>
              <w:t>-0.15%</w:t>
            </w:r>
          </w:p>
        </w:tc>
      </w:tr>
      <w:tr w:rsidR="004D51EA" w:rsidRPr="00E73D07" w14:paraId="22ED0D2F" w14:textId="77777777" w:rsidTr="00745FAB">
        <w:tc>
          <w:tcPr>
            <w:tcW w:w="1204" w:type="pct"/>
            <w:tcBorders>
              <w:right w:val="single" w:sz="4" w:space="0" w:color="auto"/>
            </w:tcBorders>
            <w:vAlign w:val="center"/>
          </w:tcPr>
          <w:p w14:paraId="7FCB28E7" w14:textId="77777777" w:rsidR="004D51EA" w:rsidRPr="00E73D07" w:rsidRDefault="004D51EA" w:rsidP="004D51EA">
            <w:pPr>
              <w:rPr>
                <w:rFonts w:cs="Times New Roman"/>
                <w:i/>
                <w:sz w:val="22"/>
              </w:rPr>
            </w:pPr>
            <w:r w:rsidRPr="00E73D07">
              <w:rPr>
                <w:rFonts w:cs="Times New Roman"/>
                <w:i/>
                <w:color w:val="000000"/>
                <w:sz w:val="22"/>
              </w:rPr>
              <w:t>October</w:t>
            </w:r>
          </w:p>
        </w:tc>
        <w:tc>
          <w:tcPr>
            <w:tcW w:w="768" w:type="pct"/>
            <w:tcBorders>
              <w:left w:val="single" w:sz="4" w:space="0" w:color="auto"/>
            </w:tcBorders>
            <w:vAlign w:val="center"/>
          </w:tcPr>
          <w:p w14:paraId="2FED10EB" w14:textId="40817C89" w:rsidR="004D51EA" w:rsidRPr="00E73D07" w:rsidRDefault="004D51EA" w:rsidP="004D51EA">
            <w:pPr>
              <w:jc w:val="right"/>
              <w:rPr>
                <w:rFonts w:cs="Times New Roman"/>
                <w:sz w:val="22"/>
              </w:rPr>
            </w:pPr>
            <w:r w:rsidRPr="00E73D07">
              <w:rPr>
                <w:rFonts w:cs="Times New Roman"/>
                <w:color w:val="000000"/>
                <w:sz w:val="22"/>
              </w:rPr>
              <w:t>-0.94%**</w:t>
            </w:r>
          </w:p>
        </w:tc>
        <w:tc>
          <w:tcPr>
            <w:tcW w:w="674" w:type="pct"/>
            <w:tcBorders>
              <w:right w:val="single" w:sz="4" w:space="0" w:color="auto"/>
            </w:tcBorders>
            <w:vAlign w:val="center"/>
          </w:tcPr>
          <w:p w14:paraId="34AEC989" w14:textId="2FD6E0B5" w:rsidR="004D51EA" w:rsidRPr="00E73D07" w:rsidRDefault="004D51EA" w:rsidP="004D51EA">
            <w:pPr>
              <w:jc w:val="right"/>
              <w:rPr>
                <w:rFonts w:cs="Times New Roman"/>
                <w:sz w:val="22"/>
              </w:rPr>
            </w:pPr>
            <w:r w:rsidRPr="00E73D07">
              <w:rPr>
                <w:rFonts w:cs="Times New Roman"/>
                <w:color w:val="000000"/>
                <w:sz w:val="22"/>
              </w:rPr>
              <w:t>0.005</w:t>
            </w:r>
          </w:p>
        </w:tc>
        <w:tc>
          <w:tcPr>
            <w:tcW w:w="769" w:type="pct"/>
            <w:tcBorders>
              <w:left w:val="single" w:sz="4" w:space="0" w:color="auto"/>
            </w:tcBorders>
            <w:vAlign w:val="center"/>
          </w:tcPr>
          <w:p w14:paraId="30764F28" w14:textId="3DCCA288" w:rsidR="004D51EA" w:rsidRPr="00E73D07" w:rsidRDefault="004D51EA" w:rsidP="004D51EA">
            <w:pPr>
              <w:jc w:val="right"/>
              <w:rPr>
                <w:rFonts w:cs="Times New Roman"/>
                <w:sz w:val="22"/>
              </w:rPr>
            </w:pPr>
            <w:r w:rsidRPr="00E73D07">
              <w:rPr>
                <w:rFonts w:cs="Times New Roman"/>
                <w:color w:val="000000"/>
                <w:sz w:val="22"/>
              </w:rPr>
              <w:t>-1.17%</w:t>
            </w:r>
            <w:r w:rsidR="00686AE7">
              <w:rPr>
                <w:rFonts w:cs="Times New Roman"/>
                <w:color w:val="000000"/>
                <w:sz w:val="22"/>
              </w:rPr>
              <w:t>**</w:t>
            </w:r>
          </w:p>
        </w:tc>
        <w:tc>
          <w:tcPr>
            <w:tcW w:w="770" w:type="pct"/>
            <w:vAlign w:val="center"/>
          </w:tcPr>
          <w:p w14:paraId="45C788D3" w14:textId="1D0AC8E5" w:rsidR="004D51EA" w:rsidRPr="00E73D07" w:rsidRDefault="004D51EA" w:rsidP="004D51EA">
            <w:pPr>
              <w:jc w:val="right"/>
              <w:rPr>
                <w:rFonts w:cs="Times New Roman"/>
                <w:sz w:val="22"/>
              </w:rPr>
            </w:pPr>
            <w:r w:rsidRPr="00E73D07">
              <w:rPr>
                <w:rFonts w:cs="Times New Roman"/>
                <w:color w:val="000000"/>
                <w:sz w:val="22"/>
              </w:rPr>
              <w:t>0.005</w:t>
            </w:r>
          </w:p>
        </w:tc>
        <w:tc>
          <w:tcPr>
            <w:tcW w:w="815" w:type="pct"/>
            <w:vAlign w:val="bottom"/>
          </w:tcPr>
          <w:p w14:paraId="12D8D195" w14:textId="4BFCFF68" w:rsidR="004D51EA" w:rsidRPr="00E73D07" w:rsidRDefault="004D51EA" w:rsidP="004D51EA">
            <w:pPr>
              <w:jc w:val="right"/>
              <w:rPr>
                <w:rFonts w:cs="Times New Roman"/>
                <w:b/>
                <w:sz w:val="22"/>
              </w:rPr>
            </w:pPr>
            <w:r w:rsidRPr="00E73D07">
              <w:rPr>
                <w:rFonts w:cs="Times New Roman"/>
                <w:b/>
                <w:color w:val="000000"/>
                <w:sz w:val="22"/>
              </w:rPr>
              <w:t>-0.24%</w:t>
            </w:r>
          </w:p>
        </w:tc>
      </w:tr>
      <w:tr w:rsidR="004D51EA" w:rsidRPr="00E73D07" w14:paraId="688375B3" w14:textId="77777777" w:rsidTr="00745FAB">
        <w:tc>
          <w:tcPr>
            <w:tcW w:w="1204" w:type="pct"/>
            <w:tcBorders>
              <w:right w:val="single" w:sz="4" w:space="0" w:color="auto"/>
            </w:tcBorders>
            <w:vAlign w:val="center"/>
          </w:tcPr>
          <w:p w14:paraId="7B1F858F" w14:textId="77777777" w:rsidR="004D51EA" w:rsidRPr="00E73D07" w:rsidRDefault="004D51EA" w:rsidP="004D51EA">
            <w:pPr>
              <w:rPr>
                <w:rFonts w:cs="Times New Roman"/>
                <w:i/>
                <w:sz w:val="22"/>
              </w:rPr>
            </w:pPr>
            <w:r w:rsidRPr="00E73D07">
              <w:rPr>
                <w:rFonts w:cs="Times New Roman"/>
                <w:i/>
                <w:color w:val="000000"/>
                <w:sz w:val="22"/>
              </w:rPr>
              <w:t>November</w:t>
            </w:r>
          </w:p>
        </w:tc>
        <w:tc>
          <w:tcPr>
            <w:tcW w:w="768" w:type="pct"/>
            <w:tcBorders>
              <w:left w:val="single" w:sz="4" w:space="0" w:color="auto"/>
            </w:tcBorders>
            <w:vAlign w:val="center"/>
          </w:tcPr>
          <w:p w14:paraId="0353B5B7" w14:textId="7A88FDF1" w:rsidR="004D51EA" w:rsidRPr="00E73D07" w:rsidRDefault="004D51EA" w:rsidP="004D51EA">
            <w:pPr>
              <w:jc w:val="right"/>
              <w:rPr>
                <w:rFonts w:cs="Times New Roman"/>
                <w:sz w:val="22"/>
              </w:rPr>
            </w:pPr>
            <w:r w:rsidRPr="00E73D07">
              <w:rPr>
                <w:rFonts w:cs="Times New Roman"/>
                <w:color w:val="000000"/>
                <w:sz w:val="22"/>
              </w:rPr>
              <w:t>-1.50%***</w:t>
            </w:r>
          </w:p>
        </w:tc>
        <w:tc>
          <w:tcPr>
            <w:tcW w:w="674" w:type="pct"/>
            <w:tcBorders>
              <w:right w:val="single" w:sz="4" w:space="0" w:color="auto"/>
            </w:tcBorders>
            <w:vAlign w:val="center"/>
          </w:tcPr>
          <w:p w14:paraId="3D6EDD36" w14:textId="3A47B2CE" w:rsidR="004D51EA" w:rsidRPr="00E73D07" w:rsidRDefault="004D51EA" w:rsidP="004D51EA">
            <w:pPr>
              <w:jc w:val="right"/>
              <w:rPr>
                <w:rFonts w:cs="Times New Roman"/>
                <w:sz w:val="22"/>
              </w:rPr>
            </w:pPr>
            <w:r w:rsidRPr="00E73D07">
              <w:rPr>
                <w:rFonts w:cs="Times New Roman"/>
                <w:color w:val="000000"/>
                <w:sz w:val="22"/>
              </w:rPr>
              <w:t>0.005</w:t>
            </w:r>
          </w:p>
        </w:tc>
        <w:tc>
          <w:tcPr>
            <w:tcW w:w="769" w:type="pct"/>
            <w:tcBorders>
              <w:left w:val="single" w:sz="4" w:space="0" w:color="auto"/>
            </w:tcBorders>
            <w:vAlign w:val="center"/>
          </w:tcPr>
          <w:p w14:paraId="61292F25" w14:textId="2AB74A2C" w:rsidR="004D51EA" w:rsidRPr="00E73D07" w:rsidRDefault="004D51EA" w:rsidP="004D51EA">
            <w:pPr>
              <w:jc w:val="right"/>
              <w:rPr>
                <w:rFonts w:cs="Times New Roman"/>
                <w:sz w:val="22"/>
              </w:rPr>
            </w:pPr>
            <w:r w:rsidRPr="00E73D07">
              <w:rPr>
                <w:rFonts w:cs="Times New Roman"/>
                <w:color w:val="000000"/>
                <w:sz w:val="22"/>
              </w:rPr>
              <w:t>-2.40%</w:t>
            </w:r>
            <w:r w:rsidR="00686AE7">
              <w:rPr>
                <w:rFonts w:cs="Times New Roman"/>
                <w:color w:val="000000"/>
                <w:sz w:val="22"/>
              </w:rPr>
              <w:t>***</w:t>
            </w:r>
          </w:p>
        </w:tc>
        <w:tc>
          <w:tcPr>
            <w:tcW w:w="770" w:type="pct"/>
            <w:vAlign w:val="center"/>
          </w:tcPr>
          <w:p w14:paraId="040276B6" w14:textId="326105AC" w:rsidR="004D51EA" w:rsidRPr="00E73D07" w:rsidRDefault="004D51EA" w:rsidP="004D51EA">
            <w:pPr>
              <w:jc w:val="right"/>
              <w:rPr>
                <w:rFonts w:cs="Times New Roman"/>
                <w:sz w:val="22"/>
              </w:rPr>
            </w:pPr>
            <w:r w:rsidRPr="00E73D07">
              <w:rPr>
                <w:rFonts w:cs="Times New Roman"/>
                <w:color w:val="000000"/>
                <w:sz w:val="22"/>
              </w:rPr>
              <w:t>0.004</w:t>
            </w:r>
          </w:p>
        </w:tc>
        <w:tc>
          <w:tcPr>
            <w:tcW w:w="815" w:type="pct"/>
            <w:vAlign w:val="bottom"/>
          </w:tcPr>
          <w:p w14:paraId="6D90D68B" w14:textId="6294B001" w:rsidR="004D51EA" w:rsidRPr="00E73D07" w:rsidRDefault="004D51EA" w:rsidP="004D51EA">
            <w:pPr>
              <w:jc w:val="right"/>
              <w:rPr>
                <w:rFonts w:cs="Times New Roman"/>
                <w:b/>
                <w:sz w:val="22"/>
              </w:rPr>
            </w:pPr>
            <w:r w:rsidRPr="00E73D07">
              <w:rPr>
                <w:rFonts w:cs="Times New Roman"/>
                <w:b/>
                <w:color w:val="000000"/>
                <w:sz w:val="22"/>
              </w:rPr>
              <w:t>-0.90%</w:t>
            </w:r>
          </w:p>
        </w:tc>
      </w:tr>
      <w:tr w:rsidR="004D51EA" w:rsidRPr="00E73D07" w14:paraId="12CE0A00" w14:textId="77777777" w:rsidTr="00745FAB">
        <w:tc>
          <w:tcPr>
            <w:tcW w:w="1204" w:type="pct"/>
            <w:tcBorders>
              <w:right w:val="single" w:sz="4" w:space="0" w:color="auto"/>
            </w:tcBorders>
            <w:vAlign w:val="center"/>
          </w:tcPr>
          <w:p w14:paraId="164740C0" w14:textId="77777777" w:rsidR="004D51EA" w:rsidRPr="00E73D07" w:rsidRDefault="004D51EA" w:rsidP="004D51EA">
            <w:pPr>
              <w:rPr>
                <w:rFonts w:cs="Times New Roman"/>
                <w:i/>
                <w:sz w:val="22"/>
              </w:rPr>
            </w:pPr>
            <w:r w:rsidRPr="00E73D07">
              <w:rPr>
                <w:rFonts w:cs="Times New Roman"/>
                <w:i/>
                <w:color w:val="000000"/>
                <w:sz w:val="22"/>
              </w:rPr>
              <w:t>December</w:t>
            </w:r>
          </w:p>
        </w:tc>
        <w:tc>
          <w:tcPr>
            <w:tcW w:w="768" w:type="pct"/>
            <w:tcBorders>
              <w:left w:val="single" w:sz="4" w:space="0" w:color="auto"/>
            </w:tcBorders>
            <w:vAlign w:val="center"/>
          </w:tcPr>
          <w:p w14:paraId="468BCEBB" w14:textId="7482F032" w:rsidR="004D51EA" w:rsidRPr="00E73D07" w:rsidRDefault="004D51EA" w:rsidP="004D51EA">
            <w:pPr>
              <w:jc w:val="right"/>
              <w:rPr>
                <w:rFonts w:cs="Times New Roman"/>
                <w:sz w:val="22"/>
              </w:rPr>
            </w:pPr>
            <w:r w:rsidRPr="00E73D07">
              <w:rPr>
                <w:rFonts w:cs="Times New Roman"/>
                <w:color w:val="000000"/>
                <w:sz w:val="22"/>
              </w:rPr>
              <w:t>-0.80%*</w:t>
            </w:r>
          </w:p>
        </w:tc>
        <w:tc>
          <w:tcPr>
            <w:tcW w:w="674" w:type="pct"/>
            <w:tcBorders>
              <w:right w:val="single" w:sz="4" w:space="0" w:color="auto"/>
            </w:tcBorders>
            <w:vAlign w:val="center"/>
          </w:tcPr>
          <w:p w14:paraId="7C86B29F" w14:textId="7674D3DC" w:rsidR="004D51EA" w:rsidRPr="00E73D07" w:rsidRDefault="004D51EA" w:rsidP="004D51EA">
            <w:pPr>
              <w:jc w:val="right"/>
              <w:rPr>
                <w:rFonts w:cs="Times New Roman"/>
                <w:sz w:val="22"/>
              </w:rPr>
            </w:pPr>
            <w:r w:rsidRPr="00E73D07">
              <w:rPr>
                <w:rFonts w:cs="Times New Roman"/>
                <w:color w:val="000000"/>
                <w:sz w:val="22"/>
              </w:rPr>
              <w:t>0.004</w:t>
            </w:r>
          </w:p>
        </w:tc>
        <w:tc>
          <w:tcPr>
            <w:tcW w:w="769" w:type="pct"/>
            <w:tcBorders>
              <w:left w:val="single" w:sz="4" w:space="0" w:color="auto"/>
            </w:tcBorders>
            <w:vAlign w:val="center"/>
          </w:tcPr>
          <w:p w14:paraId="567F8408" w14:textId="3BC17993" w:rsidR="004D51EA" w:rsidRPr="00E73D07" w:rsidRDefault="004D51EA" w:rsidP="004D51EA">
            <w:pPr>
              <w:jc w:val="right"/>
              <w:rPr>
                <w:rFonts w:cs="Times New Roman"/>
                <w:sz w:val="22"/>
              </w:rPr>
            </w:pPr>
            <w:r w:rsidRPr="00E73D07">
              <w:rPr>
                <w:rFonts w:cs="Times New Roman"/>
                <w:color w:val="000000"/>
                <w:sz w:val="22"/>
              </w:rPr>
              <w:t>-1.22%</w:t>
            </w:r>
            <w:r w:rsidR="00686AE7">
              <w:rPr>
                <w:rFonts w:cs="Times New Roman"/>
                <w:color w:val="000000"/>
                <w:sz w:val="22"/>
              </w:rPr>
              <w:t>***</w:t>
            </w:r>
          </w:p>
        </w:tc>
        <w:tc>
          <w:tcPr>
            <w:tcW w:w="770" w:type="pct"/>
            <w:vAlign w:val="center"/>
          </w:tcPr>
          <w:p w14:paraId="74F913ED" w14:textId="348718BB" w:rsidR="004D51EA" w:rsidRPr="00E73D07" w:rsidRDefault="004D51EA" w:rsidP="004D51EA">
            <w:pPr>
              <w:jc w:val="right"/>
              <w:rPr>
                <w:rFonts w:cs="Times New Roman"/>
                <w:sz w:val="22"/>
              </w:rPr>
            </w:pPr>
            <w:r w:rsidRPr="00E73D07">
              <w:rPr>
                <w:rFonts w:cs="Times New Roman"/>
                <w:color w:val="000000"/>
                <w:sz w:val="22"/>
              </w:rPr>
              <w:t>0.004</w:t>
            </w:r>
          </w:p>
        </w:tc>
        <w:tc>
          <w:tcPr>
            <w:tcW w:w="815" w:type="pct"/>
            <w:vAlign w:val="bottom"/>
          </w:tcPr>
          <w:p w14:paraId="127E4FF4" w14:textId="5E91F1FA" w:rsidR="004D51EA" w:rsidRPr="00E73D07" w:rsidRDefault="004D51EA" w:rsidP="004D51EA">
            <w:pPr>
              <w:jc w:val="right"/>
              <w:rPr>
                <w:rFonts w:cs="Times New Roman"/>
                <w:b/>
                <w:sz w:val="22"/>
              </w:rPr>
            </w:pPr>
            <w:r w:rsidRPr="00E73D07">
              <w:rPr>
                <w:rFonts w:cs="Times New Roman"/>
                <w:b/>
                <w:color w:val="000000"/>
                <w:sz w:val="22"/>
              </w:rPr>
              <w:t>-0.42%</w:t>
            </w:r>
          </w:p>
        </w:tc>
      </w:tr>
      <w:tr w:rsidR="004D51EA" w:rsidRPr="00E73D07" w14:paraId="22CC5762" w14:textId="77777777" w:rsidTr="008A5968">
        <w:tc>
          <w:tcPr>
            <w:tcW w:w="1204" w:type="pct"/>
            <w:tcBorders>
              <w:right w:val="single" w:sz="4" w:space="0" w:color="auto"/>
            </w:tcBorders>
            <w:vAlign w:val="center"/>
          </w:tcPr>
          <w:p w14:paraId="05626AFC" w14:textId="4F32643F" w:rsidR="004D51EA" w:rsidRPr="00E73D07" w:rsidRDefault="004D51EA" w:rsidP="004D51EA">
            <w:pPr>
              <w:rPr>
                <w:rFonts w:cs="Times New Roman"/>
                <w:sz w:val="22"/>
              </w:rPr>
            </w:pPr>
            <w:r w:rsidRPr="00E73D07">
              <w:rPr>
                <w:rFonts w:cs="Times New Roman"/>
                <w:i/>
                <w:sz w:val="22"/>
              </w:rPr>
              <w:t>Recession</w:t>
            </w:r>
          </w:p>
        </w:tc>
        <w:tc>
          <w:tcPr>
            <w:tcW w:w="768" w:type="pct"/>
            <w:tcBorders>
              <w:left w:val="single" w:sz="4" w:space="0" w:color="auto"/>
            </w:tcBorders>
            <w:vAlign w:val="center"/>
          </w:tcPr>
          <w:p w14:paraId="2BAEF5E1" w14:textId="5B3CAE3C" w:rsidR="004D51EA" w:rsidRPr="00E73D07" w:rsidRDefault="004D51EA" w:rsidP="004D51EA">
            <w:pPr>
              <w:jc w:val="right"/>
              <w:rPr>
                <w:rFonts w:cs="Times New Roman"/>
                <w:sz w:val="22"/>
              </w:rPr>
            </w:pPr>
            <w:r w:rsidRPr="00E73D07">
              <w:rPr>
                <w:rFonts w:cs="Times New Roman"/>
                <w:color w:val="000000"/>
                <w:sz w:val="22"/>
              </w:rPr>
              <w:t>-0.20%</w:t>
            </w:r>
          </w:p>
        </w:tc>
        <w:tc>
          <w:tcPr>
            <w:tcW w:w="674" w:type="pct"/>
            <w:tcBorders>
              <w:right w:val="single" w:sz="4" w:space="0" w:color="auto"/>
            </w:tcBorders>
            <w:vAlign w:val="center"/>
          </w:tcPr>
          <w:p w14:paraId="721B7248" w14:textId="41F51C79" w:rsidR="004D51EA" w:rsidRPr="00E73D07" w:rsidRDefault="004D51EA" w:rsidP="004D51EA">
            <w:pPr>
              <w:jc w:val="right"/>
              <w:rPr>
                <w:rFonts w:cs="Times New Roman"/>
                <w:sz w:val="22"/>
              </w:rPr>
            </w:pPr>
            <w:r w:rsidRPr="00E73D07">
              <w:rPr>
                <w:rFonts w:cs="Times New Roman"/>
                <w:color w:val="000000"/>
                <w:sz w:val="22"/>
              </w:rPr>
              <w:t>0.004</w:t>
            </w:r>
          </w:p>
        </w:tc>
        <w:tc>
          <w:tcPr>
            <w:tcW w:w="769" w:type="pct"/>
            <w:tcBorders>
              <w:left w:val="single" w:sz="4" w:space="0" w:color="auto"/>
            </w:tcBorders>
            <w:vAlign w:val="center"/>
          </w:tcPr>
          <w:p w14:paraId="21FC212E" w14:textId="73521E47" w:rsidR="004D51EA" w:rsidRPr="00E73D07" w:rsidRDefault="004D51EA" w:rsidP="004D51EA">
            <w:pPr>
              <w:jc w:val="right"/>
              <w:rPr>
                <w:rFonts w:cs="Times New Roman"/>
                <w:sz w:val="22"/>
              </w:rPr>
            </w:pPr>
            <w:r w:rsidRPr="00E73D07">
              <w:rPr>
                <w:rFonts w:cs="Times New Roman"/>
                <w:color w:val="000000"/>
                <w:sz w:val="22"/>
              </w:rPr>
              <w:t>0.11%</w:t>
            </w:r>
          </w:p>
        </w:tc>
        <w:tc>
          <w:tcPr>
            <w:tcW w:w="770" w:type="pct"/>
            <w:vAlign w:val="center"/>
          </w:tcPr>
          <w:p w14:paraId="6091A046" w14:textId="30607F35" w:rsidR="004D51EA" w:rsidRPr="00E73D07" w:rsidRDefault="004D51EA" w:rsidP="004D51EA">
            <w:pPr>
              <w:jc w:val="right"/>
              <w:rPr>
                <w:rFonts w:cs="Times New Roman"/>
                <w:sz w:val="22"/>
              </w:rPr>
            </w:pPr>
            <w:r w:rsidRPr="00E73D07">
              <w:rPr>
                <w:rFonts w:cs="Times New Roman"/>
                <w:color w:val="000000"/>
                <w:sz w:val="22"/>
              </w:rPr>
              <w:t>0.005</w:t>
            </w:r>
          </w:p>
        </w:tc>
        <w:tc>
          <w:tcPr>
            <w:tcW w:w="815" w:type="pct"/>
          </w:tcPr>
          <w:p w14:paraId="4DBE90F8" w14:textId="77777777" w:rsidR="004D51EA" w:rsidRPr="00E73D07" w:rsidRDefault="004D51EA" w:rsidP="004D51EA">
            <w:pPr>
              <w:jc w:val="right"/>
              <w:rPr>
                <w:rFonts w:cs="Times New Roman"/>
                <w:b/>
                <w:sz w:val="22"/>
              </w:rPr>
            </w:pPr>
          </w:p>
        </w:tc>
      </w:tr>
      <w:tr w:rsidR="004D51EA" w:rsidRPr="00E73D07" w14:paraId="7DEAE378" w14:textId="77777777" w:rsidTr="00745FAB">
        <w:tc>
          <w:tcPr>
            <w:tcW w:w="1204" w:type="pct"/>
            <w:tcBorders>
              <w:right w:val="single" w:sz="4" w:space="0" w:color="auto"/>
            </w:tcBorders>
            <w:vAlign w:val="center"/>
          </w:tcPr>
          <w:p w14:paraId="1441038D" w14:textId="04E3C381" w:rsidR="004D51EA" w:rsidRPr="00E73D07" w:rsidRDefault="004D51EA" w:rsidP="004D51EA">
            <w:pPr>
              <w:rPr>
                <w:rFonts w:cs="Times New Roman"/>
                <w:i/>
                <w:sz w:val="22"/>
              </w:rPr>
            </w:pPr>
          </w:p>
        </w:tc>
        <w:tc>
          <w:tcPr>
            <w:tcW w:w="768" w:type="pct"/>
            <w:tcBorders>
              <w:left w:val="single" w:sz="4" w:space="0" w:color="auto"/>
            </w:tcBorders>
            <w:vAlign w:val="center"/>
          </w:tcPr>
          <w:p w14:paraId="1D31ED80" w14:textId="2257299A" w:rsidR="004D51EA" w:rsidRPr="00E73D07" w:rsidRDefault="004D51EA" w:rsidP="004D51EA">
            <w:pPr>
              <w:jc w:val="right"/>
              <w:rPr>
                <w:rFonts w:cs="Times New Roman"/>
                <w:sz w:val="22"/>
              </w:rPr>
            </w:pPr>
          </w:p>
        </w:tc>
        <w:tc>
          <w:tcPr>
            <w:tcW w:w="674" w:type="pct"/>
            <w:tcBorders>
              <w:right w:val="single" w:sz="4" w:space="0" w:color="auto"/>
            </w:tcBorders>
            <w:vAlign w:val="center"/>
          </w:tcPr>
          <w:p w14:paraId="1F710099" w14:textId="67CC43F0" w:rsidR="004D51EA" w:rsidRPr="00E73D07" w:rsidRDefault="004D51EA" w:rsidP="004D51EA">
            <w:pPr>
              <w:jc w:val="right"/>
              <w:rPr>
                <w:rFonts w:cs="Times New Roman"/>
                <w:sz w:val="22"/>
              </w:rPr>
            </w:pPr>
          </w:p>
        </w:tc>
        <w:tc>
          <w:tcPr>
            <w:tcW w:w="769" w:type="pct"/>
            <w:tcBorders>
              <w:left w:val="single" w:sz="4" w:space="0" w:color="auto"/>
            </w:tcBorders>
            <w:vAlign w:val="center"/>
          </w:tcPr>
          <w:p w14:paraId="4D30B0CB" w14:textId="680D7848" w:rsidR="004D51EA" w:rsidRPr="00E73D07" w:rsidRDefault="004D51EA" w:rsidP="004D51EA">
            <w:pPr>
              <w:jc w:val="right"/>
              <w:rPr>
                <w:rFonts w:cs="Times New Roman"/>
                <w:sz w:val="22"/>
              </w:rPr>
            </w:pPr>
          </w:p>
        </w:tc>
        <w:tc>
          <w:tcPr>
            <w:tcW w:w="770" w:type="pct"/>
            <w:vAlign w:val="center"/>
          </w:tcPr>
          <w:p w14:paraId="5FFB32F6" w14:textId="26E987DA" w:rsidR="004D51EA" w:rsidRPr="00E73D07" w:rsidRDefault="004D51EA" w:rsidP="004D51EA">
            <w:pPr>
              <w:jc w:val="right"/>
              <w:rPr>
                <w:rFonts w:cs="Times New Roman"/>
                <w:color w:val="000000"/>
                <w:sz w:val="22"/>
              </w:rPr>
            </w:pPr>
          </w:p>
        </w:tc>
        <w:tc>
          <w:tcPr>
            <w:tcW w:w="815" w:type="pct"/>
          </w:tcPr>
          <w:p w14:paraId="42DEF1B1" w14:textId="77777777" w:rsidR="004D51EA" w:rsidRPr="00E73D07" w:rsidRDefault="004D51EA" w:rsidP="004D51EA">
            <w:pPr>
              <w:jc w:val="right"/>
              <w:rPr>
                <w:rFonts w:cs="Times New Roman"/>
                <w:b/>
                <w:sz w:val="22"/>
              </w:rPr>
            </w:pPr>
          </w:p>
        </w:tc>
      </w:tr>
      <w:tr w:rsidR="004D51EA" w:rsidRPr="00E73D07" w14:paraId="78E3DD2F" w14:textId="77777777" w:rsidTr="00745FAB">
        <w:tc>
          <w:tcPr>
            <w:tcW w:w="1204" w:type="pct"/>
            <w:tcBorders>
              <w:right w:val="single" w:sz="4" w:space="0" w:color="auto"/>
            </w:tcBorders>
            <w:vAlign w:val="center"/>
          </w:tcPr>
          <w:p w14:paraId="3725806F" w14:textId="2FAB7AFD" w:rsidR="004D51EA" w:rsidRPr="00E73D07" w:rsidRDefault="004D51EA" w:rsidP="004D51EA">
            <w:pPr>
              <w:rPr>
                <w:rFonts w:cs="Times New Roman"/>
                <w:i/>
                <w:sz w:val="22"/>
              </w:rPr>
            </w:pPr>
            <w:r w:rsidRPr="00E73D07">
              <w:rPr>
                <w:rFonts w:cs="Times New Roman"/>
                <w:i/>
                <w:color w:val="000000"/>
                <w:sz w:val="22"/>
              </w:rPr>
              <w:t>ar1</w:t>
            </w:r>
          </w:p>
        </w:tc>
        <w:tc>
          <w:tcPr>
            <w:tcW w:w="768" w:type="pct"/>
            <w:tcBorders>
              <w:left w:val="single" w:sz="4" w:space="0" w:color="auto"/>
            </w:tcBorders>
            <w:vAlign w:val="center"/>
          </w:tcPr>
          <w:p w14:paraId="34BCF652" w14:textId="32EB9623" w:rsidR="004D51EA" w:rsidRPr="00E73D07" w:rsidRDefault="004D51EA" w:rsidP="004D51EA">
            <w:pPr>
              <w:jc w:val="right"/>
              <w:rPr>
                <w:rFonts w:cs="Times New Roman"/>
                <w:sz w:val="22"/>
              </w:rPr>
            </w:pPr>
            <w:r w:rsidRPr="00E73D07">
              <w:rPr>
                <w:rFonts w:cs="Times New Roman"/>
                <w:color w:val="000000"/>
                <w:sz w:val="22"/>
              </w:rPr>
              <w:t>21.05%**</w:t>
            </w:r>
          </w:p>
        </w:tc>
        <w:tc>
          <w:tcPr>
            <w:tcW w:w="674" w:type="pct"/>
            <w:tcBorders>
              <w:right w:val="single" w:sz="4" w:space="0" w:color="auto"/>
            </w:tcBorders>
            <w:vAlign w:val="center"/>
          </w:tcPr>
          <w:p w14:paraId="50427304" w14:textId="5037C003" w:rsidR="004D51EA" w:rsidRPr="00E73D07" w:rsidRDefault="004D51EA" w:rsidP="004D51EA">
            <w:pPr>
              <w:jc w:val="right"/>
              <w:rPr>
                <w:rFonts w:cs="Times New Roman"/>
                <w:sz w:val="22"/>
              </w:rPr>
            </w:pPr>
            <w:r w:rsidRPr="00E73D07">
              <w:rPr>
                <w:rFonts w:cs="Times New Roman"/>
                <w:color w:val="000000"/>
                <w:sz w:val="22"/>
              </w:rPr>
              <w:t>0.100</w:t>
            </w:r>
          </w:p>
        </w:tc>
        <w:tc>
          <w:tcPr>
            <w:tcW w:w="769" w:type="pct"/>
            <w:tcBorders>
              <w:left w:val="single" w:sz="4" w:space="0" w:color="auto"/>
            </w:tcBorders>
            <w:vAlign w:val="center"/>
          </w:tcPr>
          <w:p w14:paraId="20434862" w14:textId="2D9B4C3B" w:rsidR="004D51EA" w:rsidRPr="00E73D07" w:rsidRDefault="004D51EA" w:rsidP="004D51EA">
            <w:pPr>
              <w:jc w:val="right"/>
              <w:rPr>
                <w:rFonts w:cs="Times New Roman"/>
                <w:sz w:val="22"/>
              </w:rPr>
            </w:pPr>
            <w:r w:rsidRPr="00E73D07">
              <w:rPr>
                <w:rFonts w:cs="Times New Roman"/>
                <w:color w:val="000000"/>
                <w:sz w:val="22"/>
              </w:rPr>
              <w:t>23.79%</w:t>
            </w:r>
            <w:r w:rsidR="00686AE7">
              <w:rPr>
                <w:rFonts w:cs="Times New Roman"/>
                <w:color w:val="000000"/>
                <w:sz w:val="22"/>
              </w:rPr>
              <w:t>**</w:t>
            </w:r>
          </w:p>
        </w:tc>
        <w:tc>
          <w:tcPr>
            <w:tcW w:w="770" w:type="pct"/>
            <w:vAlign w:val="center"/>
          </w:tcPr>
          <w:p w14:paraId="503C889B" w14:textId="662B0AFC" w:rsidR="004D51EA" w:rsidRPr="00E73D07" w:rsidRDefault="004D51EA" w:rsidP="004D51EA">
            <w:pPr>
              <w:jc w:val="right"/>
              <w:rPr>
                <w:rFonts w:cs="Times New Roman"/>
                <w:sz w:val="22"/>
              </w:rPr>
            </w:pPr>
            <w:r w:rsidRPr="00E73D07">
              <w:rPr>
                <w:rFonts w:cs="Times New Roman"/>
                <w:color w:val="000000"/>
                <w:sz w:val="22"/>
              </w:rPr>
              <w:t>0.098</w:t>
            </w:r>
          </w:p>
        </w:tc>
        <w:tc>
          <w:tcPr>
            <w:tcW w:w="815" w:type="pct"/>
          </w:tcPr>
          <w:p w14:paraId="3D517435" w14:textId="77777777" w:rsidR="004D51EA" w:rsidRPr="00E73D07" w:rsidRDefault="004D51EA" w:rsidP="004D51EA">
            <w:pPr>
              <w:jc w:val="right"/>
              <w:rPr>
                <w:rFonts w:cs="Times New Roman"/>
                <w:b/>
                <w:sz w:val="22"/>
              </w:rPr>
            </w:pPr>
          </w:p>
        </w:tc>
      </w:tr>
      <w:tr w:rsidR="004D51EA" w:rsidRPr="00E73D07" w14:paraId="3ACD64CF" w14:textId="77777777" w:rsidTr="00745FAB">
        <w:tc>
          <w:tcPr>
            <w:tcW w:w="1204" w:type="pct"/>
            <w:tcBorders>
              <w:right w:val="single" w:sz="4" w:space="0" w:color="auto"/>
            </w:tcBorders>
            <w:vAlign w:val="center"/>
          </w:tcPr>
          <w:p w14:paraId="58A93C4C" w14:textId="11136601" w:rsidR="004D51EA" w:rsidRPr="00E73D07" w:rsidRDefault="004D51EA" w:rsidP="004D51EA">
            <w:pPr>
              <w:rPr>
                <w:rFonts w:cs="Times New Roman"/>
                <w:i/>
                <w:sz w:val="22"/>
              </w:rPr>
            </w:pPr>
            <w:r w:rsidRPr="00E73D07">
              <w:rPr>
                <w:rFonts w:cs="Times New Roman"/>
                <w:i/>
                <w:color w:val="000000"/>
                <w:sz w:val="22"/>
              </w:rPr>
              <w:t>intercept</w:t>
            </w:r>
          </w:p>
        </w:tc>
        <w:tc>
          <w:tcPr>
            <w:tcW w:w="768" w:type="pct"/>
            <w:tcBorders>
              <w:left w:val="single" w:sz="4" w:space="0" w:color="auto"/>
            </w:tcBorders>
            <w:vAlign w:val="center"/>
          </w:tcPr>
          <w:p w14:paraId="6F7B22EC" w14:textId="7C1E45C7" w:rsidR="004D51EA" w:rsidRPr="00E73D07" w:rsidRDefault="004D51EA" w:rsidP="004D51EA">
            <w:pPr>
              <w:jc w:val="right"/>
              <w:rPr>
                <w:rFonts w:cs="Times New Roman"/>
                <w:sz w:val="22"/>
              </w:rPr>
            </w:pPr>
            <w:r w:rsidRPr="00E73D07">
              <w:rPr>
                <w:rFonts w:cs="Times New Roman"/>
                <w:color w:val="000000"/>
                <w:sz w:val="22"/>
              </w:rPr>
              <w:t>1.05%***</w:t>
            </w:r>
          </w:p>
        </w:tc>
        <w:tc>
          <w:tcPr>
            <w:tcW w:w="674" w:type="pct"/>
            <w:tcBorders>
              <w:right w:val="single" w:sz="4" w:space="0" w:color="auto"/>
            </w:tcBorders>
            <w:vAlign w:val="center"/>
          </w:tcPr>
          <w:p w14:paraId="61F7A67A" w14:textId="0BFEB936" w:rsidR="004D51EA" w:rsidRPr="00E73D07" w:rsidRDefault="004D51EA" w:rsidP="004D51EA">
            <w:pPr>
              <w:jc w:val="right"/>
              <w:rPr>
                <w:rFonts w:cs="Times New Roman"/>
                <w:sz w:val="22"/>
              </w:rPr>
            </w:pPr>
            <w:r w:rsidRPr="00E73D07">
              <w:rPr>
                <w:rFonts w:cs="Times New Roman"/>
                <w:color w:val="000000"/>
                <w:sz w:val="22"/>
              </w:rPr>
              <w:t>0.003</w:t>
            </w:r>
          </w:p>
        </w:tc>
        <w:tc>
          <w:tcPr>
            <w:tcW w:w="769" w:type="pct"/>
            <w:tcBorders>
              <w:left w:val="single" w:sz="4" w:space="0" w:color="auto"/>
            </w:tcBorders>
            <w:vAlign w:val="center"/>
          </w:tcPr>
          <w:p w14:paraId="74BA8224" w14:textId="5802052A" w:rsidR="004D51EA" w:rsidRPr="00E73D07" w:rsidRDefault="004D51EA" w:rsidP="004D51EA">
            <w:pPr>
              <w:jc w:val="right"/>
              <w:rPr>
                <w:rFonts w:cs="Times New Roman"/>
                <w:sz w:val="22"/>
              </w:rPr>
            </w:pPr>
            <w:r w:rsidRPr="00E73D07">
              <w:rPr>
                <w:rFonts w:cs="Times New Roman"/>
                <w:color w:val="000000"/>
                <w:sz w:val="22"/>
              </w:rPr>
              <w:t>1.76%</w:t>
            </w:r>
            <w:r w:rsidR="00686AE7">
              <w:rPr>
                <w:rFonts w:cs="Times New Roman"/>
                <w:color w:val="000000"/>
                <w:sz w:val="22"/>
              </w:rPr>
              <w:t>***</w:t>
            </w:r>
          </w:p>
        </w:tc>
        <w:tc>
          <w:tcPr>
            <w:tcW w:w="770" w:type="pct"/>
            <w:vAlign w:val="center"/>
          </w:tcPr>
          <w:p w14:paraId="321F8788" w14:textId="793DF7B0" w:rsidR="004D51EA" w:rsidRPr="00E73D07" w:rsidRDefault="004D51EA" w:rsidP="004D51EA">
            <w:pPr>
              <w:jc w:val="right"/>
              <w:rPr>
                <w:rFonts w:cs="Times New Roman"/>
                <w:sz w:val="22"/>
              </w:rPr>
            </w:pPr>
            <w:r w:rsidRPr="00E73D07">
              <w:rPr>
                <w:rFonts w:cs="Times New Roman"/>
                <w:color w:val="000000"/>
                <w:sz w:val="22"/>
              </w:rPr>
              <w:t>0.003</w:t>
            </w:r>
          </w:p>
        </w:tc>
        <w:tc>
          <w:tcPr>
            <w:tcW w:w="815" w:type="pct"/>
          </w:tcPr>
          <w:p w14:paraId="7E9F27F9" w14:textId="77777777" w:rsidR="004D51EA" w:rsidRPr="00E73D07" w:rsidRDefault="004D51EA" w:rsidP="004D51EA">
            <w:pPr>
              <w:jc w:val="right"/>
              <w:rPr>
                <w:rFonts w:cs="Times New Roman"/>
                <w:b/>
                <w:sz w:val="22"/>
              </w:rPr>
            </w:pPr>
          </w:p>
        </w:tc>
      </w:tr>
      <w:tr w:rsidR="004D51EA" w:rsidRPr="00E73D07" w14:paraId="1132A2C6" w14:textId="77777777" w:rsidTr="00745FAB">
        <w:tc>
          <w:tcPr>
            <w:tcW w:w="1204" w:type="pct"/>
            <w:tcBorders>
              <w:right w:val="single" w:sz="4" w:space="0" w:color="auto"/>
            </w:tcBorders>
            <w:vAlign w:val="center"/>
          </w:tcPr>
          <w:p w14:paraId="74A11BA8" w14:textId="705558A3" w:rsidR="004D51EA" w:rsidRPr="00E73D07" w:rsidRDefault="004D51EA" w:rsidP="004D51EA">
            <w:pPr>
              <w:rPr>
                <w:rFonts w:cs="Times New Roman"/>
                <w:i/>
                <w:color w:val="000000"/>
                <w:sz w:val="22"/>
              </w:rPr>
            </w:pPr>
            <w:r w:rsidRPr="00E73D07">
              <w:rPr>
                <w:rFonts w:cs="Times New Roman"/>
                <w:color w:val="000000"/>
                <w:sz w:val="22"/>
              </w:rPr>
              <w:t>"ar2"</w:t>
            </w:r>
          </w:p>
        </w:tc>
        <w:tc>
          <w:tcPr>
            <w:tcW w:w="768" w:type="pct"/>
            <w:tcBorders>
              <w:left w:val="single" w:sz="4" w:space="0" w:color="auto"/>
            </w:tcBorders>
            <w:vAlign w:val="center"/>
          </w:tcPr>
          <w:p w14:paraId="63AF00A7" w14:textId="77777777" w:rsidR="004D51EA" w:rsidRPr="00E73D07" w:rsidRDefault="004D51EA" w:rsidP="004D51EA">
            <w:pPr>
              <w:jc w:val="right"/>
              <w:rPr>
                <w:rFonts w:cs="Times New Roman"/>
                <w:sz w:val="22"/>
              </w:rPr>
            </w:pPr>
          </w:p>
        </w:tc>
        <w:tc>
          <w:tcPr>
            <w:tcW w:w="674" w:type="pct"/>
            <w:tcBorders>
              <w:right w:val="single" w:sz="4" w:space="0" w:color="auto"/>
            </w:tcBorders>
            <w:vAlign w:val="center"/>
          </w:tcPr>
          <w:p w14:paraId="4BB8F3FD" w14:textId="77777777" w:rsidR="004D51EA" w:rsidRPr="00E73D07" w:rsidRDefault="004D51EA" w:rsidP="004D51EA">
            <w:pPr>
              <w:jc w:val="right"/>
              <w:rPr>
                <w:rFonts w:cs="Times New Roman"/>
                <w:sz w:val="22"/>
              </w:rPr>
            </w:pPr>
          </w:p>
        </w:tc>
        <w:tc>
          <w:tcPr>
            <w:tcW w:w="769" w:type="pct"/>
            <w:tcBorders>
              <w:left w:val="single" w:sz="4" w:space="0" w:color="auto"/>
            </w:tcBorders>
            <w:vAlign w:val="center"/>
          </w:tcPr>
          <w:p w14:paraId="11750B47" w14:textId="1E6A64FC" w:rsidR="004D51EA" w:rsidRPr="00E73D07" w:rsidRDefault="004D51EA" w:rsidP="004D51EA">
            <w:pPr>
              <w:jc w:val="right"/>
              <w:rPr>
                <w:rFonts w:cs="Times New Roman"/>
                <w:sz w:val="22"/>
              </w:rPr>
            </w:pPr>
            <w:r w:rsidRPr="00E73D07">
              <w:rPr>
                <w:rFonts w:cs="Times New Roman"/>
                <w:color w:val="000000"/>
                <w:sz w:val="22"/>
              </w:rPr>
              <w:t>28.74%</w:t>
            </w:r>
            <w:r w:rsidR="00686AE7">
              <w:rPr>
                <w:rFonts w:cs="Times New Roman"/>
                <w:color w:val="000000"/>
                <w:sz w:val="22"/>
              </w:rPr>
              <w:t>**</w:t>
            </w:r>
          </w:p>
        </w:tc>
        <w:tc>
          <w:tcPr>
            <w:tcW w:w="770" w:type="pct"/>
            <w:vAlign w:val="center"/>
          </w:tcPr>
          <w:p w14:paraId="523E5884" w14:textId="710F5E47" w:rsidR="004D51EA" w:rsidRPr="00E73D07" w:rsidRDefault="004D51EA" w:rsidP="004D51EA">
            <w:pPr>
              <w:jc w:val="right"/>
              <w:rPr>
                <w:rFonts w:cs="Times New Roman"/>
                <w:sz w:val="22"/>
              </w:rPr>
            </w:pPr>
            <w:r w:rsidRPr="00E73D07">
              <w:rPr>
                <w:rFonts w:cs="Times New Roman"/>
                <w:color w:val="000000"/>
                <w:sz w:val="22"/>
              </w:rPr>
              <w:t>0.101</w:t>
            </w:r>
          </w:p>
        </w:tc>
        <w:tc>
          <w:tcPr>
            <w:tcW w:w="815" w:type="pct"/>
          </w:tcPr>
          <w:p w14:paraId="3CD6A2DC" w14:textId="77777777" w:rsidR="004D51EA" w:rsidRPr="00E73D07" w:rsidRDefault="004D51EA" w:rsidP="004D51EA">
            <w:pPr>
              <w:jc w:val="right"/>
              <w:rPr>
                <w:rFonts w:cs="Times New Roman"/>
                <w:b/>
                <w:sz w:val="22"/>
              </w:rPr>
            </w:pPr>
          </w:p>
        </w:tc>
      </w:tr>
      <w:tr w:rsidR="004D51EA" w:rsidRPr="00E73D07" w14:paraId="4186CC85" w14:textId="77777777" w:rsidTr="00745FAB">
        <w:tc>
          <w:tcPr>
            <w:tcW w:w="1204" w:type="pct"/>
            <w:tcBorders>
              <w:right w:val="single" w:sz="4" w:space="0" w:color="auto"/>
            </w:tcBorders>
            <w:vAlign w:val="center"/>
          </w:tcPr>
          <w:p w14:paraId="5E9B3907" w14:textId="62F1AAC9" w:rsidR="004D51EA" w:rsidRPr="00E73D07" w:rsidRDefault="004D51EA" w:rsidP="004D51EA">
            <w:pPr>
              <w:rPr>
                <w:rFonts w:cs="Times New Roman"/>
                <w:i/>
                <w:sz w:val="22"/>
              </w:rPr>
            </w:pPr>
            <w:r w:rsidRPr="00E73D07">
              <w:rPr>
                <w:rFonts w:cs="Times New Roman"/>
                <w:color w:val="000000"/>
                <w:sz w:val="22"/>
              </w:rPr>
              <w:t>"ar3"</w:t>
            </w:r>
          </w:p>
        </w:tc>
        <w:tc>
          <w:tcPr>
            <w:tcW w:w="768" w:type="pct"/>
            <w:tcBorders>
              <w:left w:val="single" w:sz="4" w:space="0" w:color="auto"/>
            </w:tcBorders>
            <w:vAlign w:val="center"/>
          </w:tcPr>
          <w:p w14:paraId="03E7BD1B" w14:textId="77777777" w:rsidR="004D51EA" w:rsidRPr="00E73D07" w:rsidRDefault="004D51EA" w:rsidP="004D51EA">
            <w:pPr>
              <w:jc w:val="right"/>
              <w:rPr>
                <w:rFonts w:cs="Times New Roman"/>
                <w:sz w:val="22"/>
              </w:rPr>
            </w:pPr>
          </w:p>
        </w:tc>
        <w:tc>
          <w:tcPr>
            <w:tcW w:w="674" w:type="pct"/>
            <w:tcBorders>
              <w:right w:val="single" w:sz="4" w:space="0" w:color="auto"/>
            </w:tcBorders>
            <w:vAlign w:val="center"/>
          </w:tcPr>
          <w:p w14:paraId="6C4E5613" w14:textId="77777777" w:rsidR="004D51EA" w:rsidRPr="00E73D07" w:rsidRDefault="004D51EA" w:rsidP="004D51EA">
            <w:pPr>
              <w:jc w:val="right"/>
              <w:rPr>
                <w:rFonts w:cs="Times New Roman"/>
                <w:sz w:val="22"/>
              </w:rPr>
            </w:pPr>
          </w:p>
        </w:tc>
        <w:tc>
          <w:tcPr>
            <w:tcW w:w="769" w:type="pct"/>
            <w:tcBorders>
              <w:left w:val="single" w:sz="4" w:space="0" w:color="auto"/>
            </w:tcBorders>
            <w:vAlign w:val="center"/>
          </w:tcPr>
          <w:p w14:paraId="1449099F" w14:textId="72B0D62F" w:rsidR="004D51EA" w:rsidRPr="00E73D07" w:rsidRDefault="004D51EA" w:rsidP="004D51EA">
            <w:pPr>
              <w:jc w:val="right"/>
              <w:rPr>
                <w:rFonts w:cs="Times New Roman"/>
                <w:sz w:val="22"/>
              </w:rPr>
            </w:pPr>
            <w:r w:rsidRPr="00E73D07">
              <w:rPr>
                <w:rFonts w:cs="Times New Roman"/>
                <w:color w:val="000000"/>
                <w:sz w:val="22"/>
              </w:rPr>
              <w:t>-28.38%</w:t>
            </w:r>
            <w:r w:rsidR="00686AE7">
              <w:rPr>
                <w:rFonts w:cs="Times New Roman"/>
                <w:color w:val="000000"/>
                <w:sz w:val="22"/>
              </w:rPr>
              <w:t>*</w:t>
            </w:r>
          </w:p>
        </w:tc>
        <w:tc>
          <w:tcPr>
            <w:tcW w:w="770" w:type="pct"/>
            <w:vAlign w:val="center"/>
          </w:tcPr>
          <w:p w14:paraId="5102CFD5" w14:textId="7ADEA895" w:rsidR="004D51EA" w:rsidRPr="00E73D07" w:rsidRDefault="004D51EA" w:rsidP="004D51EA">
            <w:pPr>
              <w:jc w:val="right"/>
              <w:rPr>
                <w:rFonts w:cs="Times New Roman"/>
                <w:sz w:val="22"/>
              </w:rPr>
            </w:pPr>
            <w:r w:rsidRPr="00E73D07">
              <w:rPr>
                <w:rFonts w:cs="Times New Roman"/>
                <w:color w:val="000000"/>
                <w:sz w:val="22"/>
              </w:rPr>
              <w:t>0.104</w:t>
            </w:r>
          </w:p>
        </w:tc>
        <w:tc>
          <w:tcPr>
            <w:tcW w:w="815" w:type="pct"/>
          </w:tcPr>
          <w:p w14:paraId="73EC0B9F" w14:textId="77777777" w:rsidR="004D51EA" w:rsidRPr="00E73D07" w:rsidRDefault="004D51EA" w:rsidP="004D51EA">
            <w:pPr>
              <w:jc w:val="right"/>
              <w:rPr>
                <w:rFonts w:cs="Times New Roman"/>
                <w:b/>
                <w:sz w:val="22"/>
              </w:rPr>
            </w:pPr>
          </w:p>
        </w:tc>
      </w:tr>
      <w:tr w:rsidR="004D51EA" w:rsidRPr="00E73D07" w14:paraId="3CD4FC04" w14:textId="77777777" w:rsidTr="00745FAB">
        <w:tc>
          <w:tcPr>
            <w:tcW w:w="1204" w:type="pct"/>
            <w:tcBorders>
              <w:right w:val="single" w:sz="4" w:space="0" w:color="auto"/>
            </w:tcBorders>
            <w:vAlign w:val="center"/>
          </w:tcPr>
          <w:p w14:paraId="6D6EA083" w14:textId="4E4CD3E4" w:rsidR="004D51EA" w:rsidRPr="00E73D07" w:rsidRDefault="004D51EA" w:rsidP="004D51EA">
            <w:pPr>
              <w:rPr>
                <w:rFonts w:cs="Times New Roman"/>
                <w:i/>
                <w:sz w:val="22"/>
              </w:rPr>
            </w:pPr>
            <w:r w:rsidRPr="00E73D07">
              <w:rPr>
                <w:rFonts w:cs="Times New Roman"/>
                <w:color w:val="000000"/>
                <w:sz w:val="22"/>
              </w:rPr>
              <w:t>"sar1"</w:t>
            </w:r>
          </w:p>
        </w:tc>
        <w:tc>
          <w:tcPr>
            <w:tcW w:w="768" w:type="pct"/>
            <w:tcBorders>
              <w:left w:val="single" w:sz="4" w:space="0" w:color="auto"/>
            </w:tcBorders>
            <w:vAlign w:val="center"/>
          </w:tcPr>
          <w:p w14:paraId="4810BCEC" w14:textId="77777777" w:rsidR="004D51EA" w:rsidRPr="00E73D07" w:rsidRDefault="004D51EA" w:rsidP="004D51EA">
            <w:pPr>
              <w:jc w:val="right"/>
              <w:rPr>
                <w:rFonts w:cs="Times New Roman"/>
                <w:sz w:val="22"/>
              </w:rPr>
            </w:pPr>
          </w:p>
        </w:tc>
        <w:tc>
          <w:tcPr>
            <w:tcW w:w="674" w:type="pct"/>
            <w:tcBorders>
              <w:right w:val="single" w:sz="4" w:space="0" w:color="auto"/>
            </w:tcBorders>
            <w:vAlign w:val="center"/>
          </w:tcPr>
          <w:p w14:paraId="452C9136" w14:textId="77777777" w:rsidR="004D51EA" w:rsidRPr="00E73D07" w:rsidRDefault="004D51EA" w:rsidP="004D51EA">
            <w:pPr>
              <w:jc w:val="right"/>
              <w:rPr>
                <w:rFonts w:cs="Times New Roman"/>
                <w:sz w:val="22"/>
              </w:rPr>
            </w:pPr>
          </w:p>
        </w:tc>
        <w:tc>
          <w:tcPr>
            <w:tcW w:w="769" w:type="pct"/>
            <w:tcBorders>
              <w:left w:val="single" w:sz="4" w:space="0" w:color="auto"/>
            </w:tcBorders>
            <w:vAlign w:val="center"/>
          </w:tcPr>
          <w:p w14:paraId="59CB9889" w14:textId="2EFD045F" w:rsidR="004D51EA" w:rsidRPr="00E73D07" w:rsidRDefault="004D51EA" w:rsidP="004D51EA">
            <w:pPr>
              <w:jc w:val="right"/>
              <w:rPr>
                <w:rFonts w:cs="Times New Roman"/>
                <w:sz w:val="22"/>
              </w:rPr>
            </w:pPr>
            <w:r w:rsidRPr="00E73D07">
              <w:rPr>
                <w:rFonts w:cs="Times New Roman"/>
                <w:color w:val="000000"/>
                <w:sz w:val="22"/>
              </w:rPr>
              <w:t>-34.44%</w:t>
            </w:r>
            <w:r w:rsidR="00686AE7">
              <w:rPr>
                <w:rFonts w:cs="Times New Roman"/>
                <w:color w:val="000000"/>
                <w:sz w:val="22"/>
              </w:rPr>
              <w:t>**</w:t>
            </w:r>
          </w:p>
        </w:tc>
        <w:tc>
          <w:tcPr>
            <w:tcW w:w="770" w:type="pct"/>
            <w:vAlign w:val="center"/>
          </w:tcPr>
          <w:p w14:paraId="72A7AA64" w14:textId="6CF0DCCF" w:rsidR="004D51EA" w:rsidRPr="00E73D07" w:rsidRDefault="004D51EA" w:rsidP="004D51EA">
            <w:pPr>
              <w:jc w:val="right"/>
              <w:rPr>
                <w:rFonts w:cs="Times New Roman"/>
                <w:sz w:val="22"/>
              </w:rPr>
            </w:pPr>
            <w:r w:rsidRPr="00E73D07">
              <w:rPr>
                <w:rFonts w:cs="Times New Roman"/>
                <w:color w:val="000000"/>
                <w:sz w:val="22"/>
              </w:rPr>
              <w:t>0.112</w:t>
            </w:r>
          </w:p>
        </w:tc>
        <w:tc>
          <w:tcPr>
            <w:tcW w:w="815" w:type="pct"/>
          </w:tcPr>
          <w:p w14:paraId="2540AA60" w14:textId="77777777" w:rsidR="004D51EA" w:rsidRPr="00E73D07" w:rsidRDefault="004D51EA" w:rsidP="004D51EA">
            <w:pPr>
              <w:jc w:val="right"/>
              <w:rPr>
                <w:rFonts w:cs="Times New Roman"/>
                <w:b/>
                <w:sz w:val="22"/>
              </w:rPr>
            </w:pPr>
          </w:p>
        </w:tc>
      </w:tr>
      <w:tr w:rsidR="004D51EA" w:rsidRPr="00E73D07" w14:paraId="610EF2BF" w14:textId="77777777" w:rsidTr="00745FAB">
        <w:tc>
          <w:tcPr>
            <w:tcW w:w="1204" w:type="pct"/>
            <w:tcBorders>
              <w:right w:val="single" w:sz="4" w:space="0" w:color="auto"/>
            </w:tcBorders>
            <w:vAlign w:val="center"/>
          </w:tcPr>
          <w:p w14:paraId="57BA4B5C" w14:textId="14FCD005" w:rsidR="004D51EA" w:rsidRPr="00E73D07" w:rsidRDefault="004D51EA" w:rsidP="004D51EA">
            <w:pPr>
              <w:rPr>
                <w:rFonts w:cs="Times New Roman"/>
                <w:i/>
                <w:sz w:val="22"/>
              </w:rPr>
            </w:pPr>
            <w:r w:rsidRPr="00E73D07">
              <w:rPr>
                <w:rFonts w:cs="Times New Roman"/>
                <w:color w:val="000000"/>
                <w:sz w:val="22"/>
              </w:rPr>
              <w:t>"sar2"</w:t>
            </w:r>
          </w:p>
        </w:tc>
        <w:tc>
          <w:tcPr>
            <w:tcW w:w="768" w:type="pct"/>
            <w:tcBorders>
              <w:left w:val="single" w:sz="4" w:space="0" w:color="auto"/>
            </w:tcBorders>
            <w:vAlign w:val="center"/>
          </w:tcPr>
          <w:p w14:paraId="20E9F7FE" w14:textId="77777777" w:rsidR="004D51EA" w:rsidRPr="00E73D07" w:rsidRDefault="004D51EA" w:rsidP="004D51EA">
            <w:pPr>
              <w:jc w:val="right"/>
              <w:rPr>
                <w:rFonts w:cs="Times New Roman"/>
                <w:sz w:val="22"/>
              </w:rPr>
            </w:pPr>
          </w:p>
        </w:tc>
        <w:tc>
          <w:tcPr>
            <w:tcW w:w="674" w:type="pct"/>
            <w:tcBorders>
              <w:right w:val="single" w:sz="4" w:space="0" w:color="auto"/>
            </w:tcBorders>
            <w:vAlign w:val="center"/>
          </w:tcPr>
          <w:p w14:paraId="4ADB9EE5" w14:textId="77777777" w:rsidR="004D51EA" w:rsidRPr="00E73D07" w:rsidRDefault="004D51EA" w:rsidP="004D51EA">
            <w:pPr>
              <w:jc w:val="right"/>
              <w:rPr>
                <w:rFonts w:cs="Times New Roman"/>
                <w:sz w:val="22"/>
              </w:rPr>
            </w:pPr>
          </w:p>
        </w:tc>
        <w:tc>
          <w:tcPr>
            <w:tcW w:w="769" w:type="pct"/>
            <w:tcBorders>
              <w:left w:val="single" w:sz="4" w:space="0" w:color="auto"/>
            </w:tcBorders>
            <w:vAlign w:val="center"/>
          </w:tcPr>
          <w:p w14:paraId="666B85F0" w14:textId="21FD3C78" w:rsidR="004D51EA" w:rsidRPr="00E73D07" w:rsidRDefault="004D51EA" w:rsidP="004D51EA">
            <w:pPr>
              <w:jc w:val="right"/>
              <w:rPr>
                <w:rFonts w:cs="Times New Roman"/>
                <w:sz w:val="22"/>
              </w:rPr>
            </w:pPr>
            <w:r w:rsidRPr="00E73D07">
              <w:rPr>
                <w:rFonts w:cs="Times New Roman"/>
                <w:color w:val="000000"/>
                <w:sz w:val="22"/>
              </w:rPr>
              <w:t>-25.82%</w:t>
            </w:r>
            <w:r w:rsidR="00686AE7">
              <w:rPr>
                <w:rFonts w:cs="Times New Roman"/>
                <w:color w:val="000000"/>
                <w:sz w:val="22"/>
              </w:rPr>
              <w:t>**</w:t>
            </w:r>
          </w:p>
        </w:tc>
        <w:tc>
          <w:tcPr>
            <w:tcW w:w="770" w:type="pct"/>
            <w:vAlign w:val="center"/>
          </w:tcPr>
          <w:p w14:paraId="45FE44B8" w14:textId="51F2907F" w:rsidR="004D51EA" w:rsidRPr="00E73D07" w:rsidRDefault="004D51EA" w:rsidP="004D51EA">
            <w:pPr>
              <w:jc w:val="right"/>
              <w:rPr>
                <w:rFonts w:cs="Times New Roman"/>
                <w:sz w:val="22"/>
              </w:rPr>
            </w:pPr>
            <w:r w:rsidRPr="00E73D07">
              <w:rPr>
                <w:rFonts w:cs="Times New Roman"/>
                <w:color w:val="000000"/>
                <w:sz w:val="22"/>
              </w:rPr>
              <w:t>0.124</w:t>
            </w:r>
          </w:p>
        </w:tc>
        <w:tc>
          <w:tcPr>
            <w:tcW w:w="815" w:type="pct"/>
          </w:tcPr>
          <w:p w14:paraId="469F1C56" w14:textId="77777777" w:rsidR="004D51EA" w:rsidRPr="00E73D07" w:rsidRDefault="004D51EA" w:rsidP="004D51EA">
            <w:pPr>
              <w:jc w:val="right"/>
              <w:rPr>
                <w:rFonts w:cs="Times New Roman"/>
                <w:b/>
                <w:sz w:val="22"/>
              </w:rPr>
            </w:pPr>
          </w:p>
        </w:tc>
      </w:tr>
      <w:tr w:rsidR="004D51EA" w:rsidRPr="00E73D07" w14:paraId="27C93A6A" w14:textId="77777777" w:rsidTr="00745FAB">
        <w:tc>
          <w:tcPr>
            <w:tcW w:w="1204" w:type="pct"/>
            <w:tcBorders>
              <w:bottom w:val="single" w:sz="4" w:space="0" w:color="auto"/>
              <w:right w:val="single" w:sz="4" w:space="0" w:color="auto"/>
            </w:tcBorders>
            <w:vAlign w:val="center"/>
          </w:tcPr>
          <w:p w14:paraId="15836B9F" w14:textId="77777777" w:rsidR="004D51EA" w:rsidRPr="00E73D07" w:rsidRDefault="004D51EA" w:rsidP="004D51EA">
            <w:pPr>
              <w:rPr>
                <w:rFonts w:cs="Times New Roman"/>
                <w:sz w:val="22"/>
              </w:rPr>
            </w:pPr>
          </w:p>
        </w:tc>
        <w:tc>
          <w:tcPr>
            <w:tcW w:w="768" w:type="pct"/>
            <w:tcBorders>
              <w:left w:val="single" w:sz="4" w:space="0" w:color="auto"/>
              <w:bottom w:val="single" w:sz="4" w:space="0" w:color="auto"/>
            </w:tcBorders>
            <w:vAlign w:val="center"/>
          </w:tcPr>
          <w:p w14:paraId="6DC46B41" w14:textId="77777777" w:rsidR="004D51EA" w:rsidRPr="00E73D07" w:rsidRDefault="004D51EA" w:rsidP="004D51EA">
            <w:pPr>
              <w:jc w:val="right"/>
              <w:rPr>
                <w:rFonts w:cs="Times New Roman"/>
                <w:sz w:val="22"/>
              </w:rPr>
            </w:pPr>
          </w:p>
        </w:tc>
        <w:tc>
          <w:tcPr>
            <w:tcW w:w="674" w:type="pct"/>
            <w:tcBorders>
              <w:bottom w:val="single" w:sz="4" w:space="0" w:color="auto"/>
              <w:right w:val="single" w:sz="4" w:space="0" w:color="auto"/>
            </w:tcBorders>
            <w:vAlign w:val="center"/>
          </w:tcPr>
          <w:p w14:paraId="23539B2B" w14:textId="77777777" w:rsidR="004D51EA" w:rsidRPr="00E73D07" w:rsidRDefault="004D51EA" w:rsidP="004D51EA">
            <w:pPr>
              <w:jc w:val="right"/>
              <w:rPr>
                <w:rFonts w:cs="Times New Roman"/>
                <w:sz w:val="22"/>
              </w:rPr>
            </w:pPr>
          </w:p>
        </w:tc>
        <w:tc>
          <w:tcPr>
            <w:tcW w:w="769" w:type="pct"/>
            <w:tcBorders>
              <w:left w:val="single" w:sz="4" w:space="0" w:color="auto"/>
              <w:bottom w:val="single" w:sz="4" w:space="0" w:color="auto"/>
            </w:tcBorders>
          </w:tcPr>
          <w:p w14:paraId="59749284" w14:textId="77777777" w:rsidR="004D51EA" w:rsidRPr="00E73D07" w:rsidRDefault="004D51EA" w:rsidP="004D51EA">
            <w:pPr>
              <w:jc w:val="right"/>
              <w:rPr>
                <w:rFonts w:cs="Times New Roman"/>
                <w:sz w:val="22"/>
              </w:rPr>
            </w:pPr>
          </w:p>
        </w:tc>
        <w:tc>
          <w:tcPr>
            <w:tcW w:w="770" w:type="pct"/>
            <w:tcBorders>
              <w:bottom w:val="single" w:sz="4" w:space="0" w:color="auto"/>
            </w:tcBorders>
          </w:tcPr>
          <w:p w14:paraId="6825C03F" w14:textId="77777777" w:rsidR="004D51EA" w:rsidRPr="00E73D07" w:rsidRDefault="004D51EA" w:rsidP="004D51EA">
            <w:pPr>
              <w:jc w:val="right"/>
              <w:rPr>
                <w:rFonts w:cs="Times New Roman"/>
                <w:sz w:val="22"/>
              </w:rPr>
            </w:pPr>
          </w:p>
        </w:tc>
        <w:tc>
          <w:tcPr>
            <w:tcW w:w="815" w:type="pct"/>
            <w:tcBorders>
              <w:bottom w:val="single" w:sz="4" w:space="0" w:color="auto"/>
            </w:tcBorders>
          </w:tcPr>
          <w:p w14:paraId="0B4D191E" w14:textId="77777777" w:rsidR="004D51EA" w:rsidRPr="00E73D07" w:rsidRDefault="004D51EA" w:rsidP="004D51EA">
            <w:pPr>
              <w:jc w:val="right"/>
              <w:rPr>
                <w:rFonts w:cs="Times New Roman"/>
                <w:b/>
                <w:sz w:val="22"/>
              </w:rPr>
            </w:pPr>
          </w:p>
        </w:tc>
      </w:tr>
      <w:tr w:rsidR="004D51EA" w:rsidRPr="00E73D07" w14:paraId="594312B9" w14:textId="77777777" w:rsidTr="00745FAB">
        <w:tc>
          <w:tcPr>
            <w:tcW w:w="1204" w:type="pct"/>
            <w:tcBorders>
              <w:top w:val="single" w:sz="4" w:space="0" w:color="auto"/>
              <w:right w:val="single" w:sz="4" w:space="0" w:color="auto"/>
            </w:tcBorders>
            <w:vAlign w:val="center"/>
          </w:tcPr>
          <w:p w14:paraId="6B60EA99" w14:textId="77777777" w:rsidR="004D51EA" w:rsidRPr="00E73D07" w:rsidRDefault="004D51EA" w:rsidP="004D51EA">
            <w:pPr>
              <w:rPr>
                <w:rFonts w:cs="Times New Roman"/>
                <w:sz w:val="22"/>
              </w:rPr>
            </w:pPr>
            <w:r w:rsidRPr="00E73D07">
              <w:rPr>
                <w:rFonts w:cs="Times New Roman"/>
                <w:sz w:val="22"/>
              </w:rPr>
              <w:t>Observations</w:t>
            </w:r>
          </w:p>
        </w:tc>
        <w:tc>
          <w:tcPr>
            <w:tcW w:w="1442" w:type="pct"/>
            <w:gridSpan w:val="2"/>
            <w:tcBorders>
              <w:top w:val="single" w:sz="4" w:space="0" w:color="auto"/>
              <w:left w:val="single" w:sz="4" w:space="0" w:color="auto"/>
              <w:right w:val="single" w:sz="4" w:space="0" w:color="auto"/>
            </w:tcBorders>
            <w:vAlign w:val="center"/>
          </w:tcPr>
          <w:p w14:paraId="0014D916" w14:textId="006810B8" w:rsidR="004D51EA" w:rsidRPr="00E73D07" w:rsidRDefault="004D51EA" w:rsidP="004D51EA">
            <w:pPr>
              <w:jc w:val="center"/>
              <w:rPr>
                <w:rFonts w:cs="Times New Roman"/>
                <w:sz w:val="22"/>
              </w:rPr>
            </w:pPr>
            <w:r w:rsidRPr="00E73D07">
              <w:rPr>
                <w:rFonts w:cs="Times New Roman"/>
                <w:sz w:val="22"/>
              </w:rPr>
              <w:t>96</w:t>
            </w:r>
          </w:p>
        </w:tc>
        <w:tc>
          <w:tcPr>
            <w:tcW w:w="1539" w:type="pct"/>
            <w:gridSpan w:val="2"/>
            <w:tcBorders>
              <w:top w:val="single" w:sz="4" w:space="0" w:color="auto"/>
              <w:left w:val="single" w:sz="4" w:space="0" w:color="auto"/>
            </w:tcBorders>
            <w:vAlign w:val="center"/>
          </w:tcPr>
          <w:p w14:paraId="3AD8CAE1" w14:textId="06D72E29" w:rsidR="004D51EA" w:rsidRPr="00E73D07" w:rsidRDefault="004D51EA" w:rsidP="004D51EA">
            <w:pPr>
              <w:jc w:val="center"/>
              <w:rPr>
                <w:rFonts w:cs="Times New Roman"/>
                <w:sz w:val="22"/>
              </w:rPr>
            </w:pPr>
            <w:r w:rsidRPr="00E73D07">
              <w:rPr>
                <w:rFonts w:cs="Times New Roman"/>
                <w:sz w:val="22"/>
              </w:rPr>
              <w:t>96</w:t>
            </w:r>
          </w:p>
        </w:tc>
        <w:tc>
          <w:tcPr>
            <w:tcW w:w="815" w:type="pct"/>
            <w:tcBorders>
              <w:top w:val="single" w:sz="4" w:space="0" w:color="auto"/>
            </w:tcBorders>
          </w:tcPr>
          <w:p w14:paraId="29EBE1D3" w14:textId="77777777" w:rsidR="004D51EA" w:rsidRPr="00E73D07" w:rsidRDefault="004D51EA" w:rsidP="004D51EA">
            <w:pPr>
              <w:rPr>
                <w:rFonts w:cs="Times New Roman"/>
                <w:b/>
                <w:sz w:val="22"/>
              </w:rPr>
            </w:pPr>
          </w:p>
        </w:tc>
      </w:tr>
      <w:tr w:rsidR="004D51EA" w:rsidRPr="00E73D07" w14:paraId="6A6E27F4" w14:textId="77777777" w:rsidTr="00745FAB">
        <w:tc>
          <w:tcPr>
            <w:tcW w:w="1204" w:type="pct"/>
            <w:tcBorders>
              <w:right w:val="single" w:sz="4" w:space="0" w:color="auto"/>
            </w:tcBorders>
            <w:vAlign w:val="center"/>
          </w:tcPr>
          <w:p w14:paraId="7D323073" w14:textId="77777777" w:rsidR="004D51EA" w:rsidRPr="00E73D07" w:rsidRDefault="004D51EA" w:rsidP="004D51EA">
            <w:pPr>
              <w:rPr>
                <w:rFonts w:cs="Times New Roman"/>
                <w:sz w:val="22"/>
              </w:rPr>
            </w:pPr>
            <w:r w:rsidRPr="00E73D07">
              <w:rPr>
                <w:rFonts w:cs="Times New Roman"/>
                <w:sz w:val="22"/>
              </w:rPr>
              <w:t>Order</w:t>
            </w:r>
          </w:p>
        </w:tc>
        <w:tc>
          <w:tcPr>
            <w:tcW w:w="1442" w:type="pct"/>
            <w:gridSpan w:val="2"/>
            <w:tcBorders>
              <w:left w:val="single" w:sz="4" w:space="0" w:color="auto"/>
              <w:right w:val="single" w:sz="4" w:space="0" w:color="auto"/>
            </w:tcBorders>
            <w:vAlign w:val="center"/>
          </w:tcPr>
          <w:p w14:paraId="0979A58A" w14:textId="769546F9" w:rsidR="004D51EA" w:rsidRPr="00E73D07" w:rsidRDefault="004D51EA" w:rsidP="004D51EA">
            <w:pPr>
              <w:jc w:val="center"/>
              <w:rPr>
                <w:rFonts w:cs="Times New Roman"/>
                <w:sz w:val="22"/>
              </w:rPr>
            </w:pPr>
            <w:r w:rsidRPr="00E73D07">
              <w:rPr>
                <w:rFonts w:cs="Times New Roman"/>
                <w:sz w:val="22"/>
              </w:rPr>
              <w:t>(1,0,0)</w:t>
            </w:r>
          </w:p>
        </w:tc>
        <w:tc>
          <w:tcPr>
            <w:tcW w:w="1539" w:type="pct"/>
            <w:gridSpan w:val="2"/>
            <w:tcBorders>
              <w:left w:val="single" w:sz="4" w:space="0" w:color="auto"/>
            </w:tcBorders>
            <w:vAlign w:val="center"/>
          </w:tcPr>
          <w:p w14:paraId="1AD0590E" w14:textId="70A1A918" w:rsidR="004D51EA" w:rsidRPr="00E73D07" w:rsidRDefault="004D51EA" w:rsidP="004D51EA">
            <w:pPr>
              <w:pStyle w:val="HTMLPreformatted"/>
              <w:shd w:val="clear" w:color="auto" w:fill="FFFFFF"/>
              <w:wordWrap w:val="0"/>
              <w:spacing w:line="225" w:lineRule="atLeast"/>
              <w:jc w:val="center"/>
              <w:rPr>
                <w:rFonts w:ascii="Times New Roman" w:hAnsi="Times New Roman" w:cs="Times New Roman"/>
                <w:color w:val="000000"/>
                <w:sz w:val="22"/>
                <w:szCs w:val="22"/>
              </w:rPr>
            </w:pPr>
            <w:r w:rsidRPr="00E73D07">
              <w:rPr>
                <w:rFonts w:ascii="Times New Roman" w:hAnsi="Times New Roman" w:cs="Times New Roman"/>
                <w:color w:val="000000"/>
                <w:sz w:val="22"/>
                <w:szCs w:val="22"/>
              </w:rPr>
              <w:t>(3,0,0)(2,0,0)</w:t>
            </w:r>
            <w:r w:rsidRPr="00E73D07">
              <w:rPr>
                <w:rFonts w:ascii="Times New Roman" w:hAnsi="Times New Roman" w:cs="Times New Roman"/>
                <w:color w:val="000000"/>
                <w:sz w:val="22"/>
                <w:szCs w:val="22"/>
                <w:vertAlign w:val="subscript"/>
              </w:rPr>
              <w:t>[12]</w:t>
            </w:r>
          </w:p>
        </w:tc>
        <w:tc>
          <w:tcPr>
            <w:tcW w:w="815" w:type="pct"/>
          </w:tcPr>
          <w:p w14:paraId="45F53139" w14:textId="77777777" w:rsidR="004D51EA" w:rsidRPr="00E73D07" w:rsidRDefault="004D51EA" w:rsidP="004D51EA">
            <w:pPr>
              <w:rPr>
                <w:rFonts w:cs="Times New Roman"/>
                <w:b/>
                <w:sz w:val="22"/>
              </w:rPr>
            </w:pPr>
          </w:p>
        </w:tc>
      </w:tr>
      <w:tr w:rsidR="004D51EA" w:rsidRPr="00E73D07" w14:paraId="57C92F97" w14:textId="77777777" w:rsidTr="00745FAB">
        <w:tc>
          <w:tcPr>
            <w:tcW w:w="1204" w:type="pct"/>
            <w:tcBorders>
              <w:right w:val="single" w:sz="4" w:space="0" w:color="auto"/>
            </w:tcBorders>
            <w:vAlign w:val="center"/>
          </w:tcPr>
          <w:p w14:paraId="1EFFAA16" w14:textId="77777777" w:rsidR="004D51EA" w:rsidRPr="00E73D07" w:rsidRDefault="004D51EA" w:rsidP="004D51EA">
            <w:pPr>
              <w:rPr>
                <w:rFonts w:cs="Times New Roman"/>
                <w:sz w:val="22"/>
              </w:rPr>
            </w:pPr>
            <w:r w:rsidRPr="00E73D07">
              <w:rPr>
                <w:rFonts w:cs="Times New Roman"/>
                <w:sz w:val="22"/>
              </w:rPr>
              <w:t>Ljung Box-test (h=24)</w:t>
            </w:r>
          </w:p>
        </w:tc>
        <w:tc>
          <w:tcPr>
            <w:tcW w:w="1442" w:type="pct"/>
            <w:gridSpan w:val="2"/>
            <w:tcBorders>
              <w:left w:val="single" w:sz="4" w:space="0" w:color="auto"/>
              <w:right w:val="single" w:sz="4" w:space="0" w:color="auto"/>
            </w:tcBorders>
            <w:vAlign w:val="center"/>
          </w:tcPr>
          <w:p w14:paraId="512CDDCA" w14:textId="6020559C" w:rsidR="004D51EA" w:rsidRPr="00E73D07" w:rsidRDefault="004D51EA" w:rsidP="004D51EA">
            <w:pPr>
              <w:jc w:val="center"/>
              <w:rPr>
                <w:rFonts w:cs="Times New Roman"/>
                <w:sz w:val="22"/>
              </w:rPr>
            </w:pPr>
            <w:r w:rsidRPr="00E73D07">
              <w:rPr>
                <w:rFonts w:cs="Times New Roman"/>
                <w:sz w:val="22"/>
              </w:rPr>
              <w:t>.73</w:t>
            </w:r>
          </w:p>
        </w:tc>
        <w:tc>
          <w:tcPr>
            <w:tcW w:w="1539" w:type="pct"/>
            <w:gridSpan w:val="2"/>
            <w:tcBorders>
              <w:left w:val="single" w:sz="4" w:space="0" w:color="auto"/>
            </w:tcBorders>
            <w:vAlign w:val="center"/>
          </w:tcPr>
          <w:p w14:paraId="41457961" w14:textId="6219B08B" w:rsidR="004D51EA" w:rsidRPr="00E73D07" w:rsidRDefault="004D51EA" w:rsidP="004D51EA">
            <w:pPr>
              <w:jc w:val="center"/>
              <w:rPr>
                <w:rFonts w:cs="Times New Roman"/>
                <w:sz w:val="22"/>
              </w:rPr>
            </w:pPr>
            <w:r w:rsidRPr="00E73D07">
              <w:rPr>
                <w:rFonts w:cs="Times New Roman"/>
                <w:sz w:val="22"/>
              </w:rPr>
              <w:t>.</w:t>
            </w:r>
            <w:r w:rsidR="00A32487" w:rsidRPr="00E73D07">
              <w:rPr>
                <w:rFonts w:cs="Times New Roman"/>
                <w:sz w:val="22"/>
              </w:rPr>
              <w:t>77</w:t>
            </w:r>
          </w:p>
        </w:tc>
        <w:tc>
          <w:tcPr>
            <w:tcW w:w="815" w:type="pct"/>
          </w:tcPr>
          <w:p w14:paraId="214E66C4" w14:textId="77777777" w:rsidR="004D51EA" w:rsidRPr="00E73D07" w:rsidRDefault="004D51EA" w:rsidP="004D51EA">
            <w:pPr>
              <w:rPr>
                <w:rFonts w:cs="Times New Roman"/>
                <w:b/>
                <w:sz w:val="22"/>
              </w:rPr>
            </w:pPr>
          </w:p>
        </w:tc>
      </w:tr>
      <w:tr w:rsidR="004D51EA" w:rsidRPr="00E73D07" w14:paraId="0251007A" w14:textId="77777777" w:rsidTr="00745FAB">
        <w:tc>
          <w:tcPr>
            <w:tcW w:w="1204" w:type="pct"/>
            <w:tcBorders>
              <w:right w:val="single" w:sz="4" w:space="0" w:color="auto"/>
            </w:tcBorders>
            <w:vAlign w:val="center"/>
          </w:tcPr>
          <w:p w14:paraId="5C338B25" w14:textId="77777777" w:rsidR="004D51EA" w:rsidRPr="00E73D07" w:rsidRDefault="004D51EA" w:rsidP="004D51EA">
            <w:pPr>
              <w:rPr>
                <w:rFonts w:cs="Times New Roman"/>
                <w:sz w:val="22"/>
              </w:rPr>
            </w:pPr>
            <w:r w:rsidRPr="00E73D07">
              <w:rPr>
                <w:rFonts w:cs="Times New Roman"/>
                <w:sz w:val="22"/>
              </w:rPr>
              <w:t>AIC</w:t>
            </w:r>
          </w:p>
        </w:tc>
        <w:tc>
          <w:tcPr>
            <w:tcW w:w="1442" w:type="pct"/>
            <w:gridSpan w:val="2"/>
            <w:tcBorders>
              <w:left w:val="single" w:sz="4" w:space="0" w:color="auto"/>
              <w:right w:val="single" w:sz="4" w:space="0" w:color="auto"/>
            </w:tcBorders>
            <w:vAlign w:val="center"/>
          </w:tcPr>
          <w:p w14:paraId="406DFBBC" w14:textId="3F8B6D55" w:rsidR="004D51EA" w:rsidRPr="00E73D07" w:rsidRDefault="004D51EA" w:rsidP="004D51EA">
            <w:pPr>
              <w:pStyle w:val="HTMLPreformatted"/>
              <w:shd w:val="clear" w:color="auto" w:fill="FFFFFF"/>
              <w:wordWrap w:val="0"/>
              <w:spacing w:line="225" w:lineRule="atLeast"/>
              <w:jc w:val="center"/>
              <w:rPr>
                <w:rFonts w:ascii="Times New Roman" w:hAnsi="Times New Roman" w:cs="Times New Roman"/>
                <w:color w:val="000000"/>
                <w:sz w:val="22"/>
                <w:szCs w:val="22"/>
              </w:rPr>
            </w:pPr>
            <w:r w:rsidRPr="00E73D07">
              <w:rPr>
                <w:rFonts w:ascii="Times New Roman" w:hAnsi="Times New Roman" w:cs="Times New Roman"/>
                <w:color w:val="000000"/>
                <w:sz w:val="22"/>
                <w:szCs w:val="22"/>
              </w:rPr>
              <w:t>-596.16</w:t>
            </w:r>
          </w:p>
        </w:tc>
        <w:tc>
          <w:tcPr>
            <w:tcW w:w="1539" w:type="pct"/>
            <w:gridSpan w:val="2"/>
            <w:tcBorders>
              <w:left w:val="single" w:sz="4" w:space="0" w:color="auto"/>
            </w:tcBorders>
            <w:vAlign w:val="center"/>
          </w:tcPr>
          <w:p w14:paraId="565F2759" w14:textId="7EDEA19E" w:rsidR="004D51EA" w:rsidRPr="00E73D07" w:rsidRDefault="004D51EA" w:rsidP="004D51EA">
            <w:pPr>
              <w:pStyle w:val="HTMLPreformatted"/>
              <w:shd w:val="clear" w:color="auto" w:fill="FFFFFF"/>
              <w:wordWrap w:val="0"/>
              <w:spacing w:line="225" w:lineRule="atLeast"/>
              <w:jc w:val="center"/>
              <w:rPr>
                <w:rFonts w:ascii="Times New Roman" w:hAnsi="Times New Roman" w:cs="Times New Roman"/>
                <w:color w:val="000000"/>
                <w:sz w:val="22"/>
                <w:szCs w:val="22"/>
              </w:rPr>
            </w:pPr>
            <w:r w:rsidRPr="00E73D07">
              <w:rPr>
                <w:rFonts w:ascii="Times New Roman" w:hAnsi="Times New Roman" w:cs="Times New Roman"/>
                <w:color w:val="000000"/>
                <w:sz w:val="22"/>
                <w:szCs w:val="22"/>
              </w:rPr>
              <w:t>-53</w:t>
            </w:r>
            <w:r w:rsidR="00A32487" w:rsidRPr="00E73D07">
              <w:rPr>
                <w:rFonts w:ascii="Times New Roman" w:hAnsi="Times New Roman" w:cs="Times New Roman"/>
                <w:color w:val="000000"/>
                <w:sz w:val="22"/>
                <w:szCs w:val="22"/>
              </w:rPr>
              <w:t>9.44</w:t>
            </w:r>
          </w:p>
        </w:tc>
        <w:tc>
          <w:tcPr>
            <w:tcW w:w="815" w:type="pct"/>
          </w:tcPr>
          <w:p w14:paraId="1B75692F" w14:textId="77777777" w:rsidR="004D51EA" w:rsidRPr="00E73D07" w:rsidRDefault="004D51EA" w:rsidP="004D51EA">
            <w:pPr>
              <w:rPr>
                <w:rFonts w:cs="Times New Roman"/>
                <w:b/>
                <w:sz w:val="22"/>
              </w:rPr>
            </w:pPr>
          </w:p>
        </w:tc>
      </w:tr>
    </w:tbl>
    <w:p w14:paraId="5DFE01E7" w14:textId="77777777" w:rsidR="006A573D" w:rsidRDefault="008F1AF3" w:rsidP="006A573D">
      <w:pPr>
        <w:spacing w:after="0" w:line="480" w:lineRule="auto"/>
        <w:rPr>
          <w:sz w:val="20"/>
          <w:szCs w:val="20"/>
        </w:rPr>
      </w:pPr>
      <w:r>
        <w:rPr>
          <w:sz w:val="20"/>
          <w:szCs w:val="20"/>
        </w:rPr>
        <w:t xml:space="preserve">*** Significant at the 1% level; ** Significant at the 5% level; * Significant at the 10% level </w:t>
      </w:r>
    </w:p>
    <w:p w14:paraId="4C574AB1" w14:textId="2ACC5BF9" w:rsidR="00684A81" w:rsidRDefault="006A573D" w:rsidP="000E1F11">
      <w:pPr>
        <w:spacing w:after="0" w:line="480" w:lineRule="auto"/>
        <w:ind w:firstLine="720"/>
        <w:rPr>
          <w:b/>
        </w:rPr>
      </w:pPr>
      <w:r>
        <w:t>As seen in Table 3 within the difference column, the January effect appears to be larger for high yield municipal bonds. This</w:t>
      </w:r>
      <w:r w:rsidR="00C65FB2">
        <w:t xml:space="preserve"> is re-confirmed by the results of Table 4. </w:t>
      </w:r>
      <w:r w:rsidR="00407FD7">
        <w:t>This implies that the January effect increases in magnitude as the credit quality of municipal bonds declines</w:t>
      </w:r>
      <w:r w:rsidR="0062384C">
        <w:t xml:space="preserve">, which is in line with what Maxwell (1998) found for corporate bonds. </w:t>
      </w:r>
      <w:r w:rsidR="005070C7">
        <w:t xml:space="preserve">It is likely that seasonal demand for </w:t>
      </w:r>
      <w:r w:rsidR="005070C7">
        <w:lastRenderedPageBreak/>
        <w:t xml:space="preserve">high yield debt and/or window dressing institutional investor behavior is a factor in the relatively higher January effect for non-investment grade municipal debt. </w:t>
      </w:r>
    </w:p>
    <w:p w14:paraId="5E80A76E" w14:textId="278286F0" w:rsidR="00EC7E13" w:rsidRDefault="00AA1F2A" w:rsidP="0087520C">
      <w:pPr>
        <w:spacing w:after="0" w:line="480" w:lineRule="auto"/>
        <w:rPr>
          <w:b/>
        </w:rPr>
      </w:pPr>
      <w:r>
        <w:rPr>
          <w:b/>
        </w:rPr>
        <w:t>Conclusion</w:t>
      </w:r>
    </w:p>
    <w:p w14:paraId="557F7AD4" w14:textId="14072C12" w:rsidR="00E108B5" w:rsidRPr="006B6BD1" w:rsidRDefault="006B6BD1" w:rsidP="0087520C">
      <w:pPr>
        <w:spacing w:after="0" w:line="480" w:lineRule="auto"/>
        <w:rPr>
          <w:b/>
          <w:i/>
        </w:rPr>
      </w:pPr>
      <w:r>
        <w:rPr>
          <w:b/>
          <w:i/>
        </w:rPr>
        <w:t>Findings</w:t>
      </w:r>
    </w:p>
    <w:p w14:paraId="467E3778" w14:textId="0AE2FF1E" w:rsidR="00507D57" w:rsidRDefault="00205243" w:rsidP="00205243">
      <w:pPr>
        <w:spacing w:after="0" w:line="480" w:lineRule="auto"/>
      </w:pPr>
      <w:r>
        <w:tab/>
      </w:r>
      <w:r w:rsidR="00F33966">
        <w:t xml:space="preserve">This study attempted to </w:t>
      </w:r>
      <w:r w:rsidR="00F01192">
        <w:t>research</w:t>
      </w:r>
      <w:r w:rsidR="00F33966">
        <w:t xml:space="preserve"> if there was a decline in the January effect for both investment and non-investment grade municipal bonds, and if the January effect became more pronounced as credit quality declined. The results</w:t>
      </w:r>
      <w:r w:rsidR="00095FF9">
        <w:t xml:space="preserve"> for the first research question</w:t>
      </w:r>
      <w:r w:rsidR="00F33966">
        <w:t xml:space="preserve"> indicated that the January effect declined for investment grade municipal bonds from 1982-1999 to 2000-2017 but increased for non-investment grade municipal bonds from 1996-2006 to 2007-2017. </w:t>
      </w:r>
      <w:r w:rsidR="009A0736">
        <w:t xml:space="preserve">The former result is in line with that of </w:t>
      </w:r>
      <w:r w:rsidR="00D5231C">
        <w:t xml:space="preserve">Cusatis and </w:t>
      </w:r>
      <w:proofErr w:type="spellStart"/>
      <w:r w:rsidR="00D5231C">
        <w:t>Tawatnuntachai</w:t>
      </w:r>
      <w:proofErr w:type="spellEnd"/>
      <w:r w:rsidR="00D5231C">
        <w:t xml:space="preserve"> (2011). </w:t>
      </w:r>
      <w:r w:rsidR="00BC7CF5">
        <w:t>It could be that the shift in ownership trends in municipal debt is playing a role in the decrease of the tax-loss selling effect amongst individual municipal bond investors.</w:t>
      </w:r>
      <w:r w:rsidR="002F0B13">
        <w:t xml:space="preserve"> With regards to the result observed for high yield debt, it is possible that window dressing behavior</w:t>
      </w:r>
      <w:r w:rsidR="00483CE4">
        <w:t xml:space="preserve"> or seasonal demand, as described by Maxwell (1998)</w:t>
      </w:r>
      <w:r w:rsidR="002F0B13">
        <w:t xml:space="preserve"> has inclined amongst institutional investors who hold high yield municipal and other fixed income securities</w:t>
      </w:r>
      <w:r w:rsidR="00B94D63">
        <w:t xml:space="preserve">, </w:t>
      </w:r>
      <w:r w:rsidR="00342792">
        <w:t xml:space="preserve">over the past two decades. </w:t>
      </w:r>
      <w:r w:rsidR="00242C4D">
        <w:t xml:space="preserve">This could have also led to the results observed for the second research question in this study where the January effect was found to increase in magnitude as the credit quality of municipal bonds declined. </w:t>
      </w:r>
      <w:r w:rsidR="00CD1FC7">
        <w:t xml:space="preserve">Of course, factors not related to either the window dressing or tax loss selling hypothesis could have led to the observed results. Nonetheless, </w:t>
      </w:r>
      <w:r w:rsidR="00856306">
        <w:t xml:space="preserve">moving forward, </w:t>
      </w:r>
      <w:r w:rsidR="00CD1FC7">
        <w:t xml:space="preserve">these findings shed useful light on future research </w:t>
      </w:r>
      <w:r w:rsidR="00566C72">
        <w:t>directions</w:t>
      </w:r>
      <w:r w:rsidR="00CD1FC7">
        <w:t xml:space="preserve">, and </w:t>
      </w:r>
      <w:r w:rsidR="00566C72">
        <w:t xml:space="preserve">issuance/investment strategies within the public finance arena. </w:t>
      </w:r>
    </w:p>
    <w:p w14:paraId="3B1D4DC7" w14:textId="77777777" w:rsidR="00F45058" w:rsidRDefault="00F45058">
      <w:pPr>
        <w:jc w:val="left"/>
        <w:rPr>
          <w:b/>
          <w:i/>
        </w:rPr>
      </w:pPr>
      <w:r>
        <w:rPr>
          <w:b/>
          <w:i/>
        </w:rPr>
        <w:br w:type="page"/>
      </w:r>
    </w:p>
    <w:p w14:paraId="7E14DA5A" w14:textId="7C4D4357" w:rsidR="006A2C72" w:rsidRDefault="00A9703F" w:rsidP="00205243">
      <w:pPr>
        <w:spacing w:after="0" w:line="480" w:lineRule="auto"/>
        <w:rPr>
          <w:b/>
          <w:i/>
        </w:rPr>
      </w:pPr>
      <w:r>
        <w:rPr>
          <w:b/>
          <w:i/>
        </w:rPr>
        <w:lastRenderedPageBreak/>
        <w:t>Implications</w:t>
      </w:r>
    </w:p>
    <w:p w14:paraId="7C5C2D61" w14:textId="1CCD184E" w:rsidR="00A9703F" w:rsidRDefault="00863F8F" w:rsidP="00863F8F">
      <w:pPr>
        <w:pStyle w:val="ListParagraph"/>
        <w:numPr>
          <w:ilvl w:val="0"/>
          <w:numId w:val="1"/>
        </w:numPr>
        <w:spacing w:after="0" w:line="480" w:lineRule="auto"/>
      </w:pPr>
      <w:r>
        <w:t xml:space="preserve">Issuers may not be able to gain as much as they could from the January effect </w:t>
      </w:r>
      <w:r w:rsidR="006904F4">
        <w:t>with regards to</w:t>
      </w:r>
      <w:r>
        <w:t xml:space="preserve"> investment grade municipal bonds due to </w:t>
      </w:r>
      <w:r w:rsidR="007904B6">
        <w:t>the decline in the effect</w:t>
      </w:r>
      <w:r>
        <w:t xml:space="preserve"> over the past few decades. </w:t>
      </w:r>
    </w:p>
    <w:p w14:paraId="664510E1" w14:textId="24C93C5D" w:rsidR="00863F8F" w:rsidRDefault="00863F8F" w:rsidP="00863F8F">
      <w:pPr>
        <w:pStyle w:val="ListParagraph"/>
        <w:numPr>
          <w:ilvl w:val="0"/>
          <w:numId w:val="1"/>
        </w:numPr>
        <w:spacing w:after="0" w:line="480" w:lineRule="auto"/>
      </w:pPr>
      <w:r>
        <w:t>However, issuers who need to issue high yield municipal debt should take the January effect into consideration since the effect is significantly more prominent for high yield deb</w:t>
      </w:r>
      <w:r w:rsidR="00B919DA">
        <w:t xml:space="preserve">t. Efficient timing could be useful since </w:t>
      </w:r>
      <w:r>
        <w:t>the cost of issuance</w:t>
      </w:r>
      <w:r w:rsidR="00F309E7">
        <w:t xml:space="preserve"> of such </w:t>
      </w:r>
      <w:r w:rsidR="00B919DA">
        <w:t xml:space="preserve">type of </w:t>
      </w:r>
      <w:r w:rsidR="00F309E7">
        <w:t>debt</w:t>
      </w:r>
      <w:r>
        <w:t xml:space="preserve"> is significantly larger </w:t>
      </w:r>
      <w:r w:rsidR="00C21C8A">
        <w:t>than that of</w:t>
      </w:r>
      <w:r>
        <w:t xml:space="preserve"> investment grade municipal debt. </w:t>
      </w:r>
    </w:p>
    <w:p w14:paraId="7B0FE8EC" w14:textId="1A2598B0" w:rsidR="006B6BD1" w:rsidRPr="006A2C72" w:rsidRDefault="006B6BD1" w:rsidP="00205243">
      <w:pPr>
        <w:spacing w:after="0" w:line="480" w:lineRule="auto"/>
        <w:rPr>
          <w:b/>
        </w:rPr>
      </w:pPr>
      <w:r w:rsidRPr="006A2C72">
        <w:rPr>
          <w:b/>
          <w:i/>
        </w:rPr>
        <w:t xml:space="preserve">Future Research </w:t>
      </w:r>
    </w:p>
    <w:p w14:paraId="0D816AAB" w14:textId="3AC90CC3" w:rsidR="00BD0682" w:rsidRPr="006B6BD1" w:rsidRDefault="006B6BD1" w:rsidP="00205243">
      <w:pPr>
        <w:spacing w:after="0" w:line="480" w:lineRule="auto"/>
        <w:rPr>
          <w:i/>
        </w:rPr>
      </w:pPr>
      <w:r>
        <w:rPr>
          <w:b/>
        </w:rPr>
        <w:tab/>
      </w:r>
      <w:r>
        <w:t xml:space="preserve">It might be worthwhile to assess as to why the January effect declined for municipal bonds over the past few decades. Insight with regards to this question can provide a </w:t>
      </w:r>
      <w:r w:rsidR="0073058B">
        <w:t>more coherent</w:t>
      </w:r>
      <w:r>
        <w:t xml:space="preserve"> understanding of seasonality in the municipal bond market. In addition, it could be useful to further research the window dressing hypothesis. While the scale of evidence with regards to the driver of the January effect leans towards the tax loss selling hypothesis, the window dressing hypothesis appears to be more relevant for the January effect within the high yield debt market. </w:t>
      </w:r>
    </w:p>
    <w:p w14:paraId="582C339B" w14:textId="77777777" w:rsidR="0093119F" w:rsidRDefault="0093119F">
      <w:pPr>
        <w:jc w:val="left"/>
        <w:rPr>
          <w:b/>
        </w:rPr>
      </w:pPr>
      <w:r>
        <w:rPr>
          <w:b/>
        </w:rPr>
        <w:br w:type="page"/>
      </w:r>
    </w:p>
    <w:p w14:paraId="16BF8A26" w14:textId="3A57DFA9" w:rsidR="00EC7E13" w:rsidRDefault="00EC7E13" w:rsidP="00C2797E">
      <w:pPr>
        <w:spacing w:after="0" w:line="240" w:lineRule="auto"/>
        <w:rPr>
          <w:b/>
        </w:rPr>
      </w:pPr>
      <w:r>
        <w:rPr>
          <w:b/>
        </w:rPr>
        <w:lastRenderedPageBreak/>
        <w:t>References</w:t>
      </w:r>
    </w:p>
    <w:p w14:paraId="2311D0DB" w14:textId="47F488FA" w:rsidR="00EC7E13" w:rsidRDefault="00EC7E13" w:rsidP="00C2797E">
      <w:pPr>
        <w:spacing w:after="0" w:line="240" w:lineRule="auto"/>
        <w:rPr>
          <w:b/>
        </w:rPr>
      </w:pPr>
    </w:p>
    <w:p w14:paraId="39EA9FC0" w14:textId="4E71A088" w:rsidR="00C574FE" w:rsidRDefault="00C574FE" w:rsidP="005B0E63">
      <w:pPr>
        <w:spacing w:after="0" w:line="240" w:lineRule="auto"/>
        <w:ind w:left="720" w:hanging="720"/>
      </w:pPr>
      <w:r w:rsidRPr="00C574FE">
        <w:t xml:space="preserve">Acciavatti, </w:t>
      </w:r>
      <w:r>
        <w:t>P.</w:t>
      </w:r>
      <w:r w:rsidRPr="00C574FE">
        <w:t>, Linares,</w:t>
      </w:r>
      <w:r>
        <w:t xml:space="preserve"> T.,</w:t>
      </w:r>
      <w:r w:rsidRPr="00C574FE">
        <w:t xml:space="preserve"> Jantzen,</w:t>
      </w:r>
      <w:r>
        <w:t xml:space="preserve"> N.,</w:t>
      </w:r>
      <w:r w:rsidRPr="00C574FE">
        <w:t xml:space="preserve"> Sharma,</w:t>
      </w:r>
      <w:r>
        <w:t xml:space="preserve"> R.,</w:t>
      </w:r>
      <w:r w:rsidRPr="00C574FE">
        <w:t xml:space="preserve"> and Li</w:t>
      </w:r>
      <w:r>
        <w:t>, C</w:t>
      </w:r>
      <w:r w:rsidRPr="00C574FE">
        <w:t xml:space="preserve">. </w:t>
      </w:r>
      <w:r w:rsidR="00BF2445">
        <w:t xml:space="preserve">(2016). </w:t>
      </w:r>
      <w:r w:rsidRPr="00C574FE">
        <w:t>2016 High-Yield Annual Review</w:t>
      </w:r>
      <w:r w:rsidR="00BF2445">
        <w:t xml:space="preserve">. </w:t>
      </w:r>
      <w:r w:rsidRPr="00BF2445">
        <w:rPr>
          <w:i/>
        </w:rPr>
        <w:t>J.P. Morgan North American High Yield Research</w:t>
      </w:r>
      <w:r w:rsidR="00BF2445">
        <w:t>. Retrieved from</w:t>
      </w:r>
      <w:r w:rsidRPr="00C574FE">
        <w:t xml:space="preserve"> </w:t>
      </w:r>
      <w:hyperlink r:id="rId10" w:history="1">
        <w:r w:rsidRPr="00F06D1B">
          <w:rPr>
            <w:rStyle w:val="Hyperlink"/>
          </w:rPr>
          <w:t>https://markets.jpmorgan.com</w:t>
        </w:r>
      </w:hyperlink>
      <w:r w:rsidRPr="00C574FE">
        <w:t>.</w:t>
      </w:r>
    </w:p>
    <w:p w14:paraId="7762EF9C" w14:textId="77777777" w:rsidR="00C574FE" w:rsidRDefault="00C574FE" w:rsidP="00C2797E">
      <w:pPr>
        <w:spacing w:after="0" w:line="240" w:lineRule="auto"/>
        <w:rPr>
          <w:b/>
        </w:rPr>
      </w:pPr>
    </w:p>
    <w:p w14:paraId="208092C6" w14:textId="02E33D40" w:rsidR="00EF0DAF" w:rsidRPr="0066390D" w:rsidRDefault="00EF0DAF" w:rsidP="0066390D">
      <w:pPr>
        <w:spacing w:after="0" w:line="240" w:lineRule="auto"/>
        <w:ind w:left="720" w:hanging="720"/>
        <w:rPr>
          <w:sz w:val="22"/>
        </w:rPr>
      </w:pPr>
      <w:r w:rsidRPr="0066390D">
        <w:rPr>
          <w:sz w:val="22"/>
        </w:rPr>
        <w:t xml:space="preserve">Albano, C. (2018). How this year's 'Super January effect' is pressuring the buy side. </w:t>
      </w:r>
      <w:r w:rsidRPr="0066390D">
        <w:rPr>
          <w:i/>
          <w:sz w:val="22"/>
        </w:rPr>
        <w:t>The Bond Buyer.</w:t>
      </w:r>
      <w:r w:rsidRPr="0066390D">
        <w:rPr>
          <w:sz w:val="22"/>
        </w:rPr>
        <w:t xml:space="preserve"> Retrieved from </w:t>
      </w:r>
      <w:hyperlink r:id="rId11" w:history="1">
        <w:r w:rsidRPr="0066390D">
          <w:rPr>
            <w:rStyle w:val="Hyperlink"/>
            <w:sz w:val="22"/>
          </w:rPr>
          <w:t>https://www.bondbuyer.com/news/extraordinary-supply-challenges-facing-muni-investors</w:t>
        </w:r>
      </w:hyperlink>
      <w:r w:rsidRPr="0066390D">
        <w:rPr>
          <w:sz w:val="22"/>
        </w:rPr>
        <w:t xml:space="preserve"> </w:t>
      </w:r>
    </w:p>
    <w:p w14:paraId="7F8B7D2F" w14:textId="394BB003" w:rsidR="00EF0DAF" w:rsidRPr="0066390D" w:rsidRDefault="00EF0DAF" w:rsidP="0066390D">
      <w:pPr>
        <w:spacing w:after="0" w:line="240" w:lineRule="auto"/>
        <w:ind w:left="720" w:hanging="720"/>
        <w:rPr>
          <w:sz w:val="22"/>
        </w:rPr>
      </w:pPr>
    </w:p>
    <w:p w14:paraId="27AC4420" w14:textId="59CCD9E3" w:rsidR="00DD5A48" w:rsidRPr="0066390D" w:rsidRDefault="00BF5D1B" w:rsidP="0066390D">
      <w:pPr>
        <w:spacing w:after="0" w:line="240" w:lineRule="auto"/>
        <w:ind w:left="720" w:hanging="720"/>
        <w:rPr>
          <w:sz w:val="22"/>
        </w:rPr>
      </w:pPr>
      <w:bookmarkStart w:id="3" w:name="_Hlk507928297"/>
      <w:r>
        <w:rPr>
          <w:sz w:val="22"/>
        </w:rPr>
        <w:t>Al</w:t>
      </w:r>
      <w:r w:rsidR="00A72C6C">
        <w:rPr>
          <w:sz w:val="22"/>
        </w:rPr>
        <w:t>-</w:t>
      </w:r>
      <w:proofErr w:type="spellStart"/>
      <w:r w:rsidR="00DD5A48" w:rsidRPr="0066390D">
        <w:rPr>
          <w:sz w:val="22"/>
        </w:rPr>
        <w:t>Khazali</w:t>
      </w:r>
      <w:bookmarkEnd w:id="3"/>
      <w:proofErr w:type="spellEnd"/>
      <w:r w:rsidR="00DD5A48" w:rsidRPr="0066390D">
        <w:rPr>
          <w:sz w:val="22"/>
        </w:rPr>
        <w:t xml:space="preserve">, O. M. (2001). Does the January effect exist in high‐yield bond </w:t>
      </w:r>
      <w:r w:rsidR="00895449" w:rsidRPr="0066390D">
        <w:rPr>
          <w:sz w:val="22"/>
        </w:rPr>
        <w:t>market?</w:t>
      </w:r>
      <w:r w:rsidR="00DD5A48" w:rsidRPr="0066390D">
        <w:rPr>
          <w:sz w:val="22"/>
        </w:rPr>
        <w:t xml:space="preserve"> </w:t>
      </w:r>
      <w:r w:rsidR="00DD5A48" w:rsidRPr="0066390D">
        <w:rPr>
          <w:i/>
          <w:sz w:val="22"/>
        </w:rPr>
        <w:t>Review of Financial Economics</w:t>
      </w:r>
      <w:r w:rsidR="00DD5A48" w:rsidRPr="0066390D">
        <w:rPr>
          <w:sz w:val="22"/>
        </w:rPr>
        <w:t>, 10(1), 71-80.</w:t>
      </w:r>
    </w:p>
    <w:p w14:paraId="1B05CF3F" w14:textId="05C4613B" w:rsidR="00DD5A48" w:rsidRDefault="00DD5A48" w:rsidP="0066390D">
      <w:pPr>
        <w:spacing w:after="0" w:line="240" w:lineRule="auto"/>
        <w:ind w:left="720" w:hanging="720"/>
        <w:rPr>
          <w:sz w:val="22"/>
        </w:rPr>
      </w:pPr>
    </w:p>
    <w:p w14:paraId="4CAB3AC5" w14:textId="69B1960B" w:rsidR="005C7C34" w:rsidRPr="005C7C34" w:rsidRDefault="005C7C34" w:rsidP="00C33265">
      <w:pPr>
        <w:spacing w:after="0" w:line="240" w:lineRule="auto"/>
        <w:ind w:left="720" w:hanging="720"/>
        <w:rPr>
          <w:sz w:val="22"/>
        </w:rPr>
      </w:pPr>
      <w:r>
        <w:rPr>
          <w:sz w:val="22"/>
        </w:rPr>
        <w:t xml:space="preserve">Belz, S. &amp; Sheiner, L. (2017). </w:t>
      </w:r>
      <w:r w:rsidRPr="005C7C34">
        <w:rPr>
          <w:sz w:val="22"/>
        </w:rPr>
        <w:t>Key changes in the municipal bond market since 2007</w:t>
      </w:r>
      <w:r>
        <w:rPr>
          <w:sz w:val="22"/>
        </w:rPr>
        <w:t xml:space="preserve">. </w:t>
      </w:r>
      <w:r>
        <w:rPr>
          <w:i/>
          <w:sz w:val="22"/>
        </w:rPr>
        <w:t>Brookings.</w:t>
      </w:r>
      <w:r>
        <w:rPr>
          <w:sz w:val="22"/>
        </w:rPr>
        <w:t xml:space="preserve"> Retrieved from </w:t>
      </w:r>
      <w:hyperlink r:id="rId12" w:history="1">
        <w:r w:rsidRPr="00F06D1B">
          <w:rPr>
            <w:rStyle w:val="Hyperlink"/>
            <w:sz w:val="22"/>
          </w:rPr>
          <w:t>https://www.brookings.edu/blog/up-front/2017/07/14/key-changes-in-the-municipal-bond-market-since-2007/</w:t>
        </w:r>
      </w:hyperlink>
      <w:r>
        <w:rPr>
          <w:sz w:val="22"/>
        </w:rPr>
        <w:t xml:space="preserve"> </w:t>
      </w:r>
    </w:p>
    <w:p w14:paraId="00EB0463" w14:textId="77777777" w:rsidR="0007008A" w:rsidRDefault="0007008A" w:rsidP="0066390D">
      <w:pPr>
        <w:spacing w:after="0" w:line="240" w:lineRule="auto"/>
        <w:ind w:left="720" w:hanging="720"/>
        <w:rPr>
          <w:sz w:val="22"/>
        </w:rPr>
      </w:pPr>
    </w:p>
    <w:p w14:paraId="0349041E" w14:textId="1F8AB628" w:rsidR="00F04F16" w:rsidRPr="00F04F16" w:rsidRDefault="00F04F16" w:rsidP="0066390D">
      <w:pPr>
        <w:spacing w:after="0" w:line="240" w:lineRule="auto"/>
        <w:ind w:left="720" w:hanging="720"/>
        <w:rPr>
          <w:sz w:val="22"/>
        </w:rPr>
      </w:pPr>
      <w:r>
        <w:rPr>
          <w:sz w:val="22"/>
        </w:rPr>
        <w:t xml:space="preserve">Bloomberg Barclays Indices (2017). </w:t>
      </w:r>
      <w:r w:rsidRPr="00F04F16">
        <w:rPr>
          <w:sz w:val="22"/>
        </w:rPr>
        <w:t>Bloomberg Barclays Index Methodology</w:t>
      </w:r>
      <w:r>
        <w:rPr>
          <w:sz w:val="22"/>
        </w:rPr>
        <w:t xml:space="preserve">. </w:t>
      </w:r>
      <w:r>
        <w:rPr>
          <w:i/>
          <w:sz w:val="22"/>
        </w:rPr>
        <w:t>Bloomberg.</w:t>
      </w:r>
      <w:r>
        <w:rPr>
          <w:sz w:val="22"/>
        </w:rPr>
        <w:t xml:space="preserve"> Retrieved from </w:t>
      </w:r>
      <w:hyperlink r:id="rId13" w:history="1">
        <w:r w:rsidRPr="0081200B">
          <w:rPr>
            <w:rStyle w:val="Hyperlink"/>
            <w:sz w:val="22"/>
          </w:rPr>
          <w:t>https://www.bbhub.io/indices/sites/2/2017/03/Index-Methodology-2017-03-17-FINAL-FINAL.pdf</w:t>
        </w:r>
      </w:hyperlink>
      <w:r>
        <w:rPr>
          <w:sz w:val="22"/>
        </w:rPr>
        <w:t xml:space="preserve"> </w:t>
      </w:r>
    </w:p>
    <w:p w14:paraId="7581A8E2" w14:textId="77777777" w:rsidR="00F04F16" w:rsidRPr="0066390D" w:rsidRDefault="00F04F16" w:rsidP="0066390D">
      <w:pPr>
        <w:spacing w:after="0" w:line="240" w:lineRule="auto"/>
        <w:ind w:left="720" w:hanging="720"/>
        <w:rPr>
          <w:sz w:val="22"/>
        </w:rPr>
      </w:pPr>
    </w:p>
    <w:p w14:paraId="33A913FB" w14:textId="57232D97" w:rsidR="00311892" w:rsidRPr="0066390D" w:rsidRDefault="00311892" w:rsidP="0066390D">
      <w:pPr>
        <w:spacing w:after="0" w:line="240" w:lineRule="auto"/>
        <w:ind w:left="720" w:hanging="720"/>
        <w:rPr>
          <w:sz w:val="22"/>
        </w:rPr>
      </w:pPr>
      <w:r w:rsidRPr="0066390D">
        <w:rPr>
          <w:sz w:val="22"/>
        </w:rPr>
        <w:t xml:space="preserve">Cusatis, P. J., &amp; </w:t>
      </w:r>
      <w:proofErr w:type="spellStart"/>
      <w:r w:rsidRPr="0066390D">
        <w:rPr>
          <w:sz w:val="22"/>
        </w:rPr>
        <w:t>Tawatnuntachai</w:t>
      </w:r>
      <w:proofErr w:type="spellEnd"/>
      <w:r w:rsidRPr="0066390D">
        <w:rPr>
          <w:sz w:val="22"/>
        </w:rPr>
        <w:t xml:space="preserve">, O. (2011). Seasonality in the Municipal Bond Market. </w:t>
      </w:r>
      <w:r w:rsidRPr="0066390D">
        <w:rPr>
          <w:i/>
          <w:sz w:val="22"/>
        </w:rPr>
        <w:t>Municipal Finance Journal</w:t>
      </w:r>
      <w:r w:rsidRPr="0066390D">
        <w:rPr>
          <w:sz w:val="22"/>
        </w:rPr>
        <w:t>, 31(4), 1.</w:t>
      </w:r>
    </w:p>
    <w:p w14:paraId="05EB8ADC" w14:textId="77777777" w:rsidR="00311892" w:rsidRDefault="00311892" w:rsidP="0066390D">
      <w:pPr>
        <w:spacing w:after="0" w:line="240" w:lineRule="auto"/>
        <w:ind w:left="720" w:hanging="720"/>
        <w:rPr>
          <w:sz w:val="22"/>
        </w:rPr>
      </w:pPr>
    </w:p>
    <w:p w14:paraId="02453A58" w14:textId="6243B34F" w:rsidR="00DD7464" w:rsidRPr="00DD7464" w:rsidRDefault="00DD7464" w:rsidP="0066390D">
      <w:pPr>
        <w:spacing w:after="0" w:line="240" w:lineRule="auto"/>
        <w:ind w:left="720" w:hanging="720"/>
        <w:rPr>
          <w:sz w:val="22"/>
        </w:rPr>
      </w:pPr>
      <w:proofErr w:type="spellStart"/>
      <w:r>
        <w:rPr>
          <w:sz w:val="22"/>
        </w:rPr>
        <w:t>DePersio</w:t>
      </w:r>
      <w:proofErr w:type="spellEnd"/>
      <w:r>
        <w:rPr>
          <w:sz w:val="22"/>
        </w:rPr>
        <w:t xml:space="preserve">, G. (2017). </w:t>
      </w:r>
      <w:r w:rsidRPr="00DD7464">
        <w:rPr>
          <w:sz w:val="22"/>
        </w:rPr>
        <w:t>The Origins of the Puerto Rican Debt Crisis</w:t>
      </w:r>
      <w:r>
        <w:rPr>
          <w:sz w:val="22"/>
        </w:rPr>
        <w:t xml:space="preserve">. </w:t>
      </w:r>
      <w:r>
        <w:rPr>
          <w:i/>
          <w:sz w:val="22"/>
        </w:rPr>
        <w:t xml:space="preserve">Investopedia. </w:t>
      </w:r>
      <w:r>
        <w:rPr>
          <w:sz w:val="22"/>
        </w:rPr>
        <w:t xml:space="preserve">Retrieved from </w:t>
      </w:r>
      <w:hyperlink r:id="rId14" w:history="1">
        <w:r w:rsidRPr="00891FAF">
          <w:rPr>
            <w:rStyle w:val="Hyperlink"/>
            <w:sz w:val="22"/>
          </w:rPr>
          <w:t>https://www.investopedia.com/articles/investing/090915/origins-puerto-rican-debt-crisis.asp</w:t>
        </w:r>
      </w:hyperlink>
      <w:r>
        <w:rPr>
          <w:sz w:val="22"/>
        </w:rPr>
        <w:t xml:space="preserve"> </w:t>
      </w:r>
    </w:p>
    <w:p w14:paraId="34DBFB71" w14:textId="77777777" w:rsidR="00DD7464" w:rsidRPr="0066390D" w:rsidRDefault="00DD7464" w:rsidP="0066390D">
      <w:pPr>
        <w:spacing w:after="0" w:line="240" w:lineRule="auto"/>
        <w:ind w:left="720" w:hanging="720"/>
        <w:rPr>
          <w:sz w:val="22"/>
        </w:rPr>
      </w:pPr>
    </w:p>
    <w:p w14:paraId="6D2E3F91" w14:textId="07B68853" w:rsidR="007507D2" w:rsidRPr="0066390D" w:rsidRDefault="007507D2" w:rsidP="0066390D">
      <w:pPr>
        <w:spacing w:after="0" w:line="240" w:lineRule="auto"/>
        <w:ind w:left="720" w:hanging="720"/>
        <w:rPr>
          <w:sz w:val="22"/>
        </w:rPr>
      </w:pPr>
      <w:r w:rsidRPr="0066390D">
        <w:rPr>
          <w:sz w:val="22"/>
        </w:rPr>
        <w:t xml:space="preserve">Gu, A. Y. (2003). The declining January effect: evidences from the U.S. equity markets. </w:t>
      </w:r>
      <w:r w:rsidRPr="0066390D">
        <w:rPr>
          <w:i/>
          <w:sz w:val="22"/>
        </w:rPr>
        <w:t xml:space="preserve">The Quarterly Review of Economics and Finance, </w:t>
      </w:r>
      <w:r w:rsidRPr="0066390D">
        <w:rPr>
          <w:sz w:val="22"/>
        </w:rPr>
        <w:t xml:space="preserve">(43), 2. </w:t>
      </w:r>
      <w:r w:rsidR="00826923" w:rsidRPr="0066390D">
        <w:rPr>
          <w:sz w:val="22"/>
        </w:rPr>
        <w:t xml:space="preserve">Retrieved from </w:t>
      </w:r>
      <w:hyperlink r:id="rId15" w:history="1">
        <w:r w:rsidR="00826923" w:rsidRPr="0066390D">
          <w:rPr>
            <w:rStyle w:val="Hyperlink"/>
            <w:sz w:val="22"/>
          </w:rPr>
          <w:t>https://www.sciencedirect.com/science/article/pii/S1062976902001606</w:t>
        </w:r>
      </w:hyperlink>
      <w:r w:rsidR="00826923" w:rsidRPr="0066390D">
        <w:rPr>
          <w:sz w:val="22"/>
        </w:rPr>
        <w:t xml:space="preserve"> </w:t>
      </w:r>
    </w:p>
    <w:p w14:paraId="2249A273" w14:textId="365F129A" w:rsidR="007507D2" w:rsidRDefault="007507D2" w:rsidP="0066390D">
      <w:pPr>
        <w:spacing w:after="0" w:line="240" w:lineRule="auto"/>
        <w:ind w:left="720" w:hanging="720"/>
        <w:rPr>
          <w:sz w:val="22"/>
        </w:rPr>
      </w:pPr>
    </w:p>
    <w:p w14:paraId="7859613A" w14:textId="02FBAE4C" w:rsidR="00B35D9E" w:rsidRDefault="00B35D9E" w:rsidP="0066390D">
      <w:pPr>
        <w:spacing w:after="0" w:line="240" w:lineRule="auto"/>
        <w:ind w:left="720" w:hanging="720"/>
        <w:rPr>
          <w:sz w:val="22"/>
        </w:rPr>
      </w:pPr>
      <w:r>
        <w:rPr>
          <w:sz w:val="22"/>
        </w:rPr>
        <w:t xml:space="preserve">Federated Investors, Inc. (2018). Benchmark Index Glossary. Retrieved from </w:t>
      </w:r>
      <w:hyperlink r:id="rId16" w:history="1">
        <w:r w:rsidRPr="0081200B">
          <w:rPr>
            <w:rStyle w:val="Hyperlink"/>
            <w:sz w:val="22"/>
          </w:rPr>
          <w:t>http://www.federatedinvestors.com/FII/leaf/display.do?category=Benchmark_Glossary</w:t>
        </w:r>
      </w:hyperlink>
      <w:r>
        <w:rPr>
          <w:sz w:val="22"/>
        </w:rPr>
        <w:t xml:space="preserve"> </w:t>
      </w:r>
    </w:p>
    <w:p w14:paraId="04AF7DAE" w14:textId="77777777" w:rsidR="00B35D9E" w:rsidRPr="0066390D" w:rsidRDefault="00B35D9E" w:rsidP="0066390D">
      <w:pPr>
        <w:spacing w:after="0" w:line="240" w:lineRule="auto"/>
        <w:ind w:left="720" w:hanging="720"/>
        <w:rPr>
          <w:sz w:val="22"/>
        </w:rPr>
      </w:pPr>
    </w:p>
    <w:p w14:paraId="79ED32F9" w14:textId="2D00151B" w:rsidR="00DE62A2" w:rsidRPr="0066390D" w:rsidRDefault="00DE62A2" w:rsidP="0066390D">
      <w:pPr>
        <w:spacing w:after="0" w:line="240" w:lineRule="auto"/>
        <w:ind w:left="720" w:hanging="720"/>
        <w:rPr>
          <w:sz w:val="22"/>
        </w:rPr>
      </w:pPr>
      <w:r w:rsidRPr="0066390D">
        <w:rPr>
          <w:sz w:val="22"/>
        </w:rPr>
        <w:t xml:space="preserve">Fama, E. F., &amp; French, K. R. (1993). Common risk factors in the returns on stocks and bonds. </w:t>
      </w:r>
      <w:r w:rsidRPr="0066390D">
        <w:rPr>
          <w:i/>
          <w:sz w:val="22"/>
        </w:rPr>
        <w:t>Journal of financial economics</w:t>
      </w:r>
      <w:r w:rsidRPr="0066390D">
        <w:rPr>
          <w:sz w:val="22"/>
        </w:rPr>
        <w:t>, 33(1), 3-56.</w:t>
      </w:r>
    </w:p>
    <w:p w14:paraId="1879B97E" w14:textId="77777777" w:rsidR="00DE62A2" w:rsidRPr="0066390D" w:rsidRDefault="00DE62A2" w:rsidP="0066390D">
      <w:pPr>
        <w:spacing w:after="0" w:line="240" w:lineRule="auto"/>
        <w:ind w:left="720" w:hanging="720"/>
        <w:rPr>
          <w:sz w:val="22"/>
        </w:rPr>
      </w:pPr>
    </w:p>
    <w:p w14:paraId="1E76EE33" w14:textId="59FAC0F0" w:rsidR="00EC7E13" w:rsidRPr="0066390D" w:rsidRDefault="00EC7E13" w:rsidP="0066390D">
      <w:pPr>
        <w:spacing w:after="0" w:line="240" w:lineRule="auto"/>
        <w:ind w:left="720" w:hanging="720"/>
        <w:rPr>
          <w:sz w:val="22"/>
        </w:rPr>
      </w:pPr>
      <w:r w:rsidRPr="0066390D">
        <w:rPr>
          <w:sz w:val="22"/>
        </w:rPr>
        <w:t xml:space="preserve">Greer, R. A. (2015). A Time Series Model of Seasonality in the Municipal Bond Market. </w:t>
      </w:r>
      <w:r w:rsidRPr="0066390D">
        <w:rPr>
          <w:i/>
          <w:sz w:val="22"/>
        </w:rPr>
        <w:t xml:space="preserve">Municipal Finance Journal, </w:t>
      </w:r>
      <w:r w:rsidRPr="0066390D">
        <w:rPr>
          <w:sz w:val="22"/>
        </w:rPr>
        <w:t xml:space="preserve">(36),2. </w:t>
      </w:r>
    </w:p>
    <w:p w14:paraId="18BAF8F4" w14:textId="66BED175" w:rsidR="00EC7E13" w:rsidRPr="0066390D" w:rsidRDefault="00EC7E13" w:rsidP="0066390D">
      <w:pPr>
        <w:spacing w:after="0" w:line="240" w:lineRule="auto"/>
        <w:ind w:left="720" w:hanging="720"/>
        <w:rPr>
          <w:b/>
          <w:sz w:val="22"/>
        </w:rPr>
      </w:pPr>
    </w:p>
    <w:p w14:paraId="6777CDD3" w14:textId="6574D988" w:rsidR="007D6708" w:rsidRDefault="007D6708" w:rsidP="0066390D">
      <w:pPr>
        <w:spacing w:after="0" w:line="240" w:lineRule="auto"/>
        <w:ind w:left="720" w:hanging="720"/>
        <w:rPr>
          <w:sz w:val="22"/>
        </w:rPr>
      </w:pPr>
      <w:r w:rsidRPr="0066390D">
        <w:rPr>
          <w:sz w:val="22"/>
        </w:rPr>
        <w:t>Hillmer, S. C., &amp; George C.T. (1982). A</w:t>
      </w:r>
      <w:r w:rsidR="0058681F" w:rsidRPr="0066390D">
        <w:rPr>
          <w:sz w:val="22"/>
        </w:rPr>
        <w:t xml:space="preserve">n ARIMA-Model-Based Approach to </w:t>
      </w:r>
      <w:r w:rsidRPr="0066390D">
        <w:rPr>
          <w:sz w:val="22"/>
        </w:rPr>
        <w:t xml:space="preserve">Seasonal Adjustment. </w:t>
      </w:r>
      <w:r w:rsidRPr="0066390D">
        <w:rPr>
          <w:i/>
          <w:sz w:val="22"/>
        </w:rPr>
        <w:t>Journal of the American Statistical Association</w:t>
      </w:r>
      <w:r w:rsidRPr="0066390D">
        <w:rPr>
          <w:sz w:val="22"/>
        </w:rPr>
        <w:t>, 77, 63–70.</w:t>
      </w:r>
    </w:p>
    <w:p w14:paraId="07E77B24" w14:textId="68AC61BC" w:rsidR="0035032E" w:rsidRDefault="0035032E" w:rsidP="0066390D">
      <w:pPr>
        <w:spacing w:after="0" w:line="240" w:lineRule="auto"/>
        <w:ind w:left="720" w:hanging="720"/>
        <w:rPr>
          <w:sz w:val="22"/>
        </w:rPr>
      </w:pPr>
    </w:p>
    <w:p w14:paraId="382E45D6" w14:textId="1AF58519" w:rsidR="00DC1C03" w:rsidRPr="00DC1C03" w:rsidRDefault="00DC1C03" w:rsidP="002D257F">
      <w:pPr>
        <w:spacing w:after="0" w:line="240" w:lineRule="auto"/>
        <w:ind w:left="720" w:hanging="720"/>
        <w:jc w:val="left"/>
        <w:rPr>
          <w:sz w:val="22"/>
        </w:rPr>
      </w:pPr>
      <w:r>
        <w:rPr>
          <w:sz w:val="22"/>
        </w:rPr>
        <w:t xml:space="preserve">Hyndman, R. J., &amp; Khandakar, Y. (2008). Automatic Time Series Forecasting: The forecast Package for R. </w:t>
      </w:r>
      <w:r>
        <w:rPr>
          <w:i/>
          <w:sz w:val="22"/>
        </w:rPr>
        <w:t>Journal of Statistical Software, 27(3).</w:t>
      </w:r>
      <w:r>
        <w:rPr>
          <w:sz w:val="22"/>
        </w:rPr>
        <w:t xml:space="preserve"> Retrieved from </w:t>
      </w:r>
      <w:hyperlink r:id="rId17" w:history="1">
        <w:r w:rsidRPr="00A56987">
          <w:rPr>
            <w:rStyle w:val="Hyperlink"/>
            <w:sz w:val="22"/>
          </w:rPr>
          <w:t>https://www.jstatsoft.org/article/view/v027i03</w:t>
        </w:r>
      </w:hyperlink>
      <w:r>
        <w:rPr>
          <w:sz w:val="22"/>
        </w:rPr>
        <w:t xml:space="preserve"> </w:t>
      </w:r>
    </w:p>
    <w:p w14:paraId="61BBFE6B" w14:textId="1536E6E7" w:rsidR="00DC1C03" w:rsidRDefault="00DC1C03" w:rsidP="0066390D">
      <w:pPr>
        <w:spacing w:after="0" w:line="240" w:lineRule="auto"/>
        <w:ind w:left="720" w:hanging="720"/>
        <w:rPr>
          <w:sz w:val="22"/>
        </w:rPr>
      </w:pPr>
    </w:p>
    <w:p w14:paraId="7644ED07" w14:textId="7985BD30" w:rsidR="00606DB8" w:rsidRPr="00606DB8" w:rsidRDefault="00606DB8" w:rsidP="0066390D">
      <w:pPr>
        <w:spacing w:after="0" w:line="240" w:lineRule="auto"/>
        <w:ind w:left="720" w:hanging="720"/>
        <w:rPr>
          <w:sz w:val="22"/>
        </w:rPr>
      </w:pPr>
      <w:r>
        <w:rPr>
          <w:sz w:val="22"/>
        </w:rPr>
        <w:t xml:space="preserve">Hyndman, R. J. (2010). The ARIMAX model muddle. </w:t>
      </w:r>
      <w:proofErr w:type="spellStart"/>
      <w:r>
        <w:rPr>
          <w:i/>
          <w:sz w:val="22"/>
        </w:rPr>
        <w:t>Hyndsight</w:t>
      </w:r>
      <w:proofErr w:type="spellEnd"/>
      <w:r>
        <w:rPr>
          <w:i/>
          <w:sz w:val="22"/>
        </w:rPr>
        <w:t xml:space="preserve"> blog. </w:t>
      </w:r>
      <w:r>
        <w:rPr>
          <w:sz w:val="22"/>
        </w:rPr>
        <w:t xml:space="preserve">Retrieved from </w:t>
      </w:r>
      <w:hyperlink r:id="rId18" w:history="1">
        <w:r w:rsidRPr="00A56987">
          <w:rPr>
            <w:rStyle w:val="Hyperlink"/>
            <w:sz w:val="22"/>
          </w:rPr>
          <w:t>https://robjhyndman.com/hyndsight/arimax/</w:t>
        </w:r>
      </w:hyperlink>
      <w:r>
        <w:rPr>
          <w:sz w:val="22"/>
        </w:rPr>
        <w:t xml:space="preserve"> </w:t>
      </w:r>
    </w:p>
    <w:p w14:paraId="163FCC47" w14:textId="2062F588" w:rsidR="00606DB8" w:rsidRDefault="00606DB8" w:rsidP="0066390D">
      <w:pPr>
        <w:spacing w:after="0" w:line="240" w:lineRule="auto"/>
        <w:ind w:left="720" w:hanging="720"/>
        <w:rPr>
          <w:sz w:val="22"/>
        </w:rPr>
      </w:pPr>
    </w:p>
    <w:p w14:paraId="0F72386D" w14:textId="213BFDCD" w:rsidR="004B2261" w:rsidRPr="004B2261" w:rsidRDefault="004B2261" w:rsidP="0066390D">
      <w:pPr>
        <w:spacing w:after="0" w:line="240" w:lineRule="auto"/>
        <w:ind w:left="720" w:hanging="720"/>
        <w:rPr>
          <w:sz w:val="22"/>
        </w:rPr>
      </w:pPr>
      <w:r>
        <w:rPr>
          <w:sz w:val="22"/>
        </w:rPr>
        <w:lastRenderedPageBreak/>
        <w:t xml:space="preserve">Hyndman, R. J. (2014). </w:t>
      </w:r>
      <w:r w:rsidRPr="004B2261">
        <w:rPr>
          <w:sz w:val="22"/>
        </w:rPr>
        <w:t>Thoughts on the Ljung-Box test</w:t>
      </w:r>
      <w:r>
        <w:rPr>
          <w:sz w:val="22"/>
        </w:rPr>
        <w:t xml:space="preserve">. </w:t>
      </w:r>
      <w:proofErr w:type="spellStart"/>
      <w:r>
        <w:rPr>
          <w:i/>
          <w:sz w:val="22"/>
        </w:rPr>
        <w:t>Hyndsight</w:t>
      </w:r>
      <w:proofErr w:type="spellEnd"/>
      <w:r>
        <w:rPr>
          <w:i/>
          <w:sz w:val="22"/>
        </w:rPr>
        <w:t xml:space="preserve"> Blog. </w:t>
      </w:r>
      <w:r>
        <w:rPr>
          <w:sz w:val="22"/>
        </w:rPr>
        <w:t xml:space="preserve">Retrieved from </w:t>
      </w:r>
      <w:hyperlink r:id="rId19" w:history="1">
        <w:r w:rsidRPr="00847FC5">
          <w:rPr>
            <w:rStyle w:val="Hyperlink"/>
            <w:sz w:val="22"/>
          </w:rPr>
          <w:t>https://robjhyndman.com/hyndsight/ljung-box-test/</w:t>
        </w:r>
      </w:hyperlink>
      <w:r>
        <w:rPr>
          <w:sz w:val="22"/>
        </w:rPr>
        <w:t xml:space="preserve"> </w:t>
      </w:r>
    </w:p>
    <w:p w14:paraId="02FA44EB" w14:textId="77777777" w:rsidR="004B2261" w:rsidRDefault="004B2261" w:rsidP="0066390D">
      <w:pPr>
        <w:spacing w:after="0" w:line="240" w:lineRule="auto"/>
        <w:ind w:left="720" w:hanging="720"/>
        <w:rPr>
          <w:sz w:val="22"/>
        </w:rPr>
      </w:pPr>
    </w:p>
    <w:p w14:paraId="7F212C46" w14:textId="18850712" w:rsidR="0035032E" w:rsidRPr="0035032E" w:rsidRDefault="0035032E" w:rsidP="0066390D">
      <w:pPr>
        <w:spacing w:after="0" w:line="240" w:lineRule="auto"/>
        <w:ind w:left="720" w:hanging="720"/>
        <w:rPr>
          <w:sz w:val="22"/>
        </w:rPr>
      </w:pPr>
      <w:r>
        <w:rPr>
          <w:sz w:val="22"/>
        </w:rPr>
        <w:t>Hyndman, R.</w:t>
      </w:r>
      <w:r w:rsidR="00DB4469">
        <w:rPr>
          <w:sz w:val="22"/>
        </w:rPr>
        <w:t xml:space="preserve"> J.</w:t>
      </w:r>
      <w:r>
        <w:rPr>
          <w:sz w:val="22"/>
        </w:rPr>
        <w:t xml:space="preserve">, O’Hara, M., </w:t>
      </w:r>
      <w:proofErr w:type="spellStart"/>
      <w:r>
        <w:rPr>
          <w:sz w:val="22"/>
        </w:rPr>
        <w:t>Bergmeir</w:t>
      </w:r>
      <w:proofErr w:type="spellEnd"/>
      <w:r>
        <w:rPr>
          <w:sz w:val="22"/>
        </w:rPr>
        <w:t xml:space="preserve">, C., </w:t>
      </w:r>
      <w:proofErr w:type="spellStart"/>
      <w:r>
        <w:rPr>
          <w:sz w:val="22"/>
        </w:rPr>
        <w:t>Razbash</w:t>
      </w:r>
      <w:proofErr w:type="spellEnd"/>
      <w:r>
        <w:rPr>
          <w:sz w:val="22"/>
        </w:rPr>
        <w:t xml:space="preserve">, S., &amp; Wang, E. (2017). Package ‘forecast’. </w:t>
      </w:r>
      <w:r>
        <w:rPr>
          <w:i/>
          <w:sz w:val="22"/>
        </w:rPr>
        <w:t xml:space="preserve">R topics </w:t>
      </w:r>
      <w:proofErr w:type="gramStart"/>
      <w:r>
        <w:rPr>
          <w:i/>
          <w:sz w:val="22"/>
        </w:rPr>
        <w:t>documented:.</w:t>
      </w:r>
      <w:proofErr w:type="gramEnd"/>
      <w:r>
        <w:rPr>
          <w:sz w:val="22"/>
        </w:rPr>
        <w:t xml:space="preserve"> Retrieved from </w:t>
      </w:r>
      <w:hyperlink r:id="rId20" w:history="1">
        <w:r w:rsidRPr="00A56987">
          <w:rPr>
            <w:rStyle w:val="Hyperlink"/>
            <w:sz w:val="22"/>
          </w:rPr>
          <w:t>https://cran.r-project.org/web/packages/forecast/forecast.pdf</w:t>
        </w:r>
      </w:hyperlink>
      <w:r>
        <w:rPr>
          <w:sz w:val="22"/>
        </w:rPr>
        <w:t xml:space="preserve"> </w:t>
      </w:r>
    </w:p>
    <w:p w14:paraId="7A200665" w14:textId="6F058E05" w:rsidR="007D6708" w:rsidRPr="0066390D" w:rsidRDefault="007D6708" w:rsidP="0066390D">
      <w:pPr>
        <w:spacing w:after="0" w:line="240" w:lineRule="auto"/>
        <w:ind w:left="720" w:hanging="720"/>
        <w:rPr>
          <w:b/>
          <w:sz w:val="22"/>
        </w:rPr>
      </w:pPr>
    </w:p>
    <w:p w14:paraId="43264DED" w14:textId="3E479439" w:rsidR="008776C2" w:rsidRPr="0066390D" w:rsidRDefault="008776C2" w:rsidP="0066390D">
      <w:pPr>
        <w:spacing w:after="0" w:line="240" w:lineRule="auto"/>
        <w:ind w:left="720" w:hanging="720"/>
        <w:rPr>
          <w:sz w:val="22"/>
        </w:rPr>
      </w:pPr>
      <w:r w:rsidRPr="0066390D">
        <w:rPr>
          <w:sz w:val="22"/>
        </w:rPr>
        <w:t xml:space="preserve">Jordan, S. D., &amp; Jordan, B. D. (1991). Seasonality in Daily Bond Returns. </w:t>
      </w:r>
      <w:r w:rsidRPr="0066390D">
        <w:rPr>
          <w:i/>
          <w:sz w:val="22"/>
        </w:rPr>
        <w:t>Journal of Financial and Quantitative Analysis</w:t>
      </w:r>
      <w:r w:rsidRPr="0066390D">
        <w:rPr>
          <w:sz w:val="22"/>
        </w:rPr>
        <w:t>, 26, 269-285.</w:t>
      </w:r>
    </w:p>
    <w:p w14:paraId="1D78FB7B" w14:textId="77777777" w:rsidR="008776C2" w:rsidRPr="0066390D" w:rsidRDefault="008776C2" w:rsidP="0066390D">
      <w:pPr>
        <w:spacing w:after="0" w:line="240" w:lineRule="auto"/>
        <w:ind w:left="720" w:hanging="720"/>
        <w:rPr>
          <w:b/>
          <w:sz w:val="22"/>
        </w:rPr>
      </w:pPr>
    </w:p>
    <w:p w14:paraId="417663CC" w14:textId="1BE65130" w:rsidR="006C04FB" w:rsidRDefault="006C04FB" w:rsidP="0066390D">
      <w:pPr>
        <w:spacing w:after="0" w:line="240" w:lineRule="auto"/>
        <w:ind w:left="720" w:hanging="720"/>
        <w:rPr>
          <w:sz w:val="22"/>
        </w:rPr>
      </w:pPr>
      <w:r w:rsidRPr="0066390D">
        <w:rPr>
          <w:sz w:val="22"/>
        </w:rPr>
        <w:t xml:space="preserve">Maxwell, W. F. (1998). The January effect in the corporate bond market: A systematic examination. </w:t>
      </w:r>
      <w:r w:rsidRPr="0066390D">
        <w:rPr>
          <w:i/>
          <w:sz w:val="22"/>
        </w:rPr>
        <w:t>Financial Management</w:t>
      </w:r>
      <w:r w:rsidRPr="0066390D">
        <w:rPr>
          <w:sz w:val="22"/>
        </w:rPr>
        <w:t>, 18-30.</w:t>
      </w:r>
    </w:p>
    <w:p w14:paraId="6DC55475" w14:textId="46460B48" w:rsidR="003B1BD7" w:rsidRDefault="003B1BD7" w:rsidP="0066390D">
      <w:pPr>
        <w:spacing w:after="0" w:line="240" w:lineRule="auto"/>
        <w:ind w:left="720" w:hanging="720"/>
        <w:rPr>
          <w:sz w:val="22"/>
        </w:rPr>
      </w:pPr>
    </w:p>
    <w:p w14:paraId="27FC0EF2" w14:textId="5DF59281" w:rsidR="009F51F7" w:rsidRDefault="003B1BD7" w:rsidP="0066390D">
      <w:pPr>
        <w:spacing w:after="0" w:line="240" w:lineRule="auto"/>
        <w:ind w:left="720" w:hanging="720"/>
        <w:rPr>
          <w:sz w:val="22"/>
        </w:rPr>
      </w:pPr>
      <w:r w:rsidRPr="003B1BD7">
        <w:rPr>
          <w:sz w:val="22"/>
        </w:rPr>
        <w:t xml:space="preserve">Meier, I., &amp; Schaumberg, E. (2004). Do Funds Window Dress? Evidence for US Domestic Equity Mutual Funds, </w:t>
      </w:r>
      <w:r w:rsidRPr="008E6B45">
        <w:rPr>
          <w:i/>
          <w:sz w:val="22"/>
        </w:rPr>
        <w:t>HEC Montreal</w:t>
      </w:r>
      <w:r w:rsidRPr="003B1BD7">
        <w:rPr>
          <w:sz w:val="22"/>
        </w:rPr>
        <w:t>, Working Paper.</w:t>
      </w:r>
    </w:p>
    <w:p w14:paraId="31024F7B" w14:textId="77777777" w:rsidR="003B1BD7" w:rsidRDefault="003B1BD7" w:rsidP="0066390D">
      <w:pPr>
        <w:spacing w:after="0" w:line="240" w:lineRule="auto"/>
        <w:ind w:left="720" w:hanging="720"/>
        <w:rPr>
          <w:sz w:val="22"/>
        </w:rPr>
      </w:pPr>
    </w:p>
    <w:p w14:paraId="0309B811" w14:textId="4180802B" w:rsidR="007B5817" w:rsidRDefault="00621A1D" w:rsidP="0066390D">
      <w:pPr>
        <w:spacing w:after="0" w:line="240" w:lineRule="auto"/>
        <w:ind w:left="720" w:hanging="720"/>
        <w:rPr>
          <w:sz w:val="22"/>
        </w:rPr>
      </w:pPr>
      <w:r w:rsidRPr="00621A1D">
        <w:rPr>
          <w:sz w:val="22"/>
        </w:rPr>
        <w:t>Pankratz, A. (2012). Forecasting with dynamic regression models (Vol. 935). John Wiley &amp; Sons.</w:t>
      </w:r>
    </w:p>
    <w:p w14:paraId="79C1D3C6" w14:textId="6B62336D" w:rsidR="003B1BD7" w:rsidRDefault="003B1BD7" w:rsidP="0066390D">
      <w:pPr>
        <w:spacing w:after="0" w:line="240" w:lineRule="auto"/>
        <w:ind w:left="720" w:hanging="720"/>
        <w:rPr>
          <w:sz w:val="22"/>
        </w:rPr>
      </w:pPr>
    </w:p>
    <w:p w14:paraId="315BDDA0" w14:textId="2AF27BB0" w:rsidR="009B0A18" w:rsidRPr="009B0A18" w:rsidRDefault="009B0A18" w:rsidP="0066390D">
      <w:pPr>
        <w:spacing w:after="0" w:line="240" w:lineRule="auto"/>
        <w:ind w:left="720" w:hanging="720"/>
        <w:rPr>
          <w:rFonts w:cs="Times New Roman"/>
          <w:color w:val="000000" w:themeColor="text1"/>
          <w:sz w:val="22"/>
        </w:rPr>
      </w:pPr>
      <w:r w:rsidRPr="009B0A18">
        <w:rPr>
          <w:rFonts w:cs="Times New Roman"/>
          <w:color w:val="000000" w:themeColor="text1"/>
          <w:sz w:val="22"/>
          <w:shd w:val="clear" w:color="auto" w:fill="FFFFFF"/>
        </w:rPr>
        <w:t xml:space="preserve">Poterba, J. M., &amp; </w:t>
      </w:r>
      <w:proofErr w:type="spellStart"/>
      <w:r w:rsidRPr="009B0A18">
        <w:rPr>
          <w:rFonts w:cs="Times New Roman"/>
          <w:color w:val="000000" w:themeColor="text1"/>
          <w:sz w:val="22"/>
          <w:shd w:val="clear" w:color="auto" w:fill="FFFFFF"/>
        </w:rPr>
        <w:t>Weisbenner</w:t>
      </w:r>
      <w:proofErr w:type="spellEnd"/>
      <w:r w:rsidRPr="009B0A18">
        <w:rPr>
          <w:rFonts w:cs="Times New Roman"/>
          <w:color w:val="000000" w:themeColor="text1"/>
          <w:sz w:val="22"/>
          <w:shd w:val="clear" w:color="auto" w:fill="FFFFFF"/>
        </w:rPr>
        <w:t>, S. J. (2001). Capital gains tax rules, tax‐loss trading, and turn‐of‐the‐year returns. </w:t>
      </w:r>
      <w:r w:rsidRPr="009B0A18">
        <w:rPr>
          <w:rFonts w:cs="Times New Roman"/>
          <w:i/>
          <w:iCs/>
          <w:color w:val="000000" w:themeColor="text1"/>
          <w:sz w:val="22"/>
          <w:shd w:val="clear" w:color="auto" w:fill="FFFFFF"/>
        </w:rPr>
        <w:t>The Journal of Finance</w:t>
      </w:r>
      <w:r w:rsidRPr="009B0A18">
        <w:rPr>
          <w:rFonts w:cs="Times New Roman"/>
          <w:color w:val="000000" w:themeColor="text1"/>
          <w:sz w:val="22"/>
          <w:shd w:val="clear" w:color="auto" w:fill="FFFFFF"/>
        </w:rPr>
        <w:t>, </w:t>
      </w:r>
      <w:r w:rsidRPr="009B0A18">
        <w:rPr>
          <w:rFonts w:cs="Times New Roman"/>
          <w:i/>
          <w:iCs/>
          <w:color w:val="000000" w:themeColor="text1"/>
          <w:sz w:val="22"/>
          <w:shd w:val="clear" w:color="auto" w:fill="FFFFFF"/>
        </w:rPr>
        <w:t>56</w:t>
      </w:r>
      <w:r w:rsidRPr="009B0A18">
        <w:rPr>
          <w:rFonts w:cs="Times New Roman"/>
          <w:color w:val="000000" w:themeColor="text1"/>
          <w:sz w:val="22"/>
          <w:shd w:val="clear" w:color="auto" w:fill="FFFFFF"/>
        </w:rPr>
        <w:t>(1), 353-368.</w:t>
      </w:r>
    </w:p>
    <w:p w14:paraId="3E660889" w14:textId="77777777" w:rsidR="009B0A18" w:rsidRPr="009B0A18" w:rsidRDefault="009B0A18" w:rsidP="0066390D">
      <w:pPr>
        <w:spacing w:after="0" w:line="240" w:lineRule="auto"/>
        <w:ind w:left="720" w:hanging="720"/>
        <w:rPr>
          <w:rFonts w:cs="Times New Roman"/>
          <w:color w:val="000000" w:themeColor="text1"/>
          <w:sz w:val="22"/>
        </w:rPr>
      </w:pPr>
    </w:p>
    <w:p w14:paraId="32B78E5B" w14:textId="4627E1AE" w:rsidR="009F51F7" w:rsidRPr="0066390D" w:rsidRDefault="009F51F7" w:rsidP="0066390D">
      <w:pPr>
        <w:spacing w:after="0" w:line="240" w:lineRule="auto"/>
        <w:ind w:left="720" w:hanging="720"/>
        <w:rPr>
          <w:sz w:val="22"/>
        </w:rPr>
      </w:pPr>
      <w:r w:rsidRPr="0066390D">
        <w:rPr>
          <w:sz w:val="22"/>
        </w:rPr>
        <w:t xml:space="preserve">Reid, H. (2017). The 'January effect' for stock markets is fading: Goldman. </w:t>
      </w:r>
      <w:r w:rsidRPr="0066390D">
        <w:rPr>
          <w:i/>
          <w:sz w:val="22"/>
        </w:rPr>
        <w:t xml:space="preserve">Thomson Reuters. </w:t>
      </w:r>
      <w:r w:rsidRPr="0066390D">
        <w:rPr>
          <w:sz w:val="22"/>
        </w:rPr>
        <w:t xml:space="preserve">Retrieved from </w:t>
      </w:r>
      <w:hyperlink r:id="rId21" w:history="1">
        <w:r w:rsidRPr="0066390D">
          <w:rPr>
            <w:rStyle w:val="Hyperlink"/>
            <w:sz w:val="22"/>
          </w:rPr>
          <w:t>https://www.reuters.com/article/us-stocks-goldman/the-january-effect-for-stock-markets-is-fading-goldman-idUSKBN14Q15P</w:t>
        </w:r>
      </w:hyperlink>
      <w:r w:rsidRPr="0066390D">
        <w:rPr>
          <w:sz w:val="22"/>
        </w:rPr>
        <w:t xml:space="preserve"> </w:t>
      </w:r>
    </w:p>
    <w:p w14:paraId="180BBD1F" w14:textId="03988C79" w:rsidR="006C04FB" w:rsidRDefault="006C04FB" w:rsidP="0066390D">
      <w:pPr>
        <w:spacing w:after="0" w:line="240" w:lineRule="auto"/>
        <w:ind w:left="720" w:hanging="720"/>
        <w:rPr>
          <w:b/>
          <w:sz w:val="22"/>
        </w:rPr>
      </w:pPr>
    </w:p>
    <w:p w14:paraId="0E51B721" w14:textId="36F3ED38" w:rsidR="00C07C62" w:rsidRPr="00C07C62" w:rsidRDefault="00C07C62" w:rsidP="0066390D">
      <w:pPr>
        <w:spacing w:after="0" w:line="240" w:lineRule="auto"/>
        <w:ind w:left="720" w:hanging="720"/>
        <w:rPr>
          <w:sz w:val="22"/>
        </w:rPr>
      </w:pPr>
      <w:r>
        <w:rPr>
          <w:sz w:val="22"/>
        </w:rPr>
        <w:t xml:space="preserve">Rupp, H. (2017). </w:t>
      </w:r>
      <w:r w:rsidRPr="00C07C62">
        <w:rPr>
          <w:sz w:val="22"/>
        </w:rPr>
        <w:t>The High Yield Market: Market Size, Ownership, Funds, and Opportunities</w:t>
      </w:r>
      <w:r>
        <w:rPr>
          <w:sz w:val="22"/>
        </w:rPr>
        <w:t xml:space="preserve">. </w:t>
      </w:r>
      <w:r>
        <w:rPr>
          <w:i/>
          <w:sz w:val="22"/>
        </w:rPr>
        <w:t xml:space="preserve">PERITUS Asset Management, LLC. </w:t>
      </w:r>
      <w:r>
        <w:rPr>
          <w:sz w:val="22"/>
        </w:rPr>
        <w:t xml:space="preserve">Retrieved from </w:t>
      </w:r>
      <w:hyperlink r:id="rId22" w:history="1">
        <w:r w:rsidRPr="00F06D1B">
          <w:rPr>
            <w:rStyle w:val="Hyperlink"/>
            <w:sz w:val="22"/>
          </w:rPr>
          <w:t>http://www.peritusasset.com/2017/06/the-high-yield-market-market-size-ownership-funds-and-opportunities-3/</w:t>
        </w:r>
      </w:hyperlink>
      <w:r>
        <w:rPr>
          <w:sz w:val="22"/>
        </w:rPr>
        <w:t xml:space="preserve"> </w:t>
      </w:r>
    </w:p>
    <w:p w14:paraId="2DB03FB8" w14:textId="4838F3E3" w:rsidR="00C07C62" w:rsidRDefault="00C07C62" w:rsidP="0066390D">
      <w:pPr>
        <w:spacing w:after="0" w:line="240" w:lineRule="auto"/>
        <w:ind w:left="720" w:hanging="720"/>
        <w:rPr>
          <w:b/>
          <w:sz w:val="22"/>
        </w:rPr>
      </w:pPr>
    </w:p>
    <w:p w14:paraId="4BF13111" w14:textId="2B0244C7" w:rsidR="000D1FD1" w:rsidRPr="000D1FD1" w:rsidRDefault="000D1FD1" w:rsidP="0066390D">
      <w:pPr>
        <w:spacing w:after="0" w:line="240" w:lineRule="auto"/>
        <w:ind w:left="720" w:hanging="720"/>
        <w:rPr>
          <w:sz w:val="22"/>
        </w:rPr>
      </w:pPr>
      <w:r>
        <w:rPr>
          <w:sz w:val="22"/>
        </w:rPr>
        <w:t xml:space="preserve">Ruppert, D. (2011). </w:t>
      </w:r>
      <w:r>
        <w:rPr>
          <w:i/>
          <w:sz w:val="22"/>
        </w:rPr>
        <w:t xml:space="preserve">Statistics and data analysis for financial engineering. </w:t>
      </w:r>
      <w:r>
        <w:rPr>
          <w:sz w:val="22"/>
        </w:rPr>
        <w:t xml:space="preserve">Vol. 13. New York: Springer, 2011. </w:t>
      </w:r>
    </w:p>
    <w:p w14:paraId="7B165DF2" w14:textId="77777777" w:rsidR="000D1FD1" w:rsidRDefault="000D1FD1" w:rsidP="0066390D">
      <w:pPr>
        <w:spacing w:after="0" w:line="240" w:lineRule="auto"/>
        <w:ind w:left="720" w:hanging="720"/>
        <w:rPr>
          <w:b/>
          <w:sz w:val="22"/>
        </w:rPr>
      </w:pPr>
    </w:p>
    <w:p w14:paraId="3FBA8500" w14:textId="798038BE" w:rsidR="009909CB" w:rsidRPr="009909CB" w:rsidRDefault="009909CB" w:rsidP="0066390D">
      <w:pPr>
        <w:spacing w:after="0" w:line="240" w:lineRule="auto"/>
        <w:ind w:left="720" w:hanging="720"/>
        <w:rPr>
          <w:sz w:val="22"/>
        </w:rPr>
      </w:pPr>
      <w:r w:rsidRPr="009909CB">
        <w:rPr>
          <w:sz w:val="22"/>
        </w:rPr>
        <w:t xml:space="preserve">Sias, R. W., &amp; Starks, L. T. (1997). Institutions and individuals at the turn‐of‐the‐year. </w:t>
      </w:r>
      <w:r w:rsidRPr="009909CB">
        <w:rPr>
          <w:i/>
          <w:sz w:val="22"/>
        </w:rPr>
        <w:t>The Journal of Finance</w:t>
      </w:r>
      <w:r w:rsidRPr="009909CB">
        <w:rPr>
          <w:sz w:val="22"/>
        </w:rPr>
        <w:t>, 52(4), 1543-1562.</w:t>
      </w:r>
    </w:p>
    <w:p w14:paraId="4EA8D7AD" w14:textId="77777777" w:rsidR="009909CB" w:rsidRPr="0066390D" w:rsidRDefault="009909CB" w:rsidP="0066390D">
      <w:pPr>
        <w:spacing w:after="0" w:line="240" w:lineRule="auto"/>
        <w:ind w:left="720" w:hanging="720"/>
        <w:rPr>
          <w:b/>
          <w:sz w:val="22"/>
        </w:rPr>
      </w:pPr>
    </w:p>
    <w:p w14:paraId="141BC6B1" w14:textId="6F5E3273" w:rsidR="00A365FB" w:rsidRPr="0066390D" w:rsidRDefault="00111737" w:rsidP="0066390D">
      <w:pPr>
        <w:spacing w:after="0" w:line="240" w:lineRule="auto"/>
        <w:ind w:left="720" w:hanging="720"/>
        <w:rPr>
          <w:sz w:val="22"/>
        </w:rPr>
      </w:pPr>
      <w:r w:rsidRPr="0066390D">
        <w:rPr>
          <w:sz w:val="22"/>
        </w:rPr>
        <w:t xml:space="preserve">Starks, L. T., Yong, L., &amp; Zheng, L. (2006). Tax‐Loss Selling and the January Effect: Evidence from Municipal Bond Closed‐End Funds. </w:t>
      </w:r>
      <w:r w:rsidRPr="0066390D">
        <w:rPr>
          <w:i/>
          <w:sz w:val="22"/>
        </w:rPr>
        <w:t>The Journal of Finance</w:t>
      </w:r>
      <w:r w:rsidRPr="0066390D">
        <w:rPr>
          <w:sz w:val="22"/>
        </w:rPr>
        <w:t>, 61(6), 3049-3067.</w:t>
      </w:r>
    </w:p>
    <w:p w14:paraId="1D61910F" w14:textId="43069D01" w:rsidR="00580D74" w:rsidRPr="0066390D" w:rsidRDefault="00580D74" w:rsidP="0066390D">
      <w:pPr>
        <w:spacing w:after="0" w:line="240" w:lineRule="auto"/>
        <w:ind w:left="720" w:hanging="720"/>
        <w:rPr>
          <w:b/>
          <w:sz w:val="22"/>
        </w:rPr>
      </w:pPr>
    </w:p>
    <w:p w14:paraId="6FC1FDD0" w14:textId="77777777" w:rsidR="00580D74" w:rsidRPr="0066390D" w:rsidRDefault="00580D74" w:rsidP="0066390D">
      <w:pPr>
        <w:spacing w:after="0" w:line="240" w:lineRule="auto"/>
        <w:ind w:left="720" w:hanging="720"/>
        <w:rPr>
          <w:sz w:val="22"/>
        </w:rPr>
      </w:pPr>
    </w:p>
    <w:sectPr w:rsidR="00580D74" w:rsidRPr="0066390D" w:rsidSect="00037A2A">
      <w:head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21D9DF" w14:textId="77777777" w:rsidR="00037A2A" w:rsidRDefault="00037A2A" w:rsidP="007E69C0">
      <w:pPr>
        <w:spacing w:after="0" w:line="240" w:lineRule="auto"/>
      </w:pPr>
      <w:r>
        <w:separator/>
      </w:r>
    </w:p>
  </w:endnote>
  <w:endnote w:type="continuationSeparator" w:id="0">
    <w:p w14:paraId="610A6449" w14:textId="77777777" w:rsidR="00037A2A" w:rsidRDefault="00037A2A" w:rsidP="007E6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894F86" w14:textId="77777777" w:rsidR="00037A2A" w:rsidRDefault="00037A2A" w:rsidP="007E69C0">
      <w:pPr>
        <w:spacing w:after="0" w:line="240" w:lineRule="auto"/>
      </w:pPr>
      <w:r>
        <w:separator/>
      </w:r>
    </w:p>
  </w:footnote>
  <w:footnote w:type="continuationSeparator" w:id="0">
    <w:p w14:paraId="765C33AC" w14:textId="77777777" w:rsidR="00037A2A" w:rsidRDefault="00037A2A" w:rsidP="007E69C0">
      <w:pPr>
        <w:spacing w:after="0" w:line="240" w:lineRule="auto"/>
      </w:pPr>
      <w:r>
        <w:continuationSeparator/>
      </w:r>
    </w:p>
  </w:footnote>
  <w:footnote w:id="1">
    <w:p w14:paraId="24B4CB73" w14:textId="7FA8CA7A" w:rsidR="008A5968" w:rsidRDefault="008A5968">
      <w:pPr>
        <w:pStyle w:val="FootnoteText"/>
      </w:pPr>
      <w:r>
        <w:rPr>
          <w:rStyle w:val="FootnoteReference"/>
        </w:rPr>
        <w:footnoteRef/>
      </w:r>
      <w:r>
        <w:t xml:space="preserve"> Municipal Bonds (</w:t>
      </w:r>
      <w:r w:rsidRPr="007E69C0">
        <w:t>LMBITR Index</w:t>
      </w:r>
      <w:r>
        <w:t>); High Yield Municipal Bonds (</w:t>
      </w:r>
      <w:r w:rsidRPr="007E69C0">
        <w:t>LMEHTR Inde</w:t>
      </w:r>
      <w:r>
        <w:t>x); High Yield Municipal Bonds ex Puerto Rico (</w:t>
      </w:r>
      <w:r w:rsidRPr="007E69C0">
        <w:t>I32444US Index</w:t>
      </w:r>
      <w:r>
        <w:t xml:space="preserve">) which is retrieved from </w:t>
      </w:r>
      <w:hyperlink r:id="rId1" w:history="1">
        <w:r w:rsidRPr="00E96D42">
          <w:rPr>
            <w:rStyle w:val="Hyperlink"/>
          </w:rPr>
          <w:t>https://www.bloomberg.com/markets/rates-bonds/bloomberg-barclays-indices</w:t>
        </w:r>
      </w:hyperlink>
      <w:r>
        <w:t xml:space="preserve"> </w:t>
      </w:r>
    </w:p>
  </w:footnote>
  <w:footnote w:id="2">
    <w:p w14:paraId="770445E0" w14:textId="1E446111" w:rsidR="008A5968" w:rsidRDefault="008A5968">
      <w:pPr>
        <w:pStyle w:val="FootnoteText"/>
      </w:pPr>
      <w:r>
        <w:rPr>
          <w:rStyle w:val="FootnoteReference"/>
        </w:rPr>
        <w:footnoteRef/>
      </w:r>
      <w:r>
        <w:t xml:space="preserve"> </w:t>
      </w:r>
      <w:bookmarkStart w:id="0" w:name="_Hlk509823292"/>
      <w:r>
        <w:t>LN(P</w:t>
      </w:r>
      <w:r w:rsidRPr="000632C3">
        <w:rPr>
          <w:vertAlign w:val="subscript"/>
        </w:rPr>
        <w:t>t</w:t>
      </w:r>
      <w:r>
        <w:t>/P</w:t>
      </w:r>
      <w:r w:rsidRPr="000632C3">
        <w:rPr>
          <w:vertAlign w:val="subscript"/>
        </w:rPr>
        <w:t>t-1</w:t>
      </w:r>
      <w:r>
        <w:t xml:space="preserve">) where </w:t>
      </w:r>
      <w:r>
        <w:t xml:space="preserve">t is in months. </w:t>
      </w:r>
    </w:p>
    <w:bookmarkEnd w:id="0"/>
  </w:footnote>
  <w:footnote w:id="3">
    <w:p w14:paraId="49D39F8A" w14:textId="4CF0EC92" w:rsidR="008A5968" w:rsidRDefault="008A5968">
      <w:pPr>
        <w:pStyle w:val="FootnoteText"/>
      </w:pPr>
      <w:r>
        <w:rPr>
          <w:rStyle w:val="FootnoteReference"/>
        </w:rPr>
        <w:footnoteRef/>
      </w:r>
      <w:r>
        <w:t xml:space="preserve"> Same as </w:t>
      </w:r>
      <w:r>
        <w:t xml:space="preserve">M(2) in Table 1. </w:t>
      </w:r>
    </w:p>
  </w:footnote>
  <w:footnote w:id="4">
    <w:p w14:paraId="2A03689B" w14:textId="77777777" w:rsidR="00452C0F" w:rsidRDefault="00452C0F" w:rsidP="00452C0F">
      <w:pPr>
        <w:pStyle w:val="FootnoteText"/>
      </w:pPr>
      <w:r>
        <w:rPr>
          <w:rStyle w:val="FootnoteReference"/>
        </w:rPr>
        <w:footnoteRef/>
      </w:r>
      <w:r>
        <w:t xml:space="preserve"> Index data on High Yield Municipal Bonds excluding Puerto Rico was only available from 2009-2017.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128136833"/>
      <w:docPartObj>
        <w:docPartGallery w:val="Page Numbers (Top of Page)"/>
        <w:docPartUnique/>
      </w:docPartObj>
    </w:sdtPr>
    <w:sdtEndPr>
      <w:rPr>
        <w:b/>
        <w:bCs/>
        <w:noProof/>
        <w:color w:val="auto"/>
        <w:spacing w:val="0"/>
      </w:rPr>
    </w:sdtEndPr>
    <w:sdtContent>
      <w:p w14:paraId="1D047C22" w14:textId="311BAE96" w:rsidR="008A5968" w:rsidRDefault="008A5968">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09609F" w:rsidRPr="0009609F">
          <w:rPr>
            <w:b/>
            <w:bCs/>
            <w:noProof/>
          </w:rPr>
          <w:t>16</w:t>
        </w:r>
        <w:r>
          <w:rPr>
            <w:b/>
            <w:bCs/>
            <w:noProof/>
          </w:rPr>
          <w:fldChar w:fldCharType="end"/>
        </w:r>
      </w:p>
    </w:sdtContent>
  </w:sdt>
  <w:p w14:paraId="38653C98" w14:textId="77777777" w:rsidR="008A5968" w:rsidRDefault="008A59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E32FEE"/>
    <w:multiLevelType w:val="hybridMultilevel"/>
    <w:tmpl w:val="3D346C3E"/>
    <w:lvl w:ilvl="0" w:tplc="580EAD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AFF59D3"/>
    <w:multiLevelType w:val="hybridMultilevel"/>
    <w:tmpl w:val="242ACF62"/>
    <w:lvl w:ilvl="0" w:tplc="7BFC0C46">
      <w:start w:val="1"/>
      <w:numFmt w:val="bullet"/>
      <w:lvlText w:val=""/>
      <w:lvlJc w:val="left"/>
      <w:pPr>
        <w:ind w:left="720" w:hanging="360"/>
      </w:pPr>
      <w:rPr>
        <w:rFonts w:ascii="Symbol" w:hAnsi="Symbol" w:hint="default"/>
        <w:color w:val="9CC2E5" w:themeColor="accent5"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BF6B92"/>
    <w:multiLevelType w:val="hybridMultilevel"/>
    <w:tmpl w:val="82BCF124"/>
    <w:lvl w:ilvl="0" w:tplc="035E985C">
      <w:start w:val="1"/>
      <w:numFmt w:val="bullet"/>
      <w:lvlText w:val=""/>
      <w:lvlJc w:val="left"/>
      <w:pPr>
        <w:ind w:left="720" w:hanging="360"/>
      </w:pPr>
      <w:rPr>
        <w:rFonts w:ascii="Symbol" w:hAnsi="Symbo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5837425">
    <w:abstractNumId w:val="0"/>
  </w:num>
  <w:num w:numId="2" w16cid:durableId="2125613262">
    <w:abstractNumId w:val="1"/>
  </w:num>
  <w:num w:numId="3" w16cid:durableId="2298545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BBB"/>
    <w:rsid w:val="00007B11"/>
    <w:rsid w:val="00021417"/>
    <w:rsid w:val="00024AB3"/>
    <w:rsid w:val="000253BF"/>
    <w:rsid w:val="0002629D"/>
    <w:rsid w:val="00037A2A"/>
    <w:rsid w:val="000436D0"/>
    <w:rsid w:val="000501EA"/>
    <w:rsid w:val="000549C8"/>
    <w:rsid w:val="00060C55"/>
    <w:rsid w:val="000632C3"/>
    <w:rsid w:val="0007008A"/>
    <w:rsid w:val="00071681"/>
    <w:rsid w:val="00074546"/>
    <w:rsid w:val="00075E7A"/>
    <w:rsid w:val="00077611"/>
    <w:rsid w:val="00085567"/>
    <w:rsid w:val="0008734A"/>
    <w:rsid w:val="00095FF9"/>
    <w:rsid w:val="0009609F"/>
    <w:rsid w:val="00096974"/>
    <w:rsid w:val="00096EBB"/>
    <w:rsid w:val="000B1A28"/>
    <w:rsid w:val="000B2E59"/>
    <w:rsid w:val="000B3C0E"/>
    <w:rsid w:val="000C0170"/>
    <w:rsid w:val="000C3AB5"/>
    <w:rsid w:val="000C4994"/>
    <w:rsid w:val="000C693D"/>
    <w:rsid w:val="000D1FD1"/>
    <w:rsid w:val="000D201D"/>
    <w:rsid w:val="000D34D4"/>
    <w:rsid w:val="000E1F11"/>
    <w:rsid w:val="000E5627"/>
    <w:rsid w:val="000E7BC0"/>
    <w:rsid w:val="000F2A00"/>
    <w:rsid w:val="000F46F4"/>
    <w:rsid w:val="00107D69"/>
    <w:rsid w:val="00111737"/>
    <w:rsid w:val="00113B48"/>
    <w:rsid w:val="00116124"/>
    <w:rsid w:val="00127CA3"/>
    <w:rsid w:val="0013273F"/>
    <w:rsid w:val="00135BC2"/>
    <w:rsid w:val="00140BF9"/>
    <w:rsid w:val="00144492"/>
    <w:rsid w:val="001504FE"/>
    <w:rsid w:val="00152FE3"/>
    <w:rsid w:val="00154991"/>
    <w:rsid w:val="001573BF"/>
    <w:rsid w:val="00157F71"/>
    <w:rsid w:val="00161D95"/>
    <w:rsid w:val="00171DA7"/>
    <w:rsid w:val="0017206E"/>
    <w:rsid w:val="00174E98"/>
    <w:rsid w:val="00175092"/>
    <w:rsid w:val="001775E6"/>
    <w:rsid w:val="001807FA"/>
    <w:rsid w:val="00181F12"/>
    <w:rsid w:val="00183161"/>
    <w:rsid w:val="00183685"/>
    <w:rsid w:val="001852B2"/>
    <w:rsid w:val="0019186E"/>
    <w:rsid w:val="001A1976"/>
    <w:rsid w:val="001A2BAA"/>
    <w:rsid w:val="001B156B"/>
    <w:rsid w:val="001B1A4A"/>
    <w:rsid w:val="001B312F"/>
    <w:rsid w:val="001B465E"/>
    <w:rsid w:val="001C180F"/>
    <w:rsid w:val="001C2308"/>
    <w:rsid w:val="001C485E"/>
    <w:rsid w:val="001C5819"/>
    <w:rsid w:val="001C7321"/>
    <w:rsid w:val="001D0AE5"/>
    <w:rsid w:val="001D4118"/>
    <w:rsid w:val="001D45ED"/>
    <w:rsid w:val="001D627B"/>
    <w:rsid w:val="001E00CF"/>
    <w:rsid w:val="001E06EA"/>
    <w:rsid w:val="001E399F"/>
    <w:rsid w:val="001F1AE0"/>
    <w:rsid w:val="001F29DF"/>
    <w:rsid w:val="00205243"/>
    <w:rsid w:val="00216358"/>
    <w:rsid w:val="00217631"/>
    <w:rsid w:val="00225486"/>
    <w:rsid w:val="00226304"/>
    <w:rsid w:val="00226B3D"/>
    <w:rsid w:val="00227577"/>
    <w:rsid w:val="002308AA"/>
    <w:rsid w:val="002422C7"/>
    <w:rsid w:val="0024260A"/>
    <w:rsid w:val="00242C4D"/>
    <w:rsid w:val="00243F6E"/>
    <w:rsid w:val="00247A46"/>
    <w:rsid w:val="00250950"/>
    <w:rsid w:val="00255EF1"/>
    <w:rsid w:val="00256D50"/>
    <w:rsid w:val="00260D6D"/>
    <w:rsid w:val="00262F14"/>
    <w:rsid w:val="0026412F"/>
    <w:rsid w:val="002647CA"/>
    <w:rsid w:val="00265D82"/>
    <w:rsid w:val="0027274E"/>
    <w:rsid w:val="00285A76"/>
    <w:rsid w:val="0029030C"/>
    <w:rsid w:val="00292813"/>
    <w:rsid w:val="00292E17"/>
    <w:rsid w:val="00293087"/>
    <w:rsid w:val="002A00C2"/>
    <w:rsid w:val="002A3CF2"/>
    <w:rsid w:val="002A51DD"/>
    <w:rsid w:val="002A5424"/>
    <w:rsid w:val="002B72B0"/>
    <w:rsid w:val="002C668C"/>
    <w:rsid w:val="002C7646"/>
    <w:rsid w:val="002D257F"/>
    <w:rsid w:val="002D2C24"/>
    <w:rsid w:val="002D3A15"/>
    <w:rsid w:val="002D3B59"/>
    <w:rsid w:val="002E0E94"/>
    <w:rsid w:val="002E2DCD"/>
    <w:rsid w:val="002E73EA"/>
    <w:rsid w:val="002F0B13"/>
    <w:rsid w:val="002F34CF"/>
    <w:rsid w:val="002F4F80"/>
    <w:rsid w:val="00311892"/>
    <w:rsid w:val="00312938"/>
    <w:rsid w:val="00313053"/>
    <w:rsid w:val="0031515B"/>
    <w:rsid w:val="00326DE8"/>
    <w:rsid w:val="00327CC6"/>
    <w:rsid w:val="00332674"/>
    <w:rsid w:val="0033550E"/>
    <w:rsid w:val="00337FBA"/>
    <w:rsid w:val="00342792"/>
    <w:rsid w:val="00343EF8"/>
    <w:rsid w:val="00345196"/>
    <w:rsid w:val="0035030D"/>
    <w:rsid w:val="0035032E"/>
    <w:rsid w:val="00351902"/>
    <w:rsid w:val="00360215"/>
    <w:rsid w:val="00375D08"/>
    <w:rsid w:val="0037678C"/>
    <w:rsid w:val="00376C65"/>
    <w:rsid w:val="0037759B"/>
    <w:rsid w:val="00380EC0"/>
    <w:rsid w:val="00382F48"/>
    <w:rsid w:val="003862DB"/>
    <w:rsid w:val="00390D32"/>
    <w:rsid w:val="003A5028"/>
    <w:rsid w:val="003B1BD7"/>
    <w:rsid w:val="003B22C7"/>
    <w:rsid w:val="003B4C94"/>
    <w:rsid w:val="003B5DA0"/>
    <w:rsid w:val="003B72DE"/>
    <w:rsid w:val="003D1040"/>
    <w:rsid w:val="003D2C42"/>
    <w:rsid w:val="003D2D56"/>
    <w:rsid w:val="003D32B2"/>
    <w:rsid w:val="003D3C31"/>
    <w:rsid w:val="003E1CB5"/>
    <w:rsid w:val="003E1CF4"/>
    <w:rsid w:val="003E7476"/>
    <w:rsid w:val="003F2426"/>
    <w:rsid w:val="003F40D3"/>
    <w:rsid w:val="00404143"/>
    <w:rsid w:val="00407FD7"/>
    <w:rsid w:val="00416440"/>
    <w:rsid w:val="0041651D"/>
    <w:rsid w:val="00420869"/>
    <w:rsid w:val="004236F2"/>
    <w:rsid w:val="00435764"/>
    <w:rsid w:val="004428BE"/>
    <w:rsid w:val="00445241"/>
    <w:rsid w:val="00446475"/>
    <w:rsid w:val="00451F3F"/>
    <w:rsid w:val="00452C0F"/>
    <w:rsid w:val="00454B7E"/>
    <w:rsid w:val="004661E5"/>
    <w:rsid w:val="00467F6B"/>
    <w:rsid w:val="004767EC"/>
    <w:rsid w:val="00481D16"/>
    <w:rsid w:val="004824E6"/>
    <w:rsid w:val="00483CE4"/>
    <w:rsid w:val="004849B1"/>
    <w:rsid w:val="004878C0"/>
    <w:rsid w:val="00487EDD"/>
    <w:rsid w:val="00490443"/>
    <w:rsid w:val="00490DE9"/>
    <w:rsid w:val="0049194F"/>
    <w:rsid w:val="00492D8C"/>
    <w:rsid w:val="004A1123"/>
    <w:rsid w:val="004A12A5"/>
    <w:rsid w:val="004A3490"/>
    <w:rsid w:val="004A535C"/>
    <w:rsid w:val="004B2261"/>
    <w:rsid w:val="004B6771"/>
    <w:rsid w:val="004C1F47"/>
    <w:rsid w:val="004C45B3"/>
    <w:rsid w:val="004D0492"/>
    <w:rsid w:val="004D17A2"/>
    <w:rsid w:val="004D3285"/>
    <w:rsid w:val="004D51EA"/>
    <w:rsid w:val="004E110A"/>
    <w:rsid w:val="004E52BD"/>
    <w:rsid w:val="004E7DD2"/>
    <w:rsid w:val="004F72A7"/>
    <w:rsid w:val="004F7E87"/>
    <w:rsid w:val="00502C0A"/>
    <w:rsid w:val="005038F8"/>
    <w:rsid w:val="0050406D"/>
    <w:rsid w:val="00504E9A"/>
    <w:rsid w:val="00507003"/>
    <w:rsid w:val="005070C7"/>
    <w:rsid w:val="00507D57"/>
    <w:rsid w:val="00515B57"/>
    <w:rsid w:val="0051788A"/>
    <w:rsid w:val="00522CAF"/>
    <w:rsid w:val="00526716"/>
    <w:rsid w:val="005373DE"/>
    <w:rsid w:val="005446F2"/>
    <w:rsid w:val="00545D6C"/>
    <w:rsid w:val="00565D82"/>
    <w:rsid w:val="0056635D"/>
    <w:rsid w:val="00566C72"/>
    <w:rsid w:val="00575607"/>
    <w:rsid w:val="00576F22"/>
    <w:rsid w:val="00580D74"/>
    <w:rsid w:val="00585546"/>
    <w:rsid w:val="0058681F"/>
    <w:rsid w:val="00592084"/>
    <w:rsid w:val="005A72AB"/>
    <w:rsid w:val="005B0E63"/>
    <w:rsid w:val="005B2B4E"/>
    <w:rsid w:val="005B3399"/>
    <w:rsid w:val="005B52E6"/>
    <w:rsid w:val="005C379B"/>
    <w:rsid w:val="005C413E"/>
    <w:rsid w:val="005C561F"/>
    <w:rsid w:val="005C6BF6"/>
    <w:rsid w:val="005C7C34"/>
    <w:rsid w:val="005D282C"/>
    <w:rsid w:val="005D2877"/>
    <w:rsid w:val="005D474F"/>
    <w:rsid w:val="005D5550"/>
    <w:rsid w:val="005D7B8C"/>
    <w:rsid w:val="005D7DA1"/>
    <w:rsid w:val="005E099A"/>
    <w:rsid w:val="005E14BA"/>
    <w:rsid w:val="005E29E7"/>
    <w:rsid w:val="005E77C8"/>
    <w:rsid w:val="005F7953"/>
    <w:rsid w:val="00602B5A"/>
    <w:rsid w:val="00604EC1"/>
    <w:rsid w:val="00606DB8"/>
    <w:rsid w:val="0060779B"/>
    <w:rsid w:val="0062189C"/>
    <w:rsid w:val="00621A1D"/>
    <w:rsid w:val="00621F56"/>
    <w:rsid w:val="00622A80"/>
    <w:rsid w:val="0062384C"/>
    <w:rsid w:val="00624A4A"/>
    <w:rsid w:val="00644267"/>
    <w:rsid w:val="00645805"/>
    <w:rsid w:val="00645E47"/>
    <w:rsid w:val="00650F51"/>
    <w:rsid w:val="00661FCA"/>
    <w:rsid w:val="00663301"/>
    <w:rsid w:val="0066390D"/>
    <w:rsid w:val="006671A0"/>
    <w:rsid w:val="00667F10"/>
    <w:rsid w:val="00670879"/>
    <w:rsid w:val="006835A1"/>
    <w:rsid w:val="00684A81"/>
    <w:rsid w:val="00685E9E"/>
    <w:rsid w:val="00686AE7"/>
    <w:rsid w:val="006874A2"/>
    <w:rsid w:val="006904F4"/>
    <w:rsid w:val="00690A53"/>
    <w:rsid w:val="00691E47"/>
    <w:rsid w:val="006967D2"/>
    <w:rsid w:val="006A1152"/>
    <w:rsid w:val="006A2C72"/>
    <w:rsid w:val="006A573D"/>
    <w:rsid w:val="006A5B46"/>
    <w:rsid w:val="006B06AE"/>
    <w:rsid w:val="006B0B8F"/>
    <w:rsid w:val="006B5714"/>
    <w:rsid w:val="006B6A1E"/>
    <w:rsid w:val="006B6BD1"/>
    <w:rsid w:val="006C04FB"/>
    <w:rsid w:val="006D5BF5"/>
    <w:rsid w:val="006D61CA"/>
    <w:rsid w:val="006D72E8"/>
    <w:rsid w:val="006E6988"/>
    <w:rsid w:val="006F0B36"/>
    <w:rsid w:val="006F5B79"/>
    <w:rsid w:val="00702650"/>
    <w:rsid w:val="007035D0"/>
    <w:rsid w:val="0070776E"/>
    <w:rsid w:val="00710223"/>
    <w:rsid w:val="00711735"/>
    <w:rsid w:val="00714552"/>
    <w:rsid w:val="007227DD"/>
    <w:rsid w:val="007240AA"/>
    <w:rsid w:val="0073058B"/>
    <w:rsid w:val="0073125A"/>
    <w:rsid w:val="0073147B"/>
    <w:rsid w:val="00731C19"/>
    <w:rsid w:val="00734DD8"/>
    <w:rsid w:val="00740820"/>
    <w:rsid w:val="0074383B"/>
    <w:rsid w:val="00744D6A"/>
    <w:rsid w:val="00745D57"/>
    <w:rsid w:val="00745FAB"/>
    <w:rsid w:val="00746876"/>
    <w:rsid w:val="00750187"/>
    <w:rsid w:val="007507D2"/>
    <w:rsid w:val="00754EE7"/>
    <w:rsid w:val="00766856"/>
    <w:rsid w:val="00766BE9"/>
    <w:rsid w:val="00767C46"/>
    <w:rsid w:val="00776221"/>
    <w:rsid w:val="007816CF"/>
    <w:rsid w:val="00783BDF"/>
    <w:rsid w:val="00787595"/>
    <w:rsid w:val="007904B6"/>
    <w:rsid w:val="007931D5"/>
    <w:rsid w:val="0079505C"/>
    <w:rsid w:val="00795B42"/>
    <w:rsid w:val="00796226"/>
    <w:rsid w:val="00796923"/>
    <w:rsid w:val="007A3B5C"/>
    <w:rsid w:val="007B161F"/>
    <w:rsid w:val="007B3305"/>
    <w:rsid w:val="007B5817"/>
    <w:rsid w:val="007C0416"/>
    <w:rsid w:val="007C09A1"/>
    <w:rsid w:val="007C258F"/>
    <w:rsid w:val="007C4751"/>
    <w:rsid w:val="007D06AC"/>
    <w:rsid w:val="007D498A"/>
    <w:rsid w:val="007D6708"/>
    <w:rsid w:val="007D6F74"/>
    <w:rsid w:val="007D77E8"/>
    <w:rsid w:val="007E3A24"/>
    <w:rsid w:val="007E69C0"/>
    <w:rsid w:val="007E6EC1"/>
    <w:rsid w:val="007F1D3C"/>
    <w:rsid w:val="007F45E3"/>
    <w:rsid w:val="00801C7A"/>
    <w:rsid w:val="00803E0F"/>
    <w:rsid w:val="00807B97"/>
    <w:rsid w:val="00814075"/>
    <w:rsid w:val="0082625A"/>
    <w:rsid w:val="00826373"/>
    <w:rsid w:val="00826923"/>
    <w:rsid w:val="00827C19"/>
    <w:rsid w:val="00832377"/>
    <w:rsid w:val="008345BC"/>
    <w:rsid w:val="008429F6"/>
    <w:rsid w:val="00850304"/>
    <w:rsid w:val="00856306"/>
    <w:rsid w:val="00861801"/>
    <w:rsid w:val="00863F8F"/>
    <w:rsid w:val="00867EC0"/>
    <w:rsid w:val="008706A7"/>
    <w:rsid w:val="00873172"/>
    <w:rsid w:val="0087520C"/>
    <w:rsid w:val="008776C2"/>
    <w:rsid w:val="00893BE7"/>
    <w:rsid w:val="00895449"/>
    <w:rsid w:val="008A321C"/>
    <w:rsid w:val="008A5968"/>
    <w:rsid w:val="008A5D88"/>
    <w:rsid w:val="008B206B"/>
    <w:rsid w:val="008C6E80"/>
    <w:rsid w:val="008C7A6A"/>
    <w:rsid w:val="008D0E4B"/>
    <w:rsid w:val="008D3221"/>
    <w:rsid w:val="008D339B"/>
    <w:rsid w:val="008D52AE"/>
    <w:rsid w:val="008D6457"/>
    <w:rsid w:val="008D74F1"/>
    <w:rsid w:val="008E135C"/>
    <w:rsid w:val="008E6B45"/>
    <w:rsid w:val="008F1AF3"/>
    <w:rsid w:val="008F4ADD"/>
    <w:rsid w:val="008F6E29"/>
    <w:rsid w:val="008F74A8"/>
    <w:rsid w:val="008F7933"/>
    <w:rsid w:val="009012C1"/>
    <w:rsid w:val="00901A43"/>
    <w:rsid w:val="00902A54"/>
    <w:rsid w:val="009054BD"/>
    <w:rsid w:val="009131F0"/>
    <w:rsid w:val="0091386D"/>
    <w:rsid w:val="009143C5"/>
    <w:rsid w:val="0091494C"/>
    <w:rsid w:val="009216BA"/>
    <w:rsid w:val="009270E7"/>
    <w:rsid w:val="00927975"/>
    <w:rsid w:val="0093119F"/>
    <w:rsid w:val="00932804"/>
    <w:rsid w:val="00932DA7"/>
    <w:rsid w:val="00935B92"/>
    <w:rsid w:val="009372CF"/>
    <w:rsid w:val="00937EC6"/>
    <w:rsid w:val="00940663"/>
    <w:rsid w:val="00943B11"/>
    <w:rsid w:val="00950472"/>
    <w:rsid w:val="00951106"/>
    <w:rsid w:val="00952283"/>
    <w:rsid w:val="009573F3"/>
    <w:rsid w:val="00960008"/>
    <w:rsid w:val="009670CE"/>
    <w:rsid w:val="009739F6"/>
    <w:rsid w:val="00973FE0"/>
    <w:rsid w:val="00986BD2"/>
    <w:rsid w:val="00987318"/>
    <w:rsid w:val="009909CB"/>
    <w:rsid w:val="009967F3"/>
    <w:rsid w:val="009A0736"/>
    <w:rsid w:val="009A452E"/>
    <w:rsid w:val="009A6DD0"/>
    <w:rsid w:val="009B09E2"/>
    <w:rsid w:val="009B0A18"/>
    <w:rsid w:val="009B33CD"/>
    <w:rsid w:val="009B3941"/>
    <w:rsid w:val="009B4967"/>
    <w:rsid w:val="009B4CCD"/>
    <w:rsid w:val="009B6415"/>
    <w:rsid w:val="009C0594"/>
    <w:rsid w:val="009C15E4"/>
    <w:rsid w:val="009C1C08"/>
    <w:rsid w:val="009C3A40"/>
    <w:rsid w:val="009C5D72"/>
    <w:rsid w:val="009C6CB2"/>
    <w:rsid w:val="009C7412"/>
    <w:rsid w:val="009D2C4F"/>
    <w:rsid w:val="009D7FF0"/>
    <w:rsid w:val="009E02FA"/>
    <w:rsid w:val="009E36CA"/>
    <w:rsid w:val="009E6DF0"/>
    <w:rsid w:val="009F44F4"/>
    <w:rsid w:val="009F51F7"/>
    <w:rsid w:val="009F61DC"/>
    <w:rsid w:val="009F67B5"/>
    <w:rsid w:val="009F68DE"/>
    <w:rsid w:val="00A02B17"/>
    <w:rsid w:val="00A03419"/>
    <w:rsid w:val="00A15C75"/>
    <w:rsid w:val="00A1765B"/>
    <w:rsid w:val="00A32487"/>
    <w:rsid w:val="00A365FB"/>
    <w:rsid w:val="00A43F1A"/>
    <w:rsid w:val="00A44496"/>
    <w:rsid w:val="00A50D81"/>
    <w:rsid w:val="00A511FE"/>
    <w:rsid w:val="00A527D2"/>
    <w:rsid w:val="00A6271F"/>
    <w:rsid w:val="00A711E5"/>
    <w:rsid w:val="00A72941"/>
    <w:rsid w:val="00A72C6C"/>
    <w:rsid w:val="00A73908"/>
    <w:rsid w:val="00A7565B"/>
    <w:rsid w:val="00A823B2"/>
    <w:rsid w:val="00A87827"/>
    <w:rsid w:val="00A93291"/>
    <w:rsid w:val="00A9703F"/>
    <w:rsid w:val="00AA17EF"/>
    <w:rsid w:val="00AA1F2A"/>
    <w:rsid w:val="00AA601B"/>
    <w:rsid w:val="00AB1FA5"/>
    <w:rsid w:val="00AC1135"/>
    <w:rsid w:val="00AC1CBA"/>
    <w:rsid w:val="00AD59E0"/>
    <w:rsid w:val="00AF024E"/>
    <w:rsid w:val="00AF1DCF"/>
    <w:rsid w:val="00AF2D23"/>
    <w:rsid w:val="00AF65F0"/>
    <w:rsid w:val="00B14E1E"/>
    <w:rsid w:val="00B218BF"/>
    <w:rsid w:val="00B23EEA"/>
    <w:rsid w:val="00B26673"/>
    <w:rsid w:val="00B32168"/>
    <w:rsid w:val="00B35D9E"/>
    <w:rsid w:val="00B43DD3"/>
    <w:rsid w:val="00B50AC5"/>
    <w:rsid w:val="00B541AB"/>
    <w:rsid w:val="00B61BBA"/>
    <w:rsid w:val="00B675B5"/>
    <w:rsid w:val="00B768FF"/>
    <w:rsid w:val="00B81DE0"/>
    <w:rsid w:val="00B90075"/>
    <w:rsid w:val="00B90D5E"/>
    <w:rsid w:val="00B919DA"/>
    <w:rsid w:val="00B94D63"/>
    <w:rsid w:val="00B97284"/>
    <w:rsid w:val="00BA190C"/>
    <w:rsid w:val="00BA2469"/>
    <w:rsid w:val="00BA30EE"/>
    <w:rsid w:val="00BB2B3F"/>
    <w:rsid w:val="00BB73B9"/>
    <w:rsid w:val="00BC78A1"/>
    <w:rsid w:val="00BC7CF5"/>
    <w:rsid w:val="00BD0682"/>
    <w:rsid w:val="00BD08A9"/>
    <w:rsid w:val="00BD4ECF"/>
    <w:rsid w:val="00BE6729"/>
    <w:rsid w:val="00BE6B55"/>
    <w:rsid w:val="00BF2445"/>
    <w:rsid w:val="00BF5D1B"/>
    <w:rsid w:val="00C0168C"/>
    <w:rsid w:val="00C04800"/>
    <w:rsid w:val="00C05BBB"/>
    <w:rsid w:val="00C07C62"/>
    <w:rsid w:val="00C07CC4"/>
    <w:rsid w:val="00C21C8A"/>
    <w:rsid w:val="00C23621"/>
    <w:rsid w:val="00C2412A"/>
    <w:rsid w:val="00C25339"/>
    <w:rsid w:val="00C2576E"/>
    <w:rsid w:val="00C261F3"/>
    <w:rsid w:val="00C2797E"/>
    <w:rsid w:val="00C30E47"/>
    <w:rsid w:val="00C33265"/>
    <w:rsid w:val="00C339DD"/>
    <w:rsid w:val="00C45142"/>
    <w:rsid w:val="00C52D6B"/>
    <w:rsid w:val="00C537CE"/>
    <w:rsid w:val="00C574FE"/>
    <w:rsid w:val="00C63341"/>
    <w:rsid w:val="00C63906"/>
    <w:rsid w:val="00C63EEB"/>
    <w:rsid w:val="00C645FA"/>
    <w:rsid w:val="00C65FB2"/>
    <w:rsid w:val="00C82F8D"/>
    <w:rsid w:val="00C83B44"/>
    <w:rsid w:val="00C92871"/>
    <w:rsid w:val="00CA3A17"/>
    <w:rsid w:val="00CA4BEB"/>
    <w:rsid w:val="00CA550B"/>
    <w:rsid w:val="00CA62FF"/>
    <w:rsid w:val="00CC503B"/>
    <w:rsid w:val="00CC6A3E"/>
    <w:rsid w:val="00CD19E4"/>
    <w:rsid w:val="00CD1FC7"/>
    <w:rsid w:val="00CD20B7"/>
    <w:rsid w:val="00CD2636"/>
    <w:rsid w:val="00CD7F86"/>
    <w:rsid w:val="00CE4BCD"/>
    <w:rsid w:val="00CE6E4E"/>
    <w:rsid w:val="00CF154B"/>
    <w:rsid w:val="00CF1D5A"/>
    <w:rsid w:val="00D039DB"/>
    <w:rsid w:val="00D266E1"/>
    <w:rsid w:val="00D30EF1"/>
    <w:rsid w:val="00D32600"/>
    <w:rsid w:val="00D32763"/>
    <w:rsid w:val="00D34DCF"/>
    <w:rsid w:val="00D357EC"/>
    <w:rsid w:val="00D4710D"/>
    <w:rsid w:val="00D479F8"/>
    <w:rsid w:val="00D5231C"/>
    <w:rsid w:val="00D54332"/>
    <w:rsid w:val="00D5498B"/>
    <w:rsid w:val="00D551BE"/>
    <w:rsid w:val="00D56435"/>
    <w:rsid w:val="00D8115D"/>
    <w:rsid w:val="00D93135"/>
    <w:rsid w:val="00D96C47"/>
    <w:rsid w:val="00DA154F"/>
    <w:rsid w:val="00DA7270"/>
    <w:rsid w:val="00DA7A8B"/>
    <w:rsid w:val="00DB29E5"/>
    <w:rsid w:val="00DB39EC"/>
    <w:rsid w:val="00DB4469"/>
    <w:rsid w:val="00DC1C03"/>
    <w:rsid w:val="00DD0A50"/>
    <w:rsid w:val="00DD2A78"/>
    <w:rsid w:val="00DD5A48"/>
    <w:rsid w:val="00DD7464"/>
    <w:rsid w:val="00DE19B0"/>
    <w:rsid w:val="00DE62A2"/>
    <w:rsid w:val="00DE7EF8"/>
    <w:rsid w:val="00DF1E26"/>
    <w:rsid w:val="00DF3E9B"/>
    <w:rsid w:val="00DF5854"/>
    <w:rsid w:val="00DF693C"/>
    <w:rsid w:val="00DF6FD6"/>
    <w:rsid w:val="00E00C2A"/>
    <w:rsid w:val="00E066B1"/>
    <w:rsid w:val="00E108B5"/>
    <w:rsid w:val="00E11DF6"/>
    <w:rsid w:val="00E12267"/>
    <w:rsid w:val="00E125DE"/>
    <w:rsid w:val="00E16239"/>
    <w:rsid w:val="00E2645E"/>
    <w:rsid w:val="00E30539"/>
    <w:rsid w:val="00E50133"/>
    <w:rsid w:val="00E516C9"/>
    <w:rsid w:val="00E67EF4"/>
    <w:rsid w:val="00E70AB4"/>
    <w:rsid w:val="00E73D07"/>
    <w:rsid w:val="00E74298"/>
    <w:rsid w:val="00E7474A"/>
    <w:rsid w:val="00E8062E"/>
    <w:rsid w:val="00E82FE6"/>
    <w:rsid w:val="00E95600"/>
    <w:rsid w:val="00EA4E53"/>
    <w:rsid w:val="00EA638E"/>
    <w:rsid w:val="00EC7E13"/>
    <w:rsid w:val="00ED2632"/>
    <w:rsid w:val="00ED5F62"/>
    <w:rsid w:val="00EE482A"/>
    <w:rsid w:val="00EE5A17"/>
    <w:rsid w:val="00EE6C81"/>
    <w:rsid w:val="00EF09B2"/>
    <w:rsid w:val="00EF0DAF"/>
    <w:rsid w:val="00EF6CF9"/>
    <w:rsid w:val="00F01192"/>
    <w:rsid w:val="00F02823"/>
    <w:rsid w:val="00F04F16"/>
    <w:rsid w:val="00F06175"/>
    <w:rsid w:val="00F152B0"/>
    <w:rsid w:val="00F15AC1"/>
    <w:rsid w:val="00F24976"/>
    <w:rsid w:val="00F2696B"/>
    <w:rsid w:val="00F309E7"/>
    <w:rsid w:val="00F33966"/>
    <w:rsid w:val="00F35984"/>
    <w:rsid w:val="00F35A7E"/>
    <w:rsid w:val="00F36C67"/>
    <w:rsid w:val="00F37222"/>
    <w:rsid w:val="00F45058"/>
    <w:rsid w:val="00F514C6"/>
    <w:rsid w:val="00F517F1"/>
    <w:rsid w:val="00F57255"/>
    <w:rsid w:val="00F655E1"/>
    <w:rsid w:val="00F7531C"/>
    <w:rsid w:val="00F75603"/>
    <w:rsid w:val="00F80F57"/>
    <w:rsid w:val="00F8615D"/>
    <w:rsid w:val="00F86EBE"/>
    <w:rsid w:val="00F87238"/>
    <w:rsid w:val="00F919B6"/>
    <w:rsid w:val="00F922D3"/>
    <w:rsid w:val="00F97C2E"/>
    <w:rsid w:val="00F97D03"/>
    <w:rsid w:val="00FA2CDC"/>
    <w:rsid w:val="00FB0BE2"/>
    <w:rsid w:val="00FB0FA7"/>
    <w:rsid w:val="00FB23D6"/>
    <w:rsid w:val="00FC2C2A"/>
    <w:rsid w:val="00FC3B6E"/>
    <w:rsid w:val="00FD3617"/>
    <w:rsid w:val="00FD3E4F"/>
    <w:rsid w:val="00FD5D6A"/>
    <w:rsid w:val="00FE3166"/>
    <w:rsid w:val="00FE4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C134C"/>
  <w15:chartTrackingRefBased/>
  <w15:docId w15:val="{C3981F0C-DD50-41FF-A50B-3129CE340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06B"/>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D74"/>
    <w:rPr>
      <w:color w:val="0563C1" w:themeColor="hyperlink"/>
      <w:u w:val="single"/>
    </w:rPr>
  </w:style>
  <w:style w:type="character" w:customStyle="1" w:styleId="UnresolvedMention1">
    <w:name w:val="Unresolved Mention1"/>
    <w:basedOn w:val="DefaultParagraphFont"/>
    <w:uiPriority w:val="99"/>
    <w:semiHidden/>
    <w:unhideWhenUsed/>
    <w:rsid w:val="00580D74"/>
    <w:rPr>
      <w:color w:val="808080"/>
      <w:shd w:val="clear" w:color="auto" w:fill="E6E6E6"/>
    </w:rPr>
  </w:style>
  <w:style w:type="character" w:styleId="FollowedHyperlink">
    <w:name w:val="FollowedHyperlink"/>
    <w:basedOn w:val="DefaultParagraphFont"/>
    <w:uiPriority w:val="99"/>
    <w:semiHidden/>
    <w:unhideWhenUsed/>
    <w:rsid w:val="009F51F7"/>
    <w:rPr>
      <w:color w:val="954F72" w:themeColor="followedHyperlink"/>
      <w:u w:val="single"/>
    </w:rPr>
  </w:style>
  <w:style w:type="paragraph" w:styleId="FootnoteText">
    <w:name w:val="footnote text"/>
    <w:basedOn w:val="Normal"/>
    <w:link w:val="FootnoteTextChar"/>
    <w:uiPriority w:val="99"/>
    <w:semiHidden/>
    <w:unhideWhenUsed/>
    <w:rsid w:val="007E69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E69C0"/>
    <w:rPr>
      <w:rFonts w:ascii="Times New Roman" w:hAnsi="Times New Roman"/>
      <w:sz w:val="20"/>
      <w:szCs w:val="20"/>
    </w:rPr>
  </w:style>
  <w:style w:type="character" w:styleId="FootnoteReference">
    <w:name w:val="footnote reference"/>
    <w:basedOn w:val="DefaultParagraphFont"/>
    <w:uiPriority w:val="99"/>
    <w:semiHidden/>
    <w:unhideWhenUsed/>
    <w:rsid w:val="007E69C0"/>
    <w:rPr>
      <w:vertAlign w:val="superscript"/>
    </w:rPr>
  </w:style>
  <w:style w:type="character" w:customStyle="1" w:styleId="UnresolvedMention2">
    <w:name w:val="Unresolved Mention2"/>
    <w:basedOn w:val="DefaultParagraphFont"/>
    <w:uiPriority w:val="99"/>
    <w:semiHidden/>
    <w:unhideWhenUsed/>
    <w:rsid w:val="007E69C0"/>
    <w:rPr>
      <w:color w:val="808080"/>
      <w:shd w:val="clear" w:color="auto" w:fill="E6E6E6"/>
    </w:rPr>
  </w:style>
  <w:style w:type="character" w:customStyle="1" w:styleId="mi">
    <w:name w:val="mi"/>
    <w:basedOn w:val="DefaultParagraphFont"/>
    <w:rsid w:val="00F36C67"/>
  </w:style>
  <w:style w:type="character" w:customStyle="1" w:styleId="mo">
    <w:name w:val="mo"/>
    <w:basedOn w:val="DefaultParagraphFont"/>
    <w:rsid w:val="00F36C67"/>
  </w:style>
  <w:style w:type="character" w:customStyle="1" w:styleId="mn">
    <w:name w:val="mn"/>
    <w:basedOn w:val="DefaultParagraphFont"/>
    <w:rsid w:val="00F36C67"/>
  </w:style>
  <w:style w:type="table" w:styleId="TableGrid">
    <w:name w:val="Table Grid"/>
    <w:basedOn w:val="TableNormal"/>
    <w:uiPriority w:val="39"/>
    <w:rsid w:val="009A4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62F14"/>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C04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04800"/>
    <w:rPr>
      <w:rFonts w:ascii="Courier New" w:eastAsia="Times New Roman" w:hAnsi="Courier New" w:cs="Courier New"/>
      <w:sz w:val="20"/>
      <w:szCs w:val="20"/>
    </w:rPr>
  </w:style>
  <w:style w:type="paragraph" w:styleId="Header">
    <w:name w:val="header"/>
    <w:basedOn w:val="Normal"/>
    <w:link w:val="HeaderChar"/>
    <w:uiPriority w:val="99"/>
    <w:unhideWhenUsed/>
    <w:rsid w:val="009B64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415"/>
    <w:rPr>
      <w:rFonts w:ascii="Times New Roman" w:hAnsi="Times New Roman"/>
      <w:sz w:val="24"/>
    </w:rPr>
  </w:style>
  <w:style w:type="paragraph" w:styleId="Footer">
    <w:name w:val="footer"/>
    <w:basedOn w:val="Normal"/>
    <w:link w:val="FooterChar"/>
    <w:uiPriority w:val="99"/>
    <w:unhideWhenUsed/>
    <w:rsid w:val="009B64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415"/>
    <w:rPr>
      <w:rFonts w:ascii="Times New Roman" w:hAnsi="Times New Roman"/>
      <w:sz w:val="24"/>
    </w:rPr>
  </w:style>
  <w:style w:type="paragraph" w:styleId="ListParagraph">
    <w:name w:val="List Paragraph"/>
    <w:basedOn w:val="Normal"/>
    <w:uiPriority w:val="34"/>
    <w:qFormat/>
    <w:rsid w:val="00863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80472">
      <w:bodyDiv w:val="1"/>
      <w:marLeft w:val="0"/>
      <w:marRight w:val="0"/>
      <w:marTop w:val="0"/>
      <w:marBottom w:val="0"/>
      <w:divBdr>
        <w:top w:val="none" w:sz="0" w:space="0" w:color="auto"/>
        <w:left w:val="none" w:sz="0" w:space="0" w:color="auto"/>
        <w:bottom w:val="none" w:sz="0" w:space="0" w:color="auto"/>
        <w:right w:val="none" w:sz="0" w:space="0" w:color="auto"/>
      </w:divBdr>
    </w:div>
    <w:div w:id="293416511">
      <w:bodyDiv w:val="1"/>
      <w:marLeft w:val="0"/>
      <w:marRight w:val="0"/>
      <w:marTop w:val="0"/>
      <w:marBottom w:val="0"/>
      <w:divBdr>
        <w:top w:val="none" w:sz="0" w:space="0" w:color="auto"/>
        <w:left w:val="none" w:sz="0" w:space="0" w:color="auto"/>
        <w:bottom w:val="none" w:sz="0" w:space="0" w:color="auto"/>
        <w:right w:val="none" w:sz="0" w:space="0" w:color="auto"/>
      </w:divBdr>
    </w:div>
    <w:div w:id="295919442">
      <w:bodyDiv w:val="1"/>
      <w:marLeft w:val="0"/>
      <w:marRight w:val="0"/>
      <w:marTop w:val="0"/>
      <w:marBottom w:val="0"/>
      <w:divBdr>
        <w:top w:val="none" w:sz="0" w:space="0" w:color="auto"/>
        <w:left w:val="none" w:sz="0" w:space="0" w:color="auto"/>
        <w:bottom w:val="none" w:sz="0" w:space="0" w:color="auto"/>
        <w:right w:val="none" w:sz="0" w:space="0" w:color="auto"/>
      </w:divBdr>
    </w:div>
    <w:div w:id="621838245">
      <w:bodyDiv w:val="1"/>
      <w:marLeft w:val="0"/>
      <w:marRight w:val="0"/>
      <w:marTop w:val="0"/>
      <w:marBottom w:val="0"/>
      <w:divBdr>
        <w:top w:val="none" w:sz="0" w:space="0" w:color="auto"/>
        <w:left w:val="none" w:sz="0" w:space="0" w:color="auto"/>
        <w:bottom w:val="none" w:sz="0" w:space="0" w:color="auto"/>
        <w:right w:val="none" w:sz="0" w:space="0" w:color="auto"/>
      </w:divBdr>
    </w:div>
    <w:div w:id="640110574">
      <w:bodyDiv w:val="1"/>
      <w:marLeft w:val="0"/>
      <w:marRight w:val="0"/>
      <w:marTop w:val="0"/>
      <w:marBottom w:val="0"/>
      <w:divBdr>
        <w:top w:val="none" w:sz="0" w:space="0" w:color="auto"/>
        <w:left w:val="none" w:sz="0" w:space="0" w:color="auto"/>
        <w:bottom w:val="none" w:sz="0" w:space="0" w:color="auto"/>
        <w:right w:val="none" w:sz="0" w:space="0" w:color="auto"/>
      </w:divBdr>
    </w:div>
    <w:div w:id="735591897">
      <w:bodyDiv w:val="1"/>
      <w:marLeft w:val="0"/>
      <w:marRight w:val="0"/>
      <w:marTop w:val="0"/>
      <w:marBottom w:val="0"/>
      <w:divBdr>
        <w:top w:val="none" w:sz="0" w:space="0" w:color="auto"/>
        <w:left w:val="none" w:sz="0" w:space="0" w:color="auto"/>
        <w:bottom w:val="none" w:sz="0" w:space="0" w:color="auto"/>
        <w:right w:val="none" w:sz="0" w:space="0" w:color="auto"/>
      </w:divBdr>
    </w:div>
    <w:div w:id="748312959">
      <w:bodyDiv w:val="1"/>
      <w:marLeft w:val="0"/>
      <w:marRight w:val="0"/>
      <w:marTop w:val="0"/>
      <w:marBottom w:val="0"/>
      <w:divBdr>
        <w:top w:val="none" w:sz="0" w:space="0" w:color="auto"/>
        <w:left w:val="none" w:sz="0" w:space="0" w:color="auto"/>
        <w:bottom w:val="none" w:sz="0" w:space="0" w:color="auto"/>
        <w:right w:val="none" w:sz="0" w:space="0" w:color="auto"/>
      </w:divBdr>
    </w:div>
    <w:div w:id="902302288">
      <w:bodyDiv w:val="1"/>
      <w:marLeft w:val="0"/>
      <w:marRight w:val="0"/>
      <w:marTop w:val="0"/>
      <w:marBottom w:val="0"/>
      <w:divBdr>
        <w:top w:val="none" w:sz="0" w:space="0" w:color="auto"/>
        <w:left w:val="none" w:sz="0" w:space="0" w:color="auto"/>
        <w:bottom w:val="none" w:sz="0" w:space="0" w:color="auto"/>
        <w:right w:val="none" w:sz="0" w:space="0" w:color="auto"/>
      </w:divBdr>
    </w:div>
    <w:div w:id="918948972">
      <w:bodyDiv w:val="1"/>
      <w:marLeft w:val="0"/>
      <w:marRight w:val="0"/>
      <w:marTop w:val="0"/>
      <w:marBottom w:val="0"/>
      <w:divBdr>
        <w:top w:val="none" w:sz="0" w:space="0" w:color="auto"/>
        <w:left w:val="none" w:sz="0" w:space="0" w:color="auto"/>
        <w:bottom w:val="none" w:sz="0" w:space="0" w:color="auto"/>
        <w:right w:val="none" w:sz="0" w:space="0" w:color="auto"/>
      </w:divBdr>
    </w:div>
    <w:div w:id="929628211">
      <w:bodyDiv w:val="1"/>
      <w:marLeft w:val="0"/>
      <w:marRight w:val="0"/>
      <w:marTop w:val="0"/>
      <w:marBottom w:val="0"/>
      <w:divBdr>
        <w:top w:val="none" w:sz="0" w:space="0" w:color="auto"/>
        <w:left w:val="none" w:sz="0" w:space="0" w:color="auto"/>
        <w:bottom w:val="none" w:sz="0" w:space="0" w:color="auto"/>
        <w:right w:val="none" w:sz="0" w:space="0" w:color="auto"/>
      </w:divBdr>
    </w:div>
    <w:div w:id="1126849633">
      <w:bodyDiv w:val="1"/>
      <w:marLeft w:val="0"/>
      <w:marRight w:val="0"/>
      <w:marTop w:val="0"/>
      <w:marBottom w:val="0"/>
      <w:divBdr>
        <w:top w:val="none" w:sz="0" w:space="0" w:color="auto"/>
        <w:left w:val="none" w:sz="0" w:space="0" w:color="auto"/>
        <w:bottom w:val="none" w:sz="0" w:space="0" w:color="auto"/>
        <w:right w:val="none" w:sz="0" w:space="0" w:color="auto"/>
      </w:divBdr>
    </w:div>
    <w:div w:id="1225068992">
      <w:bodyDiv w:val="1"/>
      <w:marLeft w:val="0"/>
      <w:marRight w:val="0"/>
      <w:marTop w:val="0"/>
      <w:marBottom w:val="0"/>
      <w:divBdr>
        <w:top w:val="none" w:sz="0" w:space="0" w:color="auto"/>
        <w:left w:val="none" w:sz="0" w:space="0" w:color="auto"/>
        <w:bottom w:val="none" w:sz="0" w:space="0" w:color="auto"/>
        <w:right w:val="none" w:sz="0" w:space="0" w:color="auto"/>
      </w:divBdr>
    </w:div>
    <w:div w:id="1373770995">
      <w:bodyDiv w:val="1"/>
      <w:marLeft w:val="0"/>
      <w:marRight w:val="0"/>
      <w:marTop w:val="0"/>
      <w:marBottom w:val="0"/>
      <w:divBdr>
        <w:top w:val="none" w:sz="0" w:space="0" w:color="auto"/>
        <w:left w:val="none" w:sz="0" w:space="0" w:color="auto"/>
        <w:bottom w:val="none" w:sz="0" w:space="0" w:color="auto"/>
        <w:right w:val="none" w:sz="0" w:space="0" w:color="auto"/>
      </w:divBdr>
    </w:div>
    <w:div w:id="1799757769">
      <w:bodyDiv w:val="1"/>
      <w:marLeft w:val="0"/>
      <w:marRight w:val="0"/>
      <w:marTop w:val="0"/>
      <w:marBottom w:val="0"/>
      <w:divBdr>
        <w:top w:val="none" w:sz="0" w:space="0" w:color="auto"/>
        <w:left w:val="none" w:sz="0" w:space="0" w:color="auto"/>
        <w:bottom w:val="none" w:sz="0" w:space="0" w:color="auto"/>
        <w:right w:val="none" w:sz="0" w:space="0" w:color="auto"/>
      </w:divBdr>
    </w:div>
    <w:div w:id="190999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bhub.io/indices/sites/2/2017/03/Index-Methodology-2017-03-17-FINAL-FINAL.pdf" TargetMode="External"/><Relationship Id="rId18" Type="http://schemas.openxmlformats.org/officeDocument/2006/relationships/hyperlink" Target="https://robjhyndman.com/hyndsight/arimax/" TargetMode="External"/><Relationship Id="rId3" Type="http://schemas.openxmlformats.org/officeDocument/2006/relationships/styles" Target="styles.xml"/><Relationship Id="rId21" Type="http://schemas.openxmlformats.org/officeDocument/2006/relationships/hyperlink" Target="https://www.reuters.com/article/us-stocks-goldman/the-january-effect-for-stock-markets-is-fading-goldman-idUSKBN14Q15P" TargetMode="External"/><Relationship Id="rId7" Type="http://schemas.openxmlformats.org/officeDocument/2006/relationships/endnotes" Target="endnotes.xml"/><Relationship Id="rId12" Type="http://schemas.openxmlformats.org/officeDocument/2006/relationships/hyperlink" Target="https://www.brookings.edu/blog/up-front/2017/07/14/key-changes-in-the-municipal-bond-market-since-2007/" TargetMode="External"/><Relationship Id="rId17" Type="http://schemas.openxmlformats.org/officeDocument/2006/relationships/hyperlink" Target="https://www.jstatsoft.org/article/view/v027i03"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federatedinvestors.com/FII/leaf/display.do?category=Benchmark_Glossary" TargetMode="External"/><Relationship Id="rId20" Type="http://schemas.openxmlformats.org/officeDocument/2006/relationships/hyperlink" Target="https://cran.r-project.org/web/packages/forecast/forecas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ondbuyer.com/news/extraordinary-supply-challenges-facing-muni-investor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ciencedirect.com/science/article/pii/S1062976902001606" TargetMode="External"/><Relationship Id="rId23" Type="http://schemas.openxmlformats.org/officeDocument/2006/relationships/header" Target="header1.xml"/><Relationship Id="rId10" Type="http://schemas.openxmlformats.org/officeDocument/2006/relationships/hyperlink" Target="https://markets.jpmorgan.com" TargetMode="External"/><Relationship Id="rId19" Type="http://schemas.openxmlformats.org/officeDocument/2006/relationships/hyperlink" Target="https://robjhyndman.com/hyndsight/ljung-box-te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nvestopedia.com/articles/investing/090915/origins-puerto-rican-debt-crisis.asp" TargetMode="External"/><Relationship Id="rId22" Type="http://schemas.openxmlformats.org/officeDocument/2006/relationships/hyperlink" Target="http://www.peritusasset.com/2017/06/the-high-yield-market-market-size-ownership-funds-and-opportunities-3/"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bloomberg.com/markets/rates-bonds/bloomberg-barclays-ind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21414-315F-4C02-94CB-E56046D83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2833</TotalTime>
  <Pages>17</Pages>
  <Words>4502</Words>
  <Characters>25664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Kavoori</dc:creator>
  <cp:keywords/>
  <dc:description/>
  <cp:lastModifiedBy>Thomas Kavoori</cp:lastModifiedBy>
  <cp:revision>909</cp:revision>
  <cp:lastPrinted>2018-04-02T15:10:00Z</cp:lastPrinted>
  <dcterms:created xsi:type="dcterms:W3CDTF">2018-02-25T18:07:00Z</dcterms:created>
  <dcterms:modified xsi:type="dcterms:W3CDTF">2024-02-27T14:01:00Z</dcterms:modified>
</cp:coreProperties>
</file>