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ACDC1" w14:textId="77777777" w:rsidR="00E12F7F" w:rsidRPr="007F044D" w:rsidRDefault="00000000">
      <w:pPr>
        <w:spacing w:before="240" w:after="60"/>
        <w:rPr>
          <w:lang w:val="de-DE"/>
        </w:rPr>
      </w:pPr>
      <w:r w:rsidRPr="007F044D">
        <w:rPr>
          <w:rFonts w:eastAsia="Calibri"/>
          <w:b/>
          <w:color w:val="2E74B5"/>
          <w:sz w:val="19"/>
          <w:lang w:val="de-DE"/>
        </w:rPr>
        <w:t>KURZVORLAGE · BESTANDSAUFNAHME</w:t>
      </w:r>
    </w:p>
    <w:p w14:paraId="71F44312" w14:textId="77777777" w:rsidR="00E12F7F" w:rsidRPr="007F044D" w:rsidRDefault="00000000">
      <w:pPr>
        <w:spacing w:after="100"/>
        <w:rPr>
          <w:lang w:val="de-DE"/>
        </w:rPr>
      </w:pPr>
      <w:r w:rsidRPr="007F044D">
        <w:rPr>
          <w:rFonts w:eastAsia="Calibri"/>
          <w:b/>
          <w:color w:val="1F4D78"/>
          <w:sz w:val="52"/>
          <w:lang w:val="de-DE"/>
        </w:rPr>
        <w:t>Projektbeschreibung BWB Multilanguage</w:t>
      </w:r>
    </w:p>
    <w:p w14:paraId="42BE0133" w14:textId="77777777" w:rsidR="00E12F7F" w:rsidRPr="007F044D" w:rsidRDefault="00000000">
      <w:pPr>
        <w:spacing w:after="280"/>
        <w:rPr>
          <w:lang w:val="de-DE"/>
        </w:rPr>
      </w:pPr>
      <w:r w:rsidRPr="007F044D">
        <w:rPr>
          <w:rFonts w:eastAsia="Calibri"/>
          <w:color w:val="667482"/>
          <w:sz w:val="27"/>
          <w:lang w:val="de-DE"/>
        </w:rPr>
        <w:t>CMS- und Webprojekt</w:t>
      </w:r>
    </w:p>
    <w:p w14:paraId="0E40DE84" w14:textId="77777777" w:rsidR="00E12F7F" w:rsidRPr="007F044D" w:rsidRDefault="00000000">
      <w:pPr>
        <w:pBdr>
          <w:left w:val="single" w:sz="18" w:space="6" w:color="2E74B5"/>
        </w:pBdr>
        <w:shd w:val="clear" w:color="auto" w:fill="F8FAFC"/>
        <w:spacing w:before="60" w:after="200"/>
        <w:ind w:left="173" w:right="173"/>
        <w:rPr>
          <w:lang w:val="de-DE"/>
        </w:rPr>
      </w:pPr>
      <w:r w:rsidRPr="007F044D">
        <w:rPr>
          <w:rFonts w:eastAsia="Calibri"/>
          <w:sz w:val="19"/>
          <w:lang w:val="de-DE"/>
        </w:rPr>
        <w:t>Zweck: knappe Bestandsbeschreibung als Kalkulationsgrundlage. Erfasst werden nur Projektumfang, vorhandene Contentklassen (Templates) und Seitenmengen, angebundene Services/APIs, deren Zusammenspiel sowie wenige kalkulationsrelevante Besonderheiten. Ein technisches Ziel- oder Migrationskonzept ist nicht Bestandteil dieser Vorlage.</w:t>
      </w:r>
    </w:p>
    <w:p w14:paraId="69A53163" w14:textId="77777777" w:rsidR="00E12F7F" w:rsidRDefault="00000000">
      <w:pPr>
        <w:pStyle w:val="berschrift1"/>
      </w:pPr>
      <w:r>
        <w:t>1  Projekt auf einen Blick</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800"/>
        <w:gridCol w:w="11770"/>
      </w:tblGrid>
      <w:tr w:rsidR="00E12F7F" w14:paraId="5CAD8DF0" w14:textId="77777777">
        <w:tc>
          <w:tcPr>
            <w:shd w:val="clear" w:color="auto" w:fill="E8EEF5"/>
            <w:tcMar>
              <w:top w:w="80" w:type="dxa"/>
              <w:left w:w="120" w:type="dxa"/>
              <w:bottom w:w="80" w:type="dxa"/>
              <w:right w:w="120" w:type="dxa"/>
            </w:tcMar>
            <w:vAlign w:val="center"/>
            <w:tcW w:w="2800" w:type="dxa"/>
          </w:tcPr>
          <w:p w14:paraId="01648F17" w14:textId="77777777" w:rsidR="00E12F7F" w:rsidRDefault="00000000">
            <w:pPr>
              <w:spacing w:after="0"/>
            </w:pPr>
            <w:r>
              <w:rPr>
                <w:rFonts w:eastAsia="Calibri"/>
                <w:b/>
                <w:color w:val="1F4D78"/>
                <w:sz w:val="19"/>
              </w:rPr>
              <w:t>Projektname</w:t>
            </w:r>
          </w:p>
        </w:tc>
        <w:tc>
          <w:tcPr>
            <w:tcMar>
              <w:top w:w="80" w:type="dxa"/>
              <w:left w:w="120" w:type="dxa"/>
              <w:bottom w:w="80" w:type="dxa"/>
              <w:right w:w="120" w:type="dxa"/>
            </w:tcMar>
            <w:vAlign w:val="center"/>
            <w:tcW w:w="11770" w:type="dxa"/>
          </w:tcPr>
          <w:p w14:paraId="09D21CF5" w14:textId="77777777" w:rsidR="00E12F7F" w:rsidRDefault="00000000">
            <w:pPr>
              <w:spacing w:after="0"/>
            </w:pPr>
            <w:r>
              <w:rPr>
                <w:rFonts w:eastAsia="Calibri"/>
                <w:color w:val="000000"/>
                <w:sz w:val="19"/>
              </w:rPr>
              <w:t>BWB Multilanguage</w:t>
            </w:r>
          </w:p>
        </w:tc>
      </w:tr>
      <w:tr w:rsidR="00E12F7F" w14:paraId="35BD9B2B" w14:textId="77777777">
        <w:tc>
          <w:tcPr>
            <w:shd w:val="clear" w:color="auto" w:fill="E8EEF5"/>
            <w:tcMar>
              <w:top w:w="80" w:type="dxa"/>
              <w:left w:w="120" w:type="dxa"/>
              <w:bottom w:w="80" w:type="dxa"/>
              <w:right w:w="120" w:type="dxa"/>
            </w:tcMar>
            <w:vAlign w:val="center"/>
            <w:tcW w:w="2800" w:type="dxa"/>
          </w:tcPr>
          <w:p w14:paraId="092B189B" w14:textId="77777777" w:rsidR="00E12F7F" w:rsidRDefault="00000000">
            <w:pPr>
              <w:spacing w:after="0"/>
            </w:pPr>
            <w:r>
              <w:rPr>
                <w:rFonts w:eastAsia="Calibri"/>
                <w:b/>
                <w:color w:val="1F4D78"/>
                <w:sz w:val="19"/>
              </w:rPr>
              <w:t>URL / Domains</w:t>
            </w:r>
          </w:p>
        </w:tc>
        <w:tc>
          <w:tcPr>
            <w:tcMar>
              <w:top w:w="80" w:type="dxa"/>
              <w:left w:w="120" w:type="dxa"/>
              <w:bottom w:w="80" w:type="dxa"/>
              <w:right w:w="120" w:type="dxa"/>
            </w:tcMar>
            <w:vAlign w:val="center"/>
            <w:tcW w:w="11770" w:type="dxa"/>
          </w:tcPr>
          <w:p w14:paraId="555B9706" w14:textId="77777777" w:rsidR="00E12F7F" w:rsidRDefault="00000000">
            <w:pPr>
              <w:numPr>
                <w:ilvl w:val="0"/>
                <w:numId w:val="1"/>
              </w:numPr>
              <w:spacing w:after="40" w:line="252" w:lineRule="auto"/>
              <w:ind w:left="284" w:hanging="284"/>
            </w:pPr>
            <w:r>
              <w:rPr>
                <w:rFonts w:eastAsia="Calibri"/>
                <w:color w:val="000000"/>
                <w:sz w:val="19"/>
              </w:rPr>
              <w:t>https://languages.bwb.de/ (Hauptdomain des Angebots)</w:t>
            </w:r>
          </w:p>
          <w:p w14:paraId="555B9706" w14:textId="77777777" w:rsidR="00E12F7F" w:rsidRDefault="00000000">
            <w:pPr>
              <w:numPr>
                <w:ilvl w:val="0"/>
                <w:numId w:val="1"/>
              </w:numPr>
              <w:spacing w:after="40" w:line="252" w:lineRule="auto"/>
              <w:ind w:left="284" w:hanging="284"/>
            </w:pPr>
            <w:r>
              <w:rPr>
                <w:rFonts w:eastAsia="Calibri"/>
                <w:color w:val="000000"/>
                <w:sz w:val="19"/>
              </w:rPr>
              <w:t>Sprachpfade: /en/, /ar/, /pl/, /tr/, /ru/ – die Seiten-IDs sind über alle Sprachen identisch (z. B. /en/263.php und /ar/263.php).</w:t>
            </w:r>
          </w:p>
          <w:p w14:paraId="555B9706" w14:textId="77777777" w:rsidR="00E12F7F" w:rsidRDefault="00000000">
            <w:pPr>
              <w:numPr>
                <w:ilvl w:val="0"/>
                <w:numId w:val="1"/>
              </w:numPr>
              <w:spacing w:after="40" w:line="252" w:lineRule="auto"/>
              <w:ind w:left="284" w:hanging="284"/>
            </w:pPr>
            <w:r>
              <w:rPr>
                <w:rFonts w:eastAsia="Calibri"/>
                <w:color w:val="000000"/>
                <w:sz w:val="19"/>
              </w:rPr>
              <w:t>Das deutschsprachige Hauptangebot liegt unter www.bwb.de im eigenen Projekt BWB_DE und ist über die Sprachumschaltung erreichbar.</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Kurzbeschreibung</w:t>
            </w:r>
          </w:p>
        </w:tc>
        <w:tc>
          <w:tcPr>
            <w:tcMar>
              <w:top w:w="80" w:type="dxa"/>
              <w:left w:w="120" w:type="dxa"/>
              <w:bottom w:w="80" w:type="dxa"/>
              <w:right w:w="120" w:type="dxa"/>
            </w:tcMar>
            <w:vAlign w:val="center"/>
            <w:tcW w:w="11770" w:type="dxa"/>
          </w:tcPr>
          <w:p w14:paraId="216DC895" w14:textId="77777777" w:rsidR="00E12F7F" w:rsidRPr="007F044D" w:rsidRDefault="00000000">
            <w:pPr>
              <w:spacing w:after="0"/>
              <w:rPr>
                <w:lang w:val="de-DE"/>
              </w:rPr>
            </w:pPr>
            <w:r w:rsidRPr="007F044D">
              <w:rPr>
                <w:rFonts w:eastAsia="Calibri"/>
                <w:color w:val="000000"/>
                <w:sz w:val="19"/>
                <w:lang w:val="de-DE"/>
              </w:rPr>
              <w:t>Mehrsprachiges Webangebot der Berliner Wasserbetriebe. Es richtet sich an Menschen in Berlin, die kein oder wenig Deutsch sprechen, und stellt die wichtigsten Informationen und Services zu Trinkwasser, Abwasser und Tarifen in fünf Sprachen bereit.</w:t>
            </w:r>
          </w:p>
          <w:p w14:paraId="216DC895" w14:textId="77777777" w:rsidR="00E12F7F" w:rsidRPr="007F044D" w:rsidRDefault="00000000">
            <w:pPr>
              <w:spacing w:after="0"/>
              <w:rPr>
                <w:lang w:val="de-DE"/>
              </w:rPr>
            </w:pPr>
            <w:r w:rsidRPr="007F044D">
              <w:rPr>
                <w:rFonts w:eastAsia="Calibri"/>
                <w:color w:val="000000"/>
                <w:sz w:val="19"/>
                <w:lang w:val="de-DE"/>
              </w:rPr>
              <w:t>Inhaltlich ist das Angebot eine stark reduzierte Fassung des Hauptangebots bwb.de. Es beschränkt sich auf vier Bereiche: Berliner Wasser, Tarife und Services, Unternehmen sowie den Einstieg in das Kundenportal. Weiterführende Funktionen wie Suche, Newsletter, Pressemitteilungen, Karriere oder die Rich-Media-Anwendungen bleiben dem deutschsprachigen Hauptangebot vorbehalten; von den Sprachseiten wird an mehreren Stellen dorthin verwiesen.</w:t>
            </w:r>
          </w:p>
          <w:p w14:paraId="216DC895" w14:textId="77777777" w:rsidR="00E12F7F" w:rsidRPr="007F044D" w:rsidRDefault="00000000">
            <w:pPr>
              <w:spacing w:after="0"/>
              <w:rPr>
                <w:lang w:val="de-DE"/>
              </w:rPr>
            </w:pPr>
            <w:r w:rsidRPr="007F044D">
              <w:rPr>
                <w:rFonts w:eastAsia="Calibri"/>
                <w:color w:val="000000"/>
                <w:sz w:val="19"/>
                <w:lang w:val="de-DE"/>
              </w:rPr>
              <w:t>Der Bestand ist entsprechend klein. Laut Report entfallen auf Contentklassen vom Typ „Seite“ 18 freigegebene und veröffentlichte Objekte (17 Seiten und 1 Weiterleiter). Sie sind aus 132 Inhaltsbausteinen vom Typ „Snippet“ zusammengesetzt; zusammen ergibt das die im Report ausgewiesenen 150 Objekte (pagesMatchingFilter). Von den 67 erfassten Contentklassen sind 39 mit veröffentlichten Objekten belegt, 28 sind Navigationstemplates oder derzeit ungenutzt. Zum Vergleich: bwb.de umfasst 906 Seiten, 6.389 Snippets und 137 Contentklassen.</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Zielgruppen</w:t>
            </w:r>
          </w:p>
        </w:tc>
        <w:tc>
          <w:tcPr>
            <w:tcMar>
              <w:top w:w="80" w:type="dxa"/>
              <w:left w:w="120" w:type="dxa"/>
              <w:bottom w:w="80" w:type="dxa"/>
              <w:right w:w="120" w:type="dxa"/>
            </w:tcMar>
            <w:vAlign w:val="center"/>
            <w:tcW w:w="11770" w:type="dxa"/>
          </w:tcPr>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Einwohner:innen Berlins ohne oder mit geringen Deutschkenntnissen, insbesondere englisch-, arabisch-, polnisch-, türkisch- und russischsprachige Communities</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Neu zugezogene und geflüchtete Menschen, die sich zu Trinkwasser, Abwasser und Gebühren orientieren wollen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Internationale Fachkräfte, Studierende und Gäste der Stadt</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Englischsprachige Geschäftspartner:innen, Medien und Fachöffentlichkeit</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Multiplikator:innen in Beratungsstellen, Verwaltung und Bildungseinrichtungen</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Wichtigste Funktionen und Services</w:t>
            </w:r>
          </w:p>
        </w:tc>
        <w:tc>
          <w:tcPr>
            <w:tcMar>
              <w:top w:w="80" w:type="dxa"/>
              <w:left w:w="120" w:type="dxa"/>
              <w:bottom w:w="80" w:type="dxa"/>
              <w:right w:w="120" w:type="dxa"/>
            </w:tcMar>
            <w:vAlign w:val="center"/>
            <w:tcW w:w="11770" w:type="dxa"/>
          </w:tcPr>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Kerninformationen zu Berliner Trinkwasser und Wasserqualität in fünf Sprachen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Wasserwissen sowie Hinweise zum richtigen Umgang mit Wasser und Abwasser</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Öffentliche Trinkbrunnen mit Verweis auf die Trinkbrunnenkarte im Hauptangebot</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Tarife für Trinkwasser und Entwässerung mit Preistabellen, Preishistorie und Tarifblatt als PDF</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Wasseranalyse: Leistungen, Preise und Ablauf der Laboruntersuchung</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Unternehmensinformationen und Kennzahlen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Pressekontakte mit Durchwahlen und Kontaktmöglichkeit</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Kontaktformular</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Einstieg in die Kundenportale: eigene Seite mit Weiterleitung sowie Service-Box mit Auswahlliste für Kund:innen, Zählerfernauslesung, Hausverwaltungen, Transportunternehmen, Lieferanten und Mitarbeitende</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Sprachumschaltung zwischen den fünf Sprachen und dem deutschsprachigen Hauptangebot</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Servicenummer, Anschrift und Öffnungszeiten des Kundenzentrums</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color w:val="000000"/>
                <w:sz w:val="19"/>
                <w:lang w:val="de-DE"/>
              </w:rPr>
              <w:t>Verweise auf klassewasser.de, ausbildung.bwb.de, regenwasseragentur.berlin sowie die Social-Media-Kanäle</w:t>
            </w:r>
          </w:p>
        </w:tc>
      </w:tr>
      <w:tr w:rsidR="00E12F7F" w14:paraId="750DBC0A" w14:textId="77777777">
        <w:tc>
          <w:tcPr>
            <w:shd w:val="clear" w:color="auto" w:fill="E8EEF5"/>
            <w:tcMar>
              <w:top w:w="80" w:type="dxa"/>
              <w:left w:w="120" w:type="dxa"/>
              <w:bottom w:w="80" w:type="dxa"/>
              <w:right w:w="120" w:type="dxa"/>
            </w:tcMar>
            <w:vAlign w:val="center"/>
            <w:tcW w:w="2800" w:type="dxa"/>
          </w:tcPr>
          <w:p w14:paraId="31E08F85" w14:textId="77777777" w:rsidR="00E12F7F" w:rsidRDefault="00000000">
            <w:pPr>
              <w:spacing w:after="0"/>
            </w:pPr>
            <w:r>
              <w:rPr>
                <w:rFonts w:eastAsia="Calibri"/>
                <w:b/>
                <w:color w:val="1F4D78"/>
                <w:sz w:val="19"/>
              </w:rPr>
              <w:t>Verantwortlicher BWB-Bereich</w:t>
            </w:r>
          </w:p>
        </w:tc>
        <w:tc>
          <w:tcPr>
            <w:tcMar>
              <w:top w:w="80" w:type="dxa"/>
              <w:left w:w="120" w:type="dxa"/>
              <w:bottom w:w="80" w:type="dxa"/>
              <w:right w:w="120" w:type="dxa"/>
            </w:tcMar>
            <w:vAlign w:val="center"/>
            <w:tcW w:w="11770" w:type="dxa"/>
          </w:tcPr>
          <w:p w14:paraId="0EEEAA73" w14:textId="77777777" w:rsidR="00E12F7F" w:rsidRDefault="00000000">
            <w:pPr>
              <w:spacing w:after="0"/>
            </w:pPr>
            <w:r>
              <w:rPr>
                <w:rFonts w:eastAsia="Calibri"/>
                <w:color w:val="000000"/>
                <w:sz w:val="19"/>
              </w:rPr>
              <w:t>UK (Unternehmenskommunikation)</w:t>
            </w:r>
          </w:p>
        </w:tc>
      </w:tr>
      <w:tr w:rsidR="00E12F7F" w:rsidRPr="007F044D" w14:paraId="517256CF" w14:textId="77777777">
        <w:tc>
          <w:tcPr>
            <w:shd w:val="clear" w:color="auto" w:fill="E8EEF5"/>
            <w:tcMar>
              <w:top w:w="80" w:type="dxa"/>
              <w:left w:w="120" w:type="dxa"/>
              <w:bottom w:w="80" w:type="dxa"/>
              <w:right w:w="120" w:type="dxa"/>
            </w:tcMar>
            <w:vAlign w:val="center"/>
            <w:tcW w:w="2800" w:type="dxa"/>
          </w:tcPr>
          <w:p w14:paraId="2AF3C9AA" w14:textId="77777777" w:rsidR="00E12F7F" w:rsidRDefault="00000000">
            <w:pPr>
              <w:spacing w:after="0"/>
            </w:pPr>
            <w:r>
              <w:rPr>
                <w:rFonts w:eastAsia="Calibri"/>
                <w:b/>
                <w:color w:val="1F4D78"/>
                <w:sz w:val="19"/>
              </w:rPr>
              <w:t>Sprachen</w:t>
            </w:r>
          </w:p>
        </w:tc>
        <w:tc>
          <w:tcPr>
            <w:tcMar>
              <w:top w:w="80" w:type="dxa"/>
              <w:left w:w="120" w:type="dxa"/>
              <w:bottom w:w="80" w:type="dxa"/>
              <w:right w:w="120" w:type="dxa"/>
            </w:tcMar>
            <w:vAlign w:val="center"/>
            <w:tcW w:w="11770" w:type="dxa"/>
          </w:tcPr>
          <w:p w14:paraId="658C4650" w14:textId="77777777" w:rsidR="00E12F7F" w:rsidRPr="007F044D" w:rsidRDefault="00000000">
            <w:pPr>
              <w:spacing w:after="0"/>
              <w:rPr>
                <w:lang w:val="de-DE"/>
              </w:rPr>
            </w:pPr>
            <w:r>
              <w:rPr>
                <w:rFonts w:eastAsia="Calibri"/>
                <w:color w:val="000000"/>
                <w:sz w:val="19"/>
              </w:rPr>
              <w:t>Englisch (en), Arabisch (ar), Polnisch (pl), Türkisch (tr), Russisch (ru)</w:t>
            </w:r>
          </w:p>
          <w:p w14:paraId="658C4650" w14:textId="77777777" w:rsidR="00E12F7F" w:rsidRPr="007F044D" w:rsidRDefault="00000000">
            <w:pPr>
              <w:spacing w:after="0"/>
              <w:rPr>
                <w:lang w:val="de-DE"/>
              </w:rPr>
            </w:pPr>
            <w:r>
              <w:rPr>
                <w:rFonts w:eastAsia="Calibri"/>
                <w:color w:val="000000"/>
                <w:sz w:val="19"/>
              </w:rPr>
              <w:t>Arabisch erfordert eine Darstellung von rechts nach links. Für die Sprachsteuerung besteht die Contentklasse language_config; zusätzlich existieren die sprachbezogenen Contentklassen ENG_Styles und ENG_Collection.</w:t>
            </w:r>
          </w:p>
        </w:tc>
      </w:tr>
      <w:tr w:rsidR="00E12F7F" w14:paraId="65E0EC92" w14:textId="77777777">
        <w:tc>
          <w:tcPr>
            <w:shd w:val="clear" w:color="auto" w:fill="E8EEF5"/>
            <w:tcMar>
              <w:top w:w="80" w:type="dxa"/>
              <w:left w:w="120" w:type="dxa"/>
              <w:bottom w:w="80" w:type="dxa"/>
              <w:right w:w="120" w:type="dxa"/>
            </w:tcMar>
            <w:vAlign w:val="center"/>
            <w:tcW w:w="2800" w:type="dxa"/>
          </w:tcPr>
          <w:p w14:paraId="2A7924AF" w14:textId="77777777" w:rsidR="00E12F7F" w:rsidRDefault="00000000">
            <w:pPr>
              <w:spacing w:after="0"/>
            </w:pPr>
            <w:r>
              <w:rPr>
                <w:rFonts w:eastAsia="Calibri"/>
                <w:b/>
                <w:color w:val="1F4D78"/>
                <w:sz w:val="19"/>
              </w:rPr>
              <w:t>Status</w:t>
            </w:r>
          </w:p>
        </w:tc>
        <w:tc>
          <w:tcPr>
            <w:tcMar>
              <w:top w:w="80" w:type="dxa"/>
              <w:left w:w="120" w:type="dxa"/>
              <w:bottom w:w="80" w:type="dxa"/>
              <w:right w:w="120" w:type="dxa"/>
            </w:tcMar>
            <w:vAlign w:val="center"/>
            <w:tcW w:w="11770" w:type="dxa"/>
          </w:tcPr>
          <w:p w14:paraId="04810D1E" w14:textId="77777777" w:rsidR="00E12F7F" w:rsidRDefault="00000000">
            <w:pPr>
              <w:spacing w:after="0"/>
            </w:pPr>
            <w:r>
              <w:rPr>
                <w:rFonts w:eastAsia="Calibri"/>
                <w:color w:val="000000"/>
                <w:sz w:val="19"/>
              </w:rPr>
              <w:t>Produktiv</w:t>
            </w:r>
          </w:p>
          <w:p w14:paraId="04810D1E" w14:textId="77777777" w:rsidR="00E12F7F" w:rsidRDefault="00000000">
            <w:pPr>
              <w:spacing w:after="0"/>
            </w:pPr>
            <w:r>
              <w:rPr>
                <w:rFonts w:eastAsia="Calibri"/>
                <w:color w:val="000000"/>
                <w:sz w:val="19"/>
              </w:rPr>
              <w:t>Redaktionell deutlich weniger bewegt als das Hauptangebot; Änderungen fallen im Wesentlichen bei Tarifen und Kerninformationen an und wirken sich jeweils auf alle fünf Sprachen aus.</w:t>
            </w:r>
          </w:p>
        </w:tc>
      </w:tr>
    </w:tbl>
    <w:p w14:paraId="00E0917B" w14:textId="77777777" w:rsidR="00E12F7F" w:rsidRDefault="00E12F7F">
      <w:pPr>
        <w:spacing w:after="20"/>
      </w:pPr>
    </w:p>
    <w:p w14:paraId="4239D980" w14:textId="77777777" w:rsidR="00E12F7F" w:rsidRDefault="00000000">
      <w:pPr>
        <w:keepNext/>
        <w:spacing w:before="60" w:after="40"/>
      </w:pPr>
      <w:r>
        <w:rPr>
          <w:rFonts w:eastAsia="Calibri"/>
          <w:b/>
          <w:color w:val="1F4D78"/>
          <w:sz w:val="20"/>
        </w:rPr>
        <w:t>Abgrenzung</w:t>
      </w:r>
    </w:p>
    <w:p w14:paraId="4059D7B9" w14:textId="77777777" w:rsidR="00E12F7F" w:rsidRPr="007F044D" w:rsidRDefault="00000000">
      <w:pPr>
        <w:shd w:val="clear" w:color="auto" w:fill="F8FAFC"/>
        <w:spacing w:after="160" w:line="264" w:lineRule="auto"/>
        <w:rPr>
          <w:lang w:val="de-DE"/>
        </w:rPr>
      </w:pPr>
      <w:r w:rsidRPr="007F044D">
        <w:rPr>
          <w:rFonts w:eastAsia="Calibri"/>
          <w:color w:val="000000"/>
          <w:sz w:val="19"/>
          <w:lang w:val="de-DE"/>
        </w:rPr>
        <w:t>Erfasst ist das OpenText-WSM-Projekt BWB_multilanguage für das Angebot languages.bwb.de. Nicht erfasst sind das deutschsprachige Hauptangebot bwb.de (Projekt BWB_DE) sowie die Projekte BWB_Ausbildung (ausbildung.bwb.de) und BWB_Das_blaue_Klassenzimmer (schule.klassewasser.de); diese sind in eigenen Projektbeschreibungen dokumentiert.</w:t>
      </w:r>
    </w:p>
    <w:p w14:paraId="4059D7B9" w14:textId="77777777" w:rsidR="00E12F7F" w:rsidRPr="007F044D" w:rsidRDefault="00000000">
      <w:pPr>
        <w:shd w:val="clear" w:color="auto" w:fill="F8FAFC"/>
        <w:spacing w:after="160" w:line="264" w:lineRule="auto"/>
        <w:rPr>
          <w:lang w:val="de-DE"/>
        </w:rPr>
      </w:pPr>
      <w:r w:rsidRPr="007F044D">
        <w:rPr>
          <w:rFonts w:eastAsia="Calibri"/>
          <w:color w:val="000000"/>
          <w:sz w:val="19"/>
          <w:lang w:val="de-DE"/>
        </w:rPr>
        <w:t>Ebenfalls nicht Gegenstand dieser Bestandsaufnahme sind die außerhalb des CMS betriebenen Portale (kundenportal.bwb.de, login.bwb.de) sowie die aus den Sprachseiten verlinkten deutschsprachigen Inhalte auf bwb.de. Sie werden in Abschnitt 3 ausschließlich als verlinkte Umsysteme aufgeführt, weil ihr Einstieg aus languages.bwb.de heraus erfolgt und beim Aufsetzen des Angebots im neuen CMS berücksichtigt werden muss.</w:t>
      </w:r>
    </w:p>
    <w:p w14:paraId="4059D7B9" w14:textId="77777777" w:rsidR="00E12F7F" w:rsidRPr="007F044D" w:rsidRDefault="00000000">
      <w:pPr>
        <w:shd w:val="clear" w:color="auto" w:fill="F8FAFC"/>
        <w:spacing w:after="160" w:line="264" w:lineRule="auto"/>
        <w:rPr>
          <w:lang w:val="de-DE"/>
        </w:rPr>
      </w:pPr>
      <w:r w:rsidRPr="007F044D">
        <w:rPr>
          <w:rFonts w:eastAsia="Calibri"/>
          <w:color w:val="000000"/>
          <w:sz w:val="19"/>
          <w:lang w:val="de-DE"/>
        </w:rPr>
        <w:t>Hinweis zur Quellenlage: Die Angaben in Abschnitt 2 stammen aus dem Contentklassen-Report. Die Angaben in den Abschnitten 1 sowie 3 bis 5 wurden ergänzend aus dem öffentlich zugänglichen Webangebot languages.bwb.de recherchiert (Recherchestand 10.08.2026). Sie sind als Recherchestand gekennzeichnet und BWB-seitig zu bestätigen.</w:t>
      </w:r>
    </w:p>
    <w:p w14:paraId="51B59971" w14:textId="77777777" w:rsidR="00E12F7F" w:rsidRPr="007F044D" w:rsidRDefault="00000000">
      <w:pPr>
        <w:pStyle w:val="berschrift1"/>
        <w:rPr>
          <w:lang w:val="de-DE"/>
        </w:rPr>
      </w:pPr>
      <w:r w:rsidRPr="007F044D">
        <w:rPr>
          <w:lang w:val="de-DE"/>
        </w:rPr>
        <w:t>2  Contentklassen und Seitenbestand</w:t>
      </w:r>
    </w:p>
    <w:p w14:paraId="3ECC5799" w14:textId="77777777" w:rsidR="00E12F7F" w:rsidRDefault="00000000">
      <w:pPr>
        <w:spacing w:after="140"/>
      </w:pPr>
      <w:r w:rsidRPr="007F044D">
        <w:rPr>
          <w:rFonts w:eastAsia="Calibri"/>
          <w:color w:val="000000"/>
          <w:sz w:val="19"/>
          <w:lang w:val="de-DE"/>
        </w:rPr>
        <w:t>Die Contentklassen stammen aus dem Report BWB_multilanguage vom 10.08.2026. Die Anzahl entspricht jeweils pageCount für freigegebene und veröffentlichte Seiten. Die Werte sind contentklassenbezogen und daher nicht zu einer eindeutigen Gesamtseitenzahl zu addieren. Lediglich Contentklassen vom Typ „Seite“ stellen vollständige und publizierte Seiten dar. Contentklassen vom Typ „Snippet“ sind Inhaltsbausteine, mit denen Seiten angereichert werden. Sie sind also in den publizierten Seiten enthalten.</w:t>
      </w:r>
      <w:r>
        <w:rPr>
          <w:rFonts w:eastAsia="Calibri"/>
          <w:color w:val="000000"/>
          <w:sz w:val="19"/>
        </w:rPr>
        <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600"/>
        <w:gridCol w:w="4300"/>
        <w:gridCol w:w="1500"/>
        <w:gridCol w:w="1700"/>
        <w:gridCol w:w="3470"/>
      </w:tblGrid>
      <w:tr w:rsidR="00E12F7F" w14:paraId="6EB66689" w14:textId="77777777">
        <w:trPr>
          <w:tblHeader/>
        </w:trPr>
        <w:tc>
          <w:tcPr>
            <w:shd w:val="clear" w:color="auto" w:fill="E8EEF5"/>
            <w:tcMar>
              <w:top w:w="80" w:type="dxa"/>
              <w:left w:w="120" w:type="dxa"/>
              <w:bottom w:w="80" w:type="dxa"/>
              <w:right w:w="120" w:type="dxa"/>
            </w:tcMar>
            <w:vAlign w:val="center"/>
            <w:tcW w:w="3600" w:type="dxa"/>
          </w:tcPr>
          <w:p w14:paraId="4049505D" w14:textId="77777777" w:rsidR="00E12F7F" w:rsidRDefault="00000000">
            <w:pPr>
              <w:spacing w:after="0" w:line="240" w:lineRule="auto"/>
            </w:pPr>
            <w:r>
              <w:rPr>
                <w:rFonts w:eastAsia="Calibri"/>
                <w:b/>
                <w:color w:val="1F4D78"/>
                <w:sz w:val="18"/>
              </w:rPr>
              <w:t>Contentklasse</w:t>
            </w:r>
          </w:p>
        </w:tc>
        <w:tc>
          <w:tcPr>
            <w:shd w:val="clear" w:color="auto" w:fill="E8EEF5"/>
            <w:tcMar>
              <w:top w:w="80" w:type="dxa"/>
              <w:left w:w="120" w:type="dxa"/>
              <w:bottom w:w="80" w:type="dxa"/>
              <w:right w:w="120" w:type="dxa"/>
            </w:tcMar>
            <w:vAlign w:val="center"/>
            <w:tcW w:w="4300" w:type="dxa"/>
          </w:tcPr>
          <w:p w14:paraId="579CDA13" w14:textId="77777777" w:rsidR="00E12F7F" w:rsidRDefault="00000000">
            <w:pPr>
              <w:spacing w:after="0" w:line="240" w:lineRule="auto"/>
            </w:pPr>
            <w:r>
              <w:rPr>
                <w:rFonts w:eastAsia="Calibri"/>
                <w:b/>
                <w:color w:val="1F4D78"/>
                <w:sz w:val="18"/>
              </w:rPr>
              <w:t>Kurzbeschreibung / Zweck</w:t>
            </w:r>
          </w:p>
        </w:tc>
        <w:tc>
          <w:tcPr>
            <w:shd w:val="clear" w:color="auto" w:fill="E8EEF5"/>
            <w:tcMar>
              <w:top w:w="80" w:type="dxa"/>
              <w:left w:w="120" w:type="dxa"/>
              <w:bottom w:w="80" w:type="dxa"/>
              <w:right w:w="120" w:type="dxa"/>
            </w:tcMar>
            <w:vAlign w:val="center"/>
            <w:tcW w:w="1500" w:type="dxa"/>
          </w:tcPr>
          <w:p w14:paraId="3766E006" w14:textId="77777777" w:rsidR="00E12F7F" w:rsidRDefault="00000000">
            <w:pPr>
              <w:spacing w:after="0" w:line="240" w:lineRule="auto"/>
            </w:pPr>
            <w:r>
              <w:rPr>
                <w:rFonts w:eastAsia="Calibri"/>
                <w:b/>
                <w:color w:val="1F4D78"/>
                <w:sz w:val="18"/>
              </w:rPr>
              <w:t>Anzahl Seiten</w:t>
            </w:r>
          </w:p>
        </w:tc>
        <w:tc>
          <w:tcPr>
            <w:shd w:val="clear" w:color="auto" w:fill="E8EEF5"/>
            <w:tcMar>
              <w:top w:w="80" w:type="dxa"/>
              <w:left w:w="120" w:type="dxa"/>
              <w:bottom w:w="80" w:type="dxa"/>
              <w:right w:w="120" w:type="dxa"/>
            </w:tcMar>
            <w:vAlign w:val="center"/>
            <w:tcW w:w="1700" w:type="dxa"/>
          </w:tcPr>
          <w:p w14:paraId="00AD06D9" w14:textId="77777777" w:rsidR="00E12F7F" w:rsidRDefault="00000000">
            <w:pPr>
              <w:spacing w:after="0" w:line="240" w:lineRule="auto"/>
            </w:pPr>
            <w:r>
              <w:rPr>
                <w:rFonts w:eastAsia="Calibri"/>
                <w:b/>
                <w:color w:val="1F4D78"/>
                <w:sz w:val="18"/>
              </w:rPr>
              <w:t>Typ</w:t>
            </w:r>
          </w:p>
        </w:tc>
        <w:tc>
          <w:tcPr>
            <w:shd w:val="clear" w:color="auto" w:fill="E8EEF5"/>
            <w:tcMar>
              <w:top w:w="80" w:type="dxa"/>
              <w:left w:w="120" w:type="dxa"/>
              <w:bottom w:w="80" w:type="dxa"/>
              <w:right w:w="120" w:type="dxa"/>
            </w:tcMar>
            <w:vAlign w:val="center"/>
            <w:tcW w:w="3470" w:type="dxa"/>
          </w:tcPr>
          <w:p w14:paraId="08EC5CF2" w14:textId="77777777" w:rsidR="00E12F7F" w:rsidRDefault="00000000">
            <w:pPr>
              <w:spacing w:after="0" w:line="240" w:lineRule="auto"/>
            </w:pPr>
            <w:r>
              <w:rPr>
                <w:rFonts w:eastAsia="Calibri"/>
                <w:b/>
                <w:color w:val="1F4D78"/>
                <w:sz w:val="18"/>
              </w:rPr>
              <w:t>Besonderheiten</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Text 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Expandable-Box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Seite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Link Intern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Stage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Teaser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Stage-Teaser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service-box-external-pulldown-link</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6</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Link Extern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5</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Contentgruppe_Teaser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4</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preexecute_container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Service-Box Item</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Embed 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Link Download</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Linkbox breit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Zwischenüberschrift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before_all_includer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Bild links 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bottom_scripts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box_application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collection_SeitenMitStartmenue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ENG_Styles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Footer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form_contact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Formcycle Integration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global_labels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Gruppe_SeitenMitStartmenue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header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include_facebook_meta</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include_linkmanager_init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includes_collection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Info-Box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language_config</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Link E-Mail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Map_Einzel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preexecute_include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Service-Box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top_styles_and_scripts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Weiterleiter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Bild Box + Text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Breadcrumb</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Contentgruppe_Superzahl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ENG_Collection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Icon-Block</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Icon-Block Inhalt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Jumbotron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Jumplink</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Klickgalerie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Klickgalerie Inhalt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Menu Sektion [Sektion]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Stage-Teaser-Video</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Superzahl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Top_Navigation_Ebene_0</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Top_Navigation_Ebene_1</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Top_Navigation_Ebene_1_sel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Top_Navigation_Ebene_2</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Top_Navigation_Ebene_2_sel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Top_Navigation_Ebene_3</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Top_Navigation_Ebene_3_sel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Top_Navigation_Ebene_4</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Top_Navigation_Ebene_4_sel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Top_Navigation_Ebene_5</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Top_Navigation_Ebene_5_sel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Video Teaser MP4</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Video Teaser Youtube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Videoplayer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Werbeblock</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bl>
    <w:p w14:paraId="13C408E8" w14:textId="77777777" w:rsidR="00E12F7F" w:rsidRDefault="00E12F7F">
      <w:pPr>
        <w:spacing w:after="20"/>
      </w:pPr>
    </w:p>
    <w:p w14:paraId="1B83715F" w14:textId="77777777" w:rsidR="00E12F7F" w:rsidRPr="007F044D" w:rsidRDefault="00E12F7F">
      <w:pPr>
        <w:spacing w:after="20"/>
        <w:rPr>
          <w:lang w:val="de-DE"/>
        </w:rPr>
      </w:pPr>
    </w:p>
    <w:p w14:paraId="1CA116FD" w14:textId="77777777" w:rsidR="00E12F7F" w:rsidRPr="007F044D" w:rsidRDefault="00000000">
      <w:pPr>
        <w:pStyle w:val="berschrift1"/>
        <w:rPr>
          <w:lang w:val="de-DE"/>
        </w:rPr>
      </w:pPr>
      <w:r w:rsidRPr="007F044D">
        <w:rPr>
          <w:lang w:val="de-DE"/>
        </w:rPr>
        <w:t>3  Angebundene Services, APIs und Anwendungen</w:t>
      </w:r>
    </w:p>
    <w:p w14:paraId="6AFBBAB4" w14:textId="77777777" w:rsidR="00E12F7F" w:rsidRDefault="00000000">
      <w:pPr>
        <w:spacing w:after="140"/>
      </w:pPr>
      <w:r w:rsidRPr="007F044D">
        <w:rPr>
          <w:rFonts w:eastAsia="Calibri"/>
          <w:i w:val="0"/>
          <w:color w:val="000000"/>
          <w:sz w:val="19"/>
          <w:lang w:val="de-DE"/>
          <w:iCs w:val="0"/>
        </w:rPr>
        <w:t xml:space="preserve">Nur Verbindungen aufnehmen, die für Migration, Nachbau oder Betrieb relevant sind. </w:t>
      </w:r>
      <w:r>
        <w:rPr>
          <w:rFonts w:eastAsia="Calibri"/>
          <w:i w:val="0"/>
          <w:color w:val="000000"/>
          <w:sz w:val="19"/>
          <w:iCs w:val="0"/>
        </w:rPr>
        <w:t>Technische Detailparameter und Zugangsdaten sind nicht erforderlich.</w:t>
      </w:r>
    </w:p>
    <w:p w14:paraId="6AFBBAB4" w14:textId="77777777" w:rsidR="00E12F7F" w:rsidRDefault="00000000">
      <w:pPr>
        <w:spacing w:after="140"/>
      </w:pPr>
      <w:r w:rsidRPr="007F044D">
        <w:rPr>
          <w:rFonts w:eastAsia="Calibri"/>
          <w:i w:val="0"/>
          <w:color w:val="000000"/>
          <w:sz w:val="19"/>
          <w:lang w:val="de-DE"/>
          <w:iCs w:val="0"/>
        </w:rPr>
        <w:t>Legende zur Spalte „Einordnung“:</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Teil des Angebots: Inhalte und Anwendungen, die zum Leistungsumfang gehören und im Zielsystem nachgebaut oder übernommen werden müssen.</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Integriert: fremde Anwendungen oder Dienste, die technisch in die Seiten eingebunden werden (per Skript, Include oder Einbettung). Zu leisten ist der Einbindungspunkt, nicht die Anwendung selbst.</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Verlinkt: eigenständige Systeme und Angebote, auf die lediglich verwiesen wird.</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250"/>
        <w:gridCol w:w="1400"/>
        <w:gridCol w:w="2350"/>
        <w:gridCol w:w="4200"/>
        <w:gridCol w:w="1900"/>
        <w:gridCol w:w="2470"/>
      </w:tblGrid>
      <w:tr w:rsidR="00E12F7F" w14:paraId="22F6657B" w14:textId="77777777">
        <w:trPr>
          <w:tblHeader/>
        </w:trPr>
        <w:tc>
          <w:tcPr>
            <w:shd w:val="clear" w:color="auto" w:fill="E8EEF5"/>
            <w:tcMar>
              <w:top w:w="80" w:type="dxa"/>
              <w:left w:w="120" w:type="dxa"/>
              <w:bottom w:w="80" w:type="dxa"/>
              <w:right w:w="120" w:type="dxa"/>
            </w:tcMar>
            <w:vAlign w:val="center"/>
            <w:tcW w:w="2250" w:type="dxa"/>
          </w:tcPr>
          <w:p w14:paraId="56368094" w14:textId="77777777" w:rsidR="00E12F7F" w:rsidRDefault="00000000">
            <w:pPr>
              <w:spacing w:after="0" w:line="240" w:lineRule="auto"/>
            </w:pPr>
            <w:r>
              <w:rPr>
                <w:rFonts w:eastAsia="Calibri"/>
                <w:b/>
                <w:color w:val="1F4D78"/>
                <w:sz w:val="18"/>
              </w:rPr>
              <w:t>Service / API / Anwendung</w:t>
            </w:r>
          </w:p>
        </w:tc>
        <w:tc>
          <w:tcPr>
            <w:shd w:val="clear" w:color="auto" w:fill="E8EEF5"/>
            <w:tcMar>
              <w:top w:w="80" w:type="dxa"/>
              <w:left w:w="120" w:type="dxa"/>
              <w:bottom w:w="80" w:type="dxa"/>
              <w:right w:w="120" w:type="dxa"/>
            </w:tcMar>
            <w:vAlign w:val="center"/>
            <w:tcW w:w="1400" w:type="dxa"/>
          </w:tcPr>
          <w:p w14:paraId="56368094" w14:textId="77777777" w:rsidR="00E12F7F" w:rsidRDefault="00000000">
            <w:pPr>
              <w:spacing w:after="0" w:line="240" w:lineRule="auto"/>
            </w:pPr>
            <w:r>
              <w:rPr>
                <w:rFonts w:eastAsia="Calibri"/>
                <w:b/>
                <w:color w:val="1F4D78"/>
                <w:sz w:val="18"/>
              </w:rPr>
              <w:t>Einordnung</w:t>
            </w:r>
          </w:p>
        </w:tc>
        <w:tc>
          <w:tcPr>
            <w:shd w:val="clear" w:color="auto" w:fill="E8EEF5"/>
            <w:tcMar>
              <w:top w:w="80" w:type="dxa"/>
              <w:left w:w="120" w:type="dxa"/>
              <w:bottom w:w="80" w:type="dxa"/>
              <w:right w:w="120" w:type="dxa"/>
            </w:tcMar>
            <w:vAlign w:val="center"/>
            <w:tcW w:w="2350" w:type="dxa"/>
          </w:tcPr>
          <w:p w14:paraId="03EF8AE8" w14:textId="77777777" w:rsidR="00E12F7F" w:rsidRDefault="00000000">
            <w:pPr>
              <w:spacing w:after="0" w:line="240" w:lineRule="auto"/>
            </w:pPr>
            <w:r>
              <w:rPr>
                <w:rFonts w:eastAsia="Calibri"/>
                <w:b/>
                <w:color w:val="1F4D78"/>
                <w:sz w:val="18"/>
              </w:rPr>
              <w:t>Aufgabe im Projekt</w:t>
            </w:r>
          </w:p>
        </w:tc>
        <w:tc>
          <w:tcPr>
            <w:shd w:val="clear" w:color="auto" w:fill="E8EEF5"/>
            <w:tcMar>
              <w:top w:w="80" w:type="dxa"/>
              <w:left w:w="120" w:type="dxa"/>
              <w:bottom w:w="80" w:type="dxa"/>
              <w:right w:w="120" w:type="dxa"/>
            </w:tcMar>
            <w:vAlign w:val="center"/>
            <w:tcW w:w="4200" w:type="dxa"/>
          </w:tcPr>
          <w:p w14:paraId="17B0914B" w14:textId="77777777" w:rsidR="00E12F7F" w:rsidRDefault="00000000">
            <w:pPr>
              <w:spacing w:after="0" w:line="240" w:lineRule="auto"/>
            </w:pPr>
            <w:r>
              <w:rPr>
                <w:rFonts w:eastAsia="Calibri"/>
                <w:b/>
                <w:color w:val="1F4D78"/>
                <w:sz w:val="18"/>
              </w:rPr>
              <w:t>Verbindung / Datenfluss</w:t>
            </w:r>
          </w:p>
        </w:tc>
        <w:tc>
          <w:tcPr>
            <w:shd w:val="clear" w:color="auto" w:fill="E8EEF5"/>
            <w:tcMar>
              <w:top w:w="80" w:type="dxa"/>
              <w:left w:w="120" w:type="dxa"/>
              <w:bottom w:w="80" w:type="dxa"/>
              <w:right w:w="120" w:type="dxa"/>
            </w:tcMar>
            <w:vAlign w:val="center"/>
            <w:tcW w:w="1900" w:type="dxa"/>
          </w:tcPr>
          <w:p w14:paraId="6BC2A7C3" w14:textId="77777777" w:rsidR="00E12F7F" w:rsidRDefault="00000000">
            <w:pPr>
              <w:spacing w:after="0" w:line="240" w:lineRule="auto"/>
            </w:pPr>
            <w:r>
              <w:rPr>
                <w:rFonts w:eastAsia="Calibri"/>
                <w:b/>
                <w:color w:val="1F4D78"/>
                <w:sz w:val="18"/>
              </w:rPr>
              <w:t>Nutzung / Aktualisierung</w:t>
            </w:r>
          </w:p>
        </w:tc>
        <w:tc>
          <w:tcPr>
            <w:shd w:val="clear" w:color="auto" w:fill="E8EEF5"/>
            <w:tcMar>
              <w:top w:w="80" w:type="dxa"/>
              <w:left w:w="120" w:type="dxa"/>
              <w:bottom w:w="80" w:type="dxa"/>
              <w:right w:w="120" w:type="dxa"/>
            </w:tcMar>
            <w:vAlign w:val="center"/>
            <w:tcW w:w="2470" w:type="dxa"/>
          </w:tcPr>
          <w:p w14:paraId="25AAC28D" w14:textId="77777777" w:rsidR="00E12F7F" w:rsidRDefault="00000000">
            <w:pPr>
              <w:spacing w:after="0" w:line="240" w:lineRule="auto"/>
            </w:pPr>
            <w:r>
              <w:rPr>
                <w:rFonts w:eastAsia="Calibri"/>
                <w:b/>
                <w:color w:val="1F4D78"/>
                <w:sz w:val="18"/>
              </w:rPr>
              <w:t>Kritikalität / Besonderheit</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OpenText WSM Management Server</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Redaktion und Verwaltung der CMS-Inhalte</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Inhalte werden gepflegt und zur Veröffentlichung bereitgestellt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color w:val="000000"/>
                <w:sz w:val="17"/>
              </w:rPr>
              <w:t>Zentraler Bestandteil des CMS-Bestands</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Consent-Management (Cookiebot)</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Einwilligungsverwaltung für Cookies und Drittdienste</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Skriptseitig in die Seiten eingebunden; der Aufruf der Einstellungen erfolgt über den Footer aller Sprachfassungen.</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providerseitig aktualisiert</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Rechtlich erforderlich; Wiederaufbau im Zielsystem einzuplanen.</w:t>
            </w:r>
          </w:p>
          <w:p w14:paraId="0747B848" w14:textId="77777777" w:rsidR="00E12F7F" w:rsidRDefault="00000000">
            <w:pPr>
              <w:numPr>
                <w:ilvl w:val="0"/>
                <w:numId w:val="1"/>
              </w:numPr>
              <w:spacing w:after="40" w:line="252" w:lineRule="auto"/>
              <w:ind w:left="284" w:hanging="284"/>
            </w:pPr>
            <w:r>
              <w:rPr>
                <w:rFonts w:eastAsia="Calibri"/>
                <w:color w:val="000000"/>
                <w:sz w:val="17"/>
              </w:rPr>
              <w:t>Die Einwilligungstexte müssen in allen fünf Sprachen vorliegen.</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Webanalyse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Reichweiten- und Nutzungsmessung</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Für das Hauptangebot ist etracker im Einsatz. Ob und in welchem Umfang die Sprachseiten einbezogen sind, ist aus dem öffentlichen Angebot nicht sicher ableitbar.</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BWB-seitig zu bestätigen und gegebenenfalls in das Messkonzept des Zielsystems zu übernehmen.</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Formularservice (Formcycle)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Bereitstellung und Verarbeitung des Kontaktformulars</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Im Projekt bestehen die Contentklassen Formcycle Integration (1) und form_contact (1). Das Formular wird wie im Hauptangebot per JavaScript in die Seite geladen; erreichbar unter /{Sprachkürzel}/contact.php.</w:t>
            </w:r>
          </w:p>
          <w:p w14:paraId="1EA0DABD" w14:textId="77777777" w:rsidR="00E12F7F" w:rsidRDefault="00000000">
            <w:pPr>
              <w:numPr>
                <w:ilvl w:val="0"/>
                <w:numId w:val="1"/>
              </w:numPr>
              <w:spacing w:after="40" w:line="252" w:lineRule="auto"/>
              <w:ind w:left="284" w:hanging="284"/>
            </w:pPr>
            <w:r>
              <w:rPr>
                <w:rFonts w:eastAsia="Calibri"/>
                <w:color w:val="000000"/>
                <w:sz w:val="17"/>
              </w:rPr>
              <w:t>Formularlogik, Validierung und Weiterverarbeitung liegen außerhalb des CMS in Formcycle.</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Pflege der Formulare in Formcycle</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Deutlich geringerer Umfang als im Hauptangebot: nur eine Formularstrecke statt neun fachspezifischer Formulare.</w:t>
            </w:r>
          </w:p>
          <w:p w14:paraId="0747B848" w14:textId="77777777" w:rsidR="00E12F7F" w:rsidRDefault="00000000">
            <w:pPr>
              <w:numPr>
                <w:ilvl w:val="0"/>
                <w:numId w:val="1"/>
              </w:numPr>
              <w:spacing w:after="40" w:line="252" w:lineRule="auto"/>
              <w:ind w:left="284" w:hanging="284"/>
            </w:pPr>
            <w:r>
              <w:rPr>
                <w:rFonts w:eastAsia="Calibri"/>
                <w:color w:val="000000"/>
                <w:sz w:val="17"/>
              </w:rPr>
              <w:t>Zu klären ist, ob das Formular in allen fünf Sprachen vorliegt und in welcher Sprache die Anfragen bearbeitet werden.</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Kundenportal und Login</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Verlinkt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Einstieg in die Selbstbedienungsportale</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Die Seite Kundenportal (262.php) ist im CMS als Weiterleiter angelegt und leitet per HTTP 302 auf kundenportal.bwb.de weiter; die Anmeldung läuft über login.bwb.de.</w:t>
            </w:r>
          </w:p>
          <w:p w14:paraId="1EA0DABD" w14:textId="77777777" w:rsidR="00E12F7F" w:rsidRDefault="00000000">
            <w:pPr>
              <w:numPr>
                <w:ilvl w:val="0"/>
                <w:numId w:val="1"/>
              </w:numPr>
              <w:spacing w:after="40" w:line="252" w:lineRule="auto"/>
              <w:ind w:left="284" w:hanging="284"/>
            </w:pPr>
            <w:r>
              <w:rPr>
                <w:rFonts w:eastAsia="Calibri"/>
                <w:color w:val="000000"/>
                <w:sz w:val="17"/>
              </w:rPr>
              <w:t>Zusätzlich besteht eine Service-Box mit Auswahlliste (Contentklasse service-box-external-pulldown-link, 6 Objekte) für Kund:innen, Zählerfernauslesung, Hausverwaltungen, Transportunternehmen, Lieferanten und Mitarbeitende.</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portalseitig</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Die Portale selbst sind nicht Migrationsgegenstand. Zu erhalten sind die Weiterleitung und die Auswahlliste einschließlich der Zielziele.</w:t>
            </w:r>
          </w:p>
          <w:p w14:paraId="0747B848" w14:textId="77777777" w:rsidR="00E12F7F" w:rsidRDefault="00000000">
            <w:pPr>
              <w:numPr>
                <w:ilvl w:val="0"/>
                <w:numId w:val="1"/>
              </w:numPr>
              <w:spacing w:after="40" w:line="252" w:lineRule="auto"/>
              <w:ind w:left="284" w:hanging="284"/>
            </w:pPr>
            <w:r>
              <w:rPr>
                <w:rFonts w:eastAsia="Calibri"/>
                <w:color w:val="000000"/>
                <w:sz w:val="17"/>
              </w:rPr>
              <w:t>Die Portale sind überwiegend deutschsprachig; der Sprachwechsel an dieser Stelle ist bekannt und redaktionell zu berücksichtigen.</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Hauptangebot bwb.de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Verlinkt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Weiterführende Inhalte und Funktionen</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Aus den Sprachseiten wird an mehreren Stellen in das deutschsprachige Hauptangebot verwiesen, unter anderem auf die Trinkbrunnenkarte, die Serviceportale, das Thema Wasserkreislauf, das Gebührenblatt als PDF sowie die Erklärung zur Barrierefreiheit.</w:t>
            </w:r>
          </w:p>
          <w:p w14:paraId="1EA0DABD" w14:textId="77777777" w:rsidR="00E12F7F" w:rsidRDefault="00000000">
            <w:pPr>
              <w:numPr>
                <w:ilvl w:val="0"/>
                <w:numId w:val="1"/>
              </w:numPr>
              <w:spacing w:after="40" w:line="252" w:lineRule="auto"/>
              <w:ind w:left="284" w:hanging="284"/>
            </w:pPr>
            <w:r>
              <w:rPr>
                <w:rFonts w:eastAsia="Calibri"/>
                <w:color w:val="000000"/>
                <w:sz w:val="17"/>
              </w:rPr>
              <w:t>Die Sprachumschaltung führt für Deutsch ebenfalls auf bwb.de.</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redaktionell</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Kalkulationsrelevant: Das Angebot ist inhaltlich vom Hauptangebot abhängig. Bei der Migration sind Reihenfolge und Verlinkungen beider Projekte aufeinander abzustimmen, damit keine toten Verweise entstehen.</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Kartendarstellung</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Standortdarstellung</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Im Projekt besteht die Contentklasse Map_Einzel mit einem veröffentlichten Objekt. Die Trinkbrunnenkarte selbst wird nicht eingebettet, sondern auf bwb.de verlinkt.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Kartendaten providerseitig</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Sehr geringer Umfang; Einbindungsmechanik entspricht der des Hauptangebots.</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Externe Einbettungen (Embed Box)</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Einbindung fremder Inhalte in Seiten</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Die Contentklasse Embed Box ist mit 2 Objekten belegt. Die Einbettungsziele sind aus dem Report nicht ableitbar.</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redaktionell</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Die eingebetteten Inhalte sind nicht Gegenstand der Ausschreibung, wohl aber die weitere Integrationsfähigkeit im Zielsystem.</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Downloads (Tarifblätter)</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Bereitstellung von Tarif- und Gebühreninformationen als PDF</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Die Tarifseite verweist auf ein englischsprachiges Tarifblatt im Verzeichnis /en/downloads/ sowie auf das deutschsprachige Gebührenblatt auf bwb.de.</w:t>
            </w:r>
          </w:p>
          <w:p w14:paraId="1EA0DABD" w14:textId="77777777" w:rsidR="00E12F7F" w:rsidRDefault="00000000">
            <w:pPr>
              <w:numPr>
                <w:ilvl w:val="0"/>
                <w:numId w:val="1"/>
              </w:numPr>
              <w:spacing w:after="40" w:line="252" w:lineRule="auto"/>
              <w:ind w:left="284" w:hanging="284"/>
            </w:pPr>
            <w:r>
              <w:rPr>
                <w:rFonts w:eastAsia="Calibri"/>
                <w:color w:val="000000"/>
                <w:sz w:val="17"/>
              </w:rPr>
              <w:t>Im Projekt besteht dafür die Contentklasse Link Download (2 Objekte).</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Bei Tarifänderung</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Die Dateien sind Teil des Bestands und mit zu übernehmen. Zu klären ist, ob je Sprache eigene Dokumente vorgehalten werden.</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Social-Media-Kanäle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Verlinkt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Verweis auf die Unternehmenskanäle</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Verlinkung zu YouTube, Facebook, X, Flickr, Instagram und LinkedIn im Footer aller Sprachfassungen. Zusätzlich besteht die Contentklasse include_facebook_meta.</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Reine Verlinkung; die Kanäle selbst sind deutschsprachig.</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bl>
    <w:p w14:paraId="33F0742A" w14:textId="77777777" w:rsidR="00E12F7F" w:rsidRDefault="00E12F7F">
      <w:pPr>
        <w:spacing w:after="20"/>
      </w:pPr>
    </w:p>
    <w:p w14:paraId="2AA53A7D" w14:textId="77777777" w:rsidR="00E12F7F" w:rsidRDefault="00000000">
      <w:pPr>
        <w:pStyle w:val="berschrift1"/>
      </w:pPr>
      <w:r>
        <w:t>4  Zusammenspiel der Bestandteile</w:t>
      </w:r>
    </w:p>
    <w:p w14:paraId="1FC18EFA" w14:textId="77777777" w:rsidR="00E12F7F" w:rsidRDefault="00000000">
      <w:pPr>
        <w:keepNext/>
        <w:spacing w:before="60" w:after="40"/>
      </w:pPr>
      <w:r>
        <w:rPr>
          <w:rFonts w:eastAsia="Calibri"/>
          <w:b/>
          <w:color w:val="1F4D78"/>
          <w:sz w:val="20"/>
        </w:rPr>
        <w:t>Kurzbeschreibung</w:t>
      </w:r>
    </w:p>
    <w:p w14:paraId="5F96BDD2" w14:textId="77777777" w:rsidR="00E12F7F" w:rsidRPr="007F044D" w:rsidRDefault="00000000">
      <w:pPr>
        <w:shd w:val="clear" w:color="auto" w:fill="F8FAFC"/>
        <w:spacing w:after="160" w:line="264" w:lineRule="auto"/>
        <w:rPr>
          <w:lang w:val="de-DE"/>
        </w:rPr>
      </w:pPr>
      <w:r w:rsidRPr="007F044D">
        <w:rPr>
          <w:rFonts w:eastAsia="Calibri"/>
          <w:color w:val="000000"/>
          <w:sz w:val="19"/>
          <w:lang w:val="de-DE"/>
        </w:rPr>
        <w:t>Die Inhalte von languages.bwb.de werden im OpenText WSM Management Server im Projekt BWB_multilanguage redaktionell gepflegt, freigegeben und veröffentlicht. Die Seiten werden aus Contentklassen vom Typ „Seite“ aufgebaut und mit Inhaltsbausteinen vom Typ „Snippet“ angereichert. Header, Footer, Navigation und Breadcrumb werden über eigene Contentklassen erzeugt; technische Klassen wie before_all_includer, preexecute_container, preexecute_include, includes_collection, top_styles_and_scripts, bottom_scripts und global_labels steuern Einbindungen und projektweite Konfiguration. Die Contentklasse language_config steuert die Sprachkonfiguration, ENG_Styles und ENG_Collection weisen auf sprachbezogene Gestaltungs- und Sammelobjekte hin.</w:t>
      </w:r>
    </w:p>
    <w:p w14:paraId="5F96BDD2" w14:textId="77777777" w:rsidR="00E12F7F" w:rsidRPr="007F044D" w:rsidRDefault="00000000">
      <w:pPr>
        <w:shd w:val="clear" w:color="auto" w:fill="F8FAFC"/>
        <w:spacing w:after="160" w:line="264" w:lineRule="auto"/>
        <w:rPr>
          <w:lang w:val="de-DE"/>
        </w:rPr>
      </w:pPr>
      <w:r w:rsidRPr="007F044D">
        <w:rPr>
          <w:rFonts w:eastAsia="Calibri"/>
          <w:color w:val="000000"/>
          <w:sz w:val="19"/>
          <w:lang w:val="de-DE"/>
        </w:rPr>
        <w:t>Die veröffentlichten Inhalte werden unter languages.bwb.de ausgeliefert, getrennt nach Sprachpfaden /en/, /ar/, /pl/, /tr/ und /ru/. Da die Seiten-IDs über alle Sprachen identisch sind, spricht vieles dafür, dass die Sprachfassungen als Varianten desselben Seitenobjekts geführt werden und nicht als eigene Seitenbäume. Das erklärt, warum bei fünf Sprachen nur 17 Seitenobjekte im Report erscheinen. Diese Annahme ist BWB-seitig zu bestätigen. Das Consent-Management ist seitenübergreifend eingebunden.</w:t>
      </w:r>
    </w:p>
    <w:p w14:paraId="5F96BDD2" w14:textId="77777777" w:rsidR="00E12F7F" w:rsidRPr="007F044D" w:rsidRDefault="00000000">
      <w:pPr>
        <w:shd w:val="clear" w:color="auto" w:fill="F8FAFC"/>
        <w:spacing w:after="160" w:line="264" w:lineRule="auto"/>
        <w:rPr>
          <w:lang w:val="de-DE"/>
        </w:rPr>
      </w:pPr>
      <w:r w:rsidRPr="007F044D">
        <w:rPr>
          <w:rFonts w:eastAsia="Calibri"/>
          <w:color w:val="000000"/>
          <w:sz w:val="19"/>
          <w:lang w:val="de-DE"/>
        </w:rPr>
        <w:t>Interaktive Funktionen sind auf wenige Elemente beschränkt:</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sidRPr="007F044D">
        <w:rPr>
          <w:rFonts w:eastAsia="Calibri"/>
          <w:color w:val="000000"/>
          <w:sz w:val="19"/>
          <w:lang w:val="de-DE"/>
        </w:rPr>
        <w:t>Das Kontaktformular wird als Formcycle-Formular per JavaScript in die Seite geladen.</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sidRPr="007F044D">
        <w:rPr>
          <w:rFonts w:eastAsia="Calibri"/>
          <w:color w:val="000000"/>
          <w:sz w:val="19"/>
          <w:lang w:val="de-DE"/>
        </w:rPr>
        <w:t>Ein Kartenbaustein und zwei Embed-Boxen binden externe Inhalte ein.</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sidRPr="007F044D">
        <w:rPr>
          <w:rFonts w:eastAsia="Calibri"/>
          <w:color w:val="000000"/>
          <w:sz w:val="19"/>
          <w:lang w:val="de-DE"/>
        </w:rPr>
        <w:t>Die Service-Box mit Auswahlliste verzweigt in die Selbstbedienungsportale, und die Seite Kundenportal ist ein Weiterleiter, der per HTTP 302 auf kundenportal.bwb.de führt.</w:t>
      </w:r>
    </w:p>
    <w:p w14:paraId="5F96BDD2" w14:textId="77777777" w:rsidR="00E12F7F" w:rsidRPr="007F044D" w:rsidRDefault="00000000">
      <w:pPr>
        <w:spacing w:after="40" w:line="252" w:lineRule="auto"/>
        <w:shd w:val="clear" w:color="auto" w:fill="F8FAFC"/>
        <w:rPr>
          <w:lang w:val="de-DE"/>
        </w:rPr>
      </w:pPr>
      <w:r w:rsidRPr="007F044D">
        <w:rPr>
          <w:rFonts w:eastAsia="Calibri"/>
          <w:color w:val="000000"/>
          <w:sz w:val="19"/>
          <w:lang w:val="de-DE"/>
        </w:rPr>
        <w:t>Nach außen bestehen zahlreiche Verweise in das deutschsprachige Hauptangebot, das alle weiterführenden Funktionen trägt. Für die Migration ergibt sich daraus ein kleiner, überschaubarer Bestand mit einem Baustein-Set, das weitgehend eine Teilmenge des Projekts BWB_DE ist. Der eigentliche Aufwand liegt nicht in der Menge, sondern in der Mehrsprachigkeit: fünf Sprachfassungen, darunter mit Arabisch eine Sprache mit Schreibrichtung von rechts nach links, sowie die Abstimmung mit dem Hauptangebot.</w:t>
      </w:r>
    </w:p>
    <w:p w14:paraId="1C280665" w14:textId="77777777" w:rsidR="00E12F7F" w:rsidRDefault="00000000">
      <w:pPr>
        <w:pStyle w:val="berschrift1"/>
      </w:pPr>
      <w:r>
        <w:lastRenderedPageBreak/>
        <w:t>5  Besonderheiten und offene Punkte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200"/>
        <w:gridCol w:w="6000"/>
        <w:gridCol w:w="5370"/>
      </w:tblGrid>
      <w:tr w:rsidR="00E12F7F" w14:paraId="5EEC6D61" w14:textId="77777777">
        <w:trPr>
          <w:tblHeader/>
        </w:trPr>
        <w:tc>
          <w:tcPr>
            <w:shd w:val="clear" w:color="auto" w:fill="E8EEF5"/>
            <w:tcMar>
              <w:top w:w="80" w:type="dxa"/>
              <w:left w:w="120" w:type="dxa"/>
              <w:bottom w:w="80" w:type="dxa"/>
              <w:right w:w="120" w:type="dxa"/>
            </w:tcMar>
            <w:vAlign w:val="center"/>
            <w:tcW w:w="3200" w:type="dxa"/>
          </w:tcPr>
          <w:p w14:paraId="468A1DA5" w14:textId="77777777" w:rsidR="00E12F7F" w:rsidRDefault="00000000">
            <w:pPr>
              <w:spacing w:after="0" w:line="240" w:lineRule="auto"/>
            </w:pPr>
            <w:r>
              <w:rPr>
                <w:rFonts w:eastAsia="Calibri"/>
                <w:b/>
                <w:color w:val="1F4D78"/>
                <w:sz w:val="18"/>
              </w:rPr>
              <w:t>Thema</w:t>
            </w:r>
          </w:p>
        </w:tc>
        <w:tc>
          <w:tcPr>
            <w:shd w:val="clear" w:color="auto" w:fill="E8EEF5"/>
            <w:tcMar>
              <w:top w:w="80" w:type="dxa"/>
              <w:left w:w="120" w:type="dxa"/>
              <w:bottom w:w="80" w:type="dxa"/>
              <w:right w:w="120" w:type="dxa"/>
            </w:tcMar>
            <w:vAlign w:val="center"/>
            <w:tcW w:w="6000" w:type="dxa"/>
          </w:tcPr>
          <w:p w14:paraId="3BA00B53" w14:textId="77777777" w:rsidR="00E12F7F" w:rsidRDefault="00000000">
            <w:pPr>
              <w:spacing w:after="0" w:line="240" w:lineRule="auto"/>
            </w:pPr>
            <w:r>
              <w:rPr>
                <w:rFonts w:eastAsia="Calibri"/>
                <w:b/>
                <w:color w:val="1F4D78"/>
                <w:sz w:val="18"/>
              </w:rPr>
              <w:t>Kurze Beschreibung</w:t>
            </w:r>
          </w:p>
        </w:tc>
        <w:tc>
          <w:tcPr>
            <w:shd w:val="clear" w:color="auto" w:fill="E8EEF5"/>
            <w:tcMar>
              <w:top w:w="80" w:type="dxa"/>
              <w:left w:w="120" w:type="dxa"/>
              <w:bottom w:w="80" w:type="dxa"/>
              <w:right w:w="120" w:type="dxa"/>
            </w:tcMar>
            <w:vAlign w:val="center"/>
            <w:tcW w:w="5370" w:type="dxa"/>
          </w:tcPr>
          <w:p w14:paraId="05DF3477" w14:textId="77777777" w:rsidR="00E12F7F" w:rsidRDefault="00000000">
            <w:pPr>
              <w:spacing w:after="0" w:line="240" w:lineRule="auto"/>
            </w:pPr>
            <w:r>
              <w:rPr>
                <w:rFonts w:eastAsia="Calibri"/>
                <w:b/>
                <w:color w:val="1F4D78"/>
                <w:sz w:val="18"/>
              </w:rPr>
              <w:t>Bedeutung für Kalkulation / Migration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Sprachvarianten und Seitenmodell</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Bei fünf Sprachen weist der Report nur 17 Seiten und 1 Weiterleiter aus. Die über alle Sprachen identischen Seiten-IDs sprechen dafür, dass die Sprachfassungen als Varianten desselben Seitenobjekts geführt werden.</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Die tatsächlich ausgelieferte Seitenzahl liegt damit bei rund 85 bis 90 Seiten.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Das Zielsystem muss ein Sprachvariantenmodell abbilden, in dem eine Seite mehrere Sprachfassungen trägt und Struktur sowie Navigation gemeinsam gepflegt werden.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Die Annahme ist vor der Kalkulation zu bestätigen, da sie den Migrationsaufwand erheblich beeinflusst: Objektzahl und Inhaltsmenge unterscheiden sich hier um den Faktor fünf.</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Schreibrichtung Arabisch</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Mit Arabisch enthält das Angebot eine Sprache mit Schreibrichtung von rechts nach links. Ob die Auslieferung dafür eine eigene Richtungssteuerung setzt, war aus dem öffentlichen Angebot nicht sicher feststellbar.</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Templates, Navigation, Formulare und eingebettete Elemente müssen die Schreibrichtung von rechts nach links beherrschen. Dafür sind eigener Umsetzungs- und Testaufwand sowie eine gesonderte Abnahme einzuplanen.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Recherchestand; BWB-seitig zu bestätigen.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Schriftarten und Zeichensätze</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Das Angebot umfasst lateinische Schrift mit polnischen und türkischen Sonderzeichen, kyrillische Schrift für Russisch und arabische Schrift.</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Schriftarten, Webfont-Einbindung und Rückfallschriften sind für alle Schriftsysteme zu prüfen. Dies betrifft auch Überschriften, Auszeichnungen und PDF-Dokumente.</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Sprachbezogene Contentklassen</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Neben language_config bestehen die Contentklassen ENG_Styles (1 Objekt) und ENG_Collection (derzeit ohne Objekte). Die Benennung deutet auf sprachspezifische Gestaltungs- oder Sammelobjekte hin.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Vor der Migration ist zu klären, ob es sprachabhängige Abweichungen in Gestaltung oder Aufbau gibt. Falls ja, erhöht das den Aufwand für Templates und Abnahme je Sprache.</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Recherchestand.</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Reduzierter Funktionsumfang gegenüber bwb.de</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Das Angebot verzichtet auf Volltextsuche, Newsletter, Pressemitteilungen, Karriereinhalte, Veranstaltungen und die Rich-Media-Anwendungen des Hauptangebots.</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Contentklassen für Videos, Klickgalerien, Superzahlen, Icon-Blöcke und Jumbotron sind zwar vorhanden, aber ohne veröffentlichte Objekte.</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Der Nachbau ist deutlich kleiner als beim Hauptangebot. Das Baustein-Set ist weitgehend eine Teilmenge von BWB_DE, sodass sich bei gemeinsamer Umsetzung beider Projekte erhebliche Synergien ergeben.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Umgekehrt lohnt sich eine getrennte Beauftragung dieses Projekts kaum.</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Ungenutzte Contentklassen</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Von 67 Contentklassen sind 39 mit veröffentlichten Objekten belegt. Die übrigen 28 sind Navigationstemplates, die selbst nicht publiziert werden, oder derzeit ungenutzt.</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Vor der Migration sollte der Bestand bereinigt werden. Nur die tatsächlich benötigten Contentklassen sind nachzubauen; die Abgrenzung ist gemeinsam mit der Redaktion vorzunehmen.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Abhängigkeit vom Hauptangebot</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Mehrere zentrale Funktionen liegen nicht im Projekt, sondern werden auf bwb.de verlinkt, darunter die Trinkbrunnenkarte, die Serviceportale und das Gebührenblatt.</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Diese Ziele sind deutschsprachig, sodass Nutzende die Sprachfassung verlassen.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Bei der Migration sind beide Projekte aufeinander abzustimmen: Änderungen an URLs oder Seitenstrukturen im Hauptangebot wirken unmittelbar auf dieses Angebot.</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Ein Abgleich der Verweise nach der Umstellung ist einzuplanen.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Übergabepunkte zu Portalen</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Die Seite Kundenportal ist ein Weiterleiter auf kundenportal.bwb.de mit Anmeldung über login.bwb.de. Ergänzend führt eine Service-Box mit Auswahlliste in sechs weitere Portale.</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Diese Systeme sind nicht Migrationsgegenstand. Weiterleitung, Auswahlliste und Zielziele müssen im Zielsystem erhalten bleiben und getestet werden.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Barrierefreiheit</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Das Angebot verweist im Footer auf die deutschsprachige Erklärung zur Barrierefreiheit des Hauptangebots. Eine eigene Erklärung in den fünf Sprachen ist nicht erkennbar.</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BITV 2.0 und BIKTG Berlin gelten auch für dieses Angebot. Einzukalkulieren sind barrierefreie Templates, eine Prüfung nach dem Aufsetzen sowie eine eigene Erklärung zur Barrierefreiheit; bei mehrsprachigen Angeboten ist sie sinnvollerweise je Sprache bereitzustellen.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Besonderes Augenmerk verdient die Kombination aus Screenreader-Nutzung und Schreibrichtung von rechts nach links.</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Recherchestand.</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Redaktion und Übersetzung</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Aus dem Report ist kein Übersetzungsdienst und kein Übersetzungsworkflow ableitbar. Änderungen an Kerninhalten wirken sich jeweils auf fünf Sprachfassungen aus.</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Der Übersetzungsprozess ist BWB-seitig zu beschreiben. Für das Zielsystem ist zu klären, ob Übersetzungen im CMS verwaltet, exportiert oder über eine Schnittstelle angebunden werden sollen; das beeinflusst Konzeption und Redaktionsschulung.</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Frontend außerhalb des CMS</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Wie im Hauptangebot wurden HTML, CSS und JavaScript außerhalb des CMS entwickelt und über technische Contentklassen eingebunden.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Das Frontend ist eigenständig zu übernehmen oder neu aufzubauen. Wegen der gemeinsamen Herkunft mit bwb.de ist eine gemeinsame Betrachtung beider Projekte sinnvoll.</w:t>
            </w:r>
          </w:p>
        </w:tc>
      </w:tr>
    </w:tbl>
    <w:p w14:paraId="572887F1" w14:textId="77777777" w:rsidR="00E12F7F" w:rsidRDefault="00E12F7F">
      <w:pPr>
        <w:spacing w:after="20"/>
      </w:pPr>
    </w:p>
    <w:sectPr w:rsidR="00E12F7F" w:rsidRPr="007F044D" w:rsidSect="00034616">
      <w:headerReference w:type="default" r:id="rId8"/>
      <w:footerReference w:type="default" r:id="rId9"/>
      <w:pgSz w:w="16838" w:h="11906"/>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849FF" w14:textId="77777777" w:rsidR="00E34B15" w:rsidRDefault="00E34B15">
      <w:pPr>
        <w:spacing w:after="0" w:line="240" w:lineRule="auto"/>
      </w:pPr>
      <w:r>
        <w:separator/>
      </w:r>
    </w:p>
  </w:endnote>
  <w:endnote w:type="continuationSeparator" w:id="0">
    <w:p w14:paraId="53A4774D" w14:textId="77777777" w:rsidR="00E34B15" w:rsidRDefault="00E34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396A" w14:textId="77777777" w:rsidR="00E12F7F" w:rsidRDefault="00000000">
    <w:pPr>
      <w:pStyle w:val="Fuzeile"/>
      <w:jc w:val="right"/>
    </w:pPr>
    <w:r>
      <w:rPr>
        <w:rFonts w:eastAsia="Calibri"/>
        <w:color w:val="667482"/>
        <w:sz w:val="17"/>
      </w:rPr>
      <w:t xml:space="preserve">Seite </w:t>
    </w:r>
    <w:r>
      <w:rPr>
        <w:rFonts w:eastAsia="Calibri"/>
        <w:color w:val="667482"/>
        <w:sz w:val="17"/>
      </w:rPr>
      <w:fldChar w:fldCharType="begin"/>
    </w:r>
    <w:r>
      <w:rPr>
        <w:rFonts w:eastAsia="Calibri"/>
        <w:color w:val="667482"/>
        <w:sz w:val="17"/>
      </w:rPr>
      <w:instrText xml:space="preserve"> PAGE </w:instrText>
    </w:r>
    <w:r w:rsidR="007F044D">
      <w:rPr>
        <w:rFonts w:eastAsia="Calibri"/>
        <w:color w:val="667482"/>
        <w:sz w:val="17"/>
      </w:rPr>
      <w:fldChar w:fldCharType="separate"/>
    </w:r>
    <w:r w:rsidR="007F044D">
      <w:rPr>
        <w:rFonts w:eastAsia="Calibri"/>
        <w:noProof/>
        <w:color w:val="667482"/>
        <w:sz w:val="17"/>
      </w:rPr>
      <w:t>1</w:t>
    </w:r>
    <w:r>
      <w:rPr>
        <w:rFonts w:eastAsia="Calibri"/>
        <w:color w:val="66748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47A0D" w14:textId="77777777" w:rsidR="00E34B15" w:rsidRDefault="00E34B15">
      <w:pPr>
        <w:spacing w:after="0" w:line="240" w:lineRule="auto"/>
      </w:pPr>
      <w:r>
        <w:separator/>
      </w:r>
    </w:p>
  </w:footnote>
  <w:footnote w:type="continuationSeparator" w:id="0">
    <w:p w14:paraId="7497BCEC" w14:textId="77777777" w:rsidR="00E34B15" w:rsidRDefault="00E34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E114" w14:textId="77777777" w:rsidR="00E12F7F" w:rsidRDefault="00000000">
    <w:pPr>
      <w:pStyle w:val="Kopfzeile"/>
    </w:pPr>
    <w:r>
      <w:rPr>
        <w:rFonts w:eastAsia="Calibri"/>
        <w:b/>
        <w:color w:val="667482"/>
        <w:sz w:val="17"/>
      </w:rPr>
      <w:t>BWB · Projektsteckbrief Webprojekt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52735478">
    <w:abstractNumId w:val="8"/>
  </w:num>
  <w:num w:numId="2" w16cid:durableId="1156186988">
    <w:abstractNumId w:val="6"/>
  </w:num>
  <w:num w:numId="3" w16cid:durableId="87507078">
    <w:abstractNumId w:val="5"/>
  </w:num>
  <w:num w:numId="4" w16cid:durableId="445202677">
    <w:abstractNumId w:val="4"/>
  </w:num>
  <w:num w:numId="5" w16cid:durableId="634064357">
    <w:abstractNumId w:val="7"/>
  </w:num>
  <w:num w:numId="6" w16cid:durableId="175582803">
    <w:abstractNumId w:val="3"/>
  </w:num>
  <w:num w:numId="7" w16cid:durableId="895357815">
    <w:abstractNumId w:val="2"/>
  </w:num>
  <w:num w:numId="8" w16cid:durableId="2024741750">
    <w:abstractNumId w:val="1"/>
  </w:num>
  <w:num w:numId="9" w16cid:durableId="287589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val="1"/>
  <w:consecutiveHyphenLimit w:val="3"/>
  <w:hyphenationZone w:val="284"/>
  <w:doNotHyphenateCaps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28"/>
    <w:rsid w:val="0006063C"/>
    <w:rsid w:val="0015074B"/>
    <w:rsid w:val="0029639D"/>
    <w:rsid w:val="00326F90"/>
    <w:rsid w:val="00777129"/>
    <w:rsid w:val="007925E3"/>
    <w:rsid w:val="007F044D"/>
    <w:rsid w:val="00AA1D8D"/>
    <w:rsid w:val="00B47730"/>
    <w:rsid w:val="00CB0664"/>
    <w:rsid w:val="00E12F7F"/>
    <w:rsid w:val="00E34B15"/>
    <w:rsid w:val="00E653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B2931B"/>
  <w14:defaultImageDpi w14:val="300"/>
  <w15:docId w15:val="{29437170-B5D6-43A4-AEC3-6F893F6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3313F"/>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413</Words>
  <Characters>2609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Kurzvorlage Projektbeschreibung BWB-Webprojekt – Contentklassen</dc:title>
  <dc:subject>Kompakte Bestandsaufnahme für Ausschreibungsunterlagen</dc:subject>
  <dc:creator/>
  <cp:keywords/>
  <dc:description>generated by python-docx</dc:description>
  <cp:lastModifiedBy>Thomas Nommensen</cp:lastModifiedBy>
  <cp:revision>5</cp:revision>
  <dcterms:created xsi:type="dcterms:W3CDTF">2013-12-23T23:15:00Z</dcterms:created>
  <dcterms:modified xsi:type="dcterms:W3CDTF">2026-08-05T13:32:00Z</dcterms:modified>
  <cp:category/>
</cp:coreProperties>
</file>