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3FC95" w14:textId="77777777" w:rsidR="00896600" w:rsidRPr="002548A6" w:rsidRDefault="00896600" w:rsidP="00896600">
      <w:pPr>
        <w:spacing w:line="360" w:lineRule="auto"/>
        <w:rPr>
          <w:rFonts w:ascii="Cambria" w:hAnsi="Cambria"/>
        </w:rPr>
      </w:pPr>
      <w:r w:rsidRPr="002548A6">
        <w:rPr>
          <w:rFonts w:ascii="Cambria" w:hAnsi="Cambria"/>
        </w:rPr>
        <w:t xml:space="preserve">Thomas </w:t>
      </w:r>
      <w:proofErr w:type="spellStart"/>
      <w:r w:rsidRPr="002548A6">
        <w:rPr>
          <w:rFonts w:ascii="Cambria" w:hAnsi="Cambria"/>
        </w:rPr>
        <w:t>Plantin</w:t>
      </w:r>
      <w:proofErr w:type="spellEnd"/>
    </w:p>
    <w:p w14:paraId="114DDADD" w14:textId="211BE026" w:rsidR="00896600" w:rsidRPr="002548A6" w:rsidRDefault="00896600" w:rsidP="00896600">
      <w:pPr>
        <w:spacing w:line="360" w:lineRule="auto"/>
        <w:rPr>
          <w:rFonts w:ascii="Cambria" w:hAnsi="Cambria"/>
        </w:rPr>
      </w:pPr>
      <w:r>
        <w:rPr>
          <w:rFonts w:ascii="Cambria" w:hAnsi="Cambria"/>
        </w:rPr>
        <w:t>11</w:t>
      </w:r>
      <w:r w:rsidRPr="002548A6">
        <w:rPr>
          <w:rFonts w:ascii="Cambria" w:hAnsi="Cambria"/>
        </w:rPr>
        <w:t>/</w:t>
      </w:r>
      <w:r>
        <w:rPr>
          <w:rFonts w:ascii="Cambria" w:hAnsi="Cambria"/>
        </w:rPr>
        <w:t>07</w:t>
      </w:r>
      <w:r w:rsidRPr="002548A6">
        <w:rPr>
          <w:rFonts w:ascii="Cambria" w:hAnsi="Cambria"/>
        </w:rPr>
        <w:t>/19</w:t>
      </w:r>
    </w:p>
    <w:p w14:paraId="72D217FD" w14:textId="77777777" w:rsidR="00896600" w:rsidRDefault="00896600" w:rsidP="00896600">
      <w:pPr>
        <w:spacing w:line="360" w:lineRule="auto"/>
        <w:rPr>
          <w:rFonts w:ascii="Cambria" w:hAnsi="Cambria"/>
          <w:sz w:val="28"/>
          <w:szCs w:val="28"/>
        </w:rPr>
      </w:pPr>
    </w:p>
    <w:p w14:paraId="00EF3E99" w14:textId="374280D0" w:rsidR="00896600" w:rsidRDefault="00896600" w:rsidP="00896600">
      <w:pPr>
        <w:spacing w:line="360" w:lineRule="auto"/>
        <w:jc w:val="center"/>
        <w:rPr>
          <w:rFonts w:ascii="Cambria" w:hAnsi="Cambria"/>
          <w:b/>
          <w:bCs/>
          <w:sz w:val="28"/>
          <w:szCs w:val="28"/>
        </w:rPr>
      </w:pPr>
      <w:r w:rsidRPr="002548A6">
        <w:rPr>
          <w:rFonts w:ascii="Cambria" w:hAnsi="Cambria"/>
          <w:b/>
          <w:bCs/>
          <w:sz w:val="28"/>
          <w:szCs w:val="28"/>
        </w:rPr>
        <w:t>EE 396V – Homework #</w:t>
      </w:r>
      <w:r>
        <w:rPr>
          <w:rFonts w:ascii="Cambria" w:hAnsi="Cambria"/>
          <w:b/>
          <w:bCs/>
          <w:sz w:val="28"/>
          <w:szCs w:val="28"/>
        </w:rPr>
        <w:t>4</w:t>
      </w:r>
    </w:p>
    <w:p w14:paraId="17A3B8B9" w14:textId="787C4586" w:rsidR="00896600" w:rsidRDefault="00896600" w:rsidP="00896600">
      <w:pPr>
        <w:spacing w:line="360" w:lineRule="auto"/>
        <w:jc w:val="center"/>
        <w:rPr>
          <w:rFonts w:ascii="Cambria" w:hAnsi="Cambria"/>
        </w:rPr>
      </w:pPr>
    </w:p>
    <w:p w14:paraId="528418D8" w14:textId="30213079" w:rsidR="00896600" w:rsidRDefault="00896600" w:rsidP="00896600">
      <w:pPr>
        <w:spacing w:line="360" w:lineRule="auto"/>
        <w:jc w:val="both"/>
        <w:rPr>
          <w:rFonts w:ascii="Cambria" w:hAnsi="Cambria"/>
        </w:rPr>
      </w:pPr>
      <w:r>
        <w:rPr>
          <w:rFonts w:ascii="Cambria" w:hAnsi="Cambria"/>
          <w:u w:val="single"/>
        </w:rPr>
        <w:t>Problem 1:</w:t>
      </w:r>
    </w:p>
    <w:p w14:paraId="044D6AFA" w14:textId="290DA435" w:rsidR="00896600" w:rsidRDefault="00896600" w:rsidP="00896600">
      <w:pPr>
        <w:spacing w:line="360" w:lineRule="auto"/>
        <w:jc w:val="both"/>
        <w:rPr>
          <w:rFonts w:ascii="Cambria" w:hAnsi="Cambria"/>
        </w:rPr>
      </w:pPr>
    </w:p>
    <w:p w14:paraId="65B6A707" w14:textId="0065F8EE" w:rsidR="00896600" w:rsidRDefault="00896600" w:rsidP="00896600">
      <w:pPr>
        <w:spacing w:line="360" w:lineRule="auto"/>
        <w:jc w:val="both"/>
        <w:rPr>
          <w:rFonts w:ascii="Cambria" w:hAnsi="Cambria"/>
        </w:rPr>
      </w:pPr>
      <w:r>
        <w:rPr>
          <w:rFonts w:ascii="Cambria" w:hAnsi="Cambria"/>
        </w:rPr>
        <w:t>a)</w:t>
      </w:r>
      <w:r>
        <w:rPr>
          <w:rFonts w:ascii="Cambria" w:hAnsi="Cambria"/>
          <w:noProof/>
        </w:rPr>
        <w:drawing>
          <wp:inline distT="0" distB="0" distL="0" distR="0" wp14:anchorId="249E228E" wp14:editId="451637C2">
            <wp:extent cx="5819613" cy="4710404"/>
            <wp:effectExtent l="0" t="0" r="0" b="190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08 at 6.42.3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48093" cy="4733456"/>
                    </a:xfrm>
                    <a:prstGeom prst="rect">
                      <a:avLst/>
                    </a:prstGeom>
                  </pic:spPr>
                </pic:pic>
              </a:graphicData>
            </a:graphic>
          </wp:inline>
        </w:drawing>
      </w:r>
    </w:p>
    <w:p w14:paraId="301BBA20" w14:textId="5B628239" w:rsidR="00896600" w:rsidRDefault="000958C9" w:rsidP="007A688E">
      <w:pPr>
        <w:spacing w:line="360" w:lineRule="auto"/>
        <w:ind w:firstLine="720"/>
        <w:jc w:val="both"/>
        <w:rPr>
          <w:rFonts w:ascii="Cambria" w:hAnsi="Cambria"/>
        </w:rPr>
      </w:pPr>
      <w:r>
        <w:rPr>
          <w:rFonts w:ascii="Cambria" w:hAnsi="Cambria"/>
        </w:rPr>
        <w:t>The quantum and oxide capacitances behave differently as the surface potential augments. The quantum capacitance (blue) decreases linearly until it reaches zero, and then symmetrically shoots back up. On the other hand, the oxide capacitance (orange) increases, then flattens out around zero, and then increases again.</w:t>
      </w:r>
    </w:p>
    <w:p w14:paraId="3B793C35" w14:textId="2781DCCE" w:rsidR="00896600" w:rsidRDefault="00896600" w:rsidP="00896600">
      <w:pPr>
        <w:spacing w:line="360" w:lineRule="auto"/>
        <w:jc w:val="both"/>
        <w:rPr>
          <w:rFonts w:ascii="Cambria" w:hAnsi="Cambria"/>
        </w:rPr>
      </w:pPr>
      <w:r>
        <w:rPr>
          <w:rFonts w:ascii="Cambria" w:hAnsi="Cambria"/>
        </w:rPr>
        <w:lastRenderedPageBreak/>
        <w:t>b)</w:t>
      </w:r>
      <w:r w:rsidR="007A688E">
        <w:rPr>
          <w:rFonts w:ascii="Cambria" w:hAnsi="Cambria"/>
          <w:noProof/>
        </w:rPr>
        <w:drawing>
          <wp:inline distT="0" distB="0" distL="0" distR="0" wp14:anchorId="602817F5" wp14:editId="3D10D2F0">
            <wp:extent cx="5943600" cy="483933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8 at 6.43.0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3C008668" w14:textId="2D9EBD9F" w:rsidR="007A688E" w:rsidRDefault="007A688E" w:rsidP="00896600">
      <w:pPr>
        <w:spacing w:line="360" w:lineRule="auto"/>
        <w:jc w:val="both"/>
        <w:rPr>
          <w:rFonts w:ascii="Cambria" w:hAnsi="Cambria"/>
        </w:rPr>
      </w:pPr>
      <w:r>
        <w:rPr>
          <w:rFonts w:ascii="Cambria" w:hAnsi="Cambria"/>
        </w:rPr>
        <w:tab/>
      </w:r>
      <w:r w:rsidR="001D1632">
        <w:rPr>
          <w:rFonts w:ascii="Cambria" w:hAnsi="Cambria"/>
        </w:rPr>
        <w:t>The total capacitance (blue) increases as the surface potential augments. Similar to the oxide capacitance in part a, it also flattens out at zero, and then increases again. The given values show that this is quite interesting for transistor applications.</w:t>
      </w:r>
    </w:p>
    <w:p w14:paraId="22DD75E1" w14:textId="4CCCE6BE" w:rsidR="007A688E" w:rsidRDefault="007A688E" w:rsidP="00896600">
      <w:pPr>
        <w:spacing w:line="360" w:lineRule="auto"/>
        <w:jc w:val="both"/>
        <w:rPr>
          <w:rFonts w:ascii="Cambria" w:hAnsi="Cambria"/>
        </w:rPr>
      </w:pPr>
    </w:p>
    <w:p w14:paraId="6BBCD4B9" w14:textId="77777777" w:rsidR="000D5C47" w:rsidRDefault="000D5C47" w:rsidP="00896600">
      <w:pPr>
        <w:spacing w:line="360" w:lineRule="auto"/>
        <w:jc w:val="both"/>
        <w:rPr>
          <w:rFonts w:ascii="Cambria" w:hAnsi="Cambria"/>
        </w:rPr>
      </w:pPr>
    </w:p>
    <w:p w14:paraId="3CA8F325" w14:textId="7A653729" w:rsidR="00896600" w:rsidRDefault="00896600" w:rsidP="00896600">
      <w:pPr>
        <w:spacing w:line="360" w:lineRule="auto"/>
        <w:jc w:val="both"/>
        <w:rPr>
          <w:rFonts w:ascii="Cambria" w:hAnsi="Cambria"/>
        </w:rPr>
      </w:pPr>
      <w:r>
        <w:rPr>
          <w:rFonts w:ascii="Cambria" w:hAnsi="Cambria"/>
        </w:rPr>
        <w:t>c)</w:t>
      </w:r>
      <w:r w:rsidR="000D5C47">
        <w:rPr>
          <w:rFonts w:ascii="Cambria" w:hAnsi="Cambria"/>
        </w:rPr>
        <w:t xml:space="preserve"> </w:t>
      </w:r>
      <w:r w:rsidR="000D5C47">
        <w:rPr>
          <w:rFonts w:ascii="Cambria" w:hAnsi="Cambria"/>
        </w:rPr>
        <w:tab/>
      </w:r>
      <w:proofErr w:type="spellStart"/>
      <w:r w:rsidR="000D5C47">
        <w:rPr>
          <w:rFonts w:ascii="Cambria" w:hAnsi="Cambria"/>
        </w:rPr>
        <w:t>i</w:t>
      </w:r>
      <w:proofErr w:type="spellEnd"/>
      <w:r w:rsidR="000D5C47">
        <w:rPr>
          <w:rFonts w:ascii="Cambria" w:hAnsi="Cambria"/>
        </w:rPr>
        <w:t>. The dielectric thickness needed to access the quantum capacitance limit is from 1 to 5 nm. This is not all that practical to incorporate in today’s technology, since realistic transistors have a thickness of about 10nm.</w:t>
      </w:r>
    </w:p>
    <w:p w14:paraId="18022425" w14:textId="77777777" w:rsidR="000D5C47" w:rsidRDefault="000D5C47" w:rsidP="00896600">
      <w:pPr>
        <w:spacing w:line="360" w:lineRule="auto"/>
        <w:jc w:val="both"/>
        <w:rPr>
          <w:rFonts w:ascii="Cambria" w:hAnsi="Cambria"/>
        </w:rPr>
      </w:pPr>
    </w:p>
    <w:p w14:paraId="5B3410A9" w14:textId="332A4EDF" w:rsidR="000D5C47" w:rsidRDefault="000D5C47" w:rsidP="00896600">
      <w:pPr>
        <w:spacing w:line="360" w:lineRule="auto"/>
        <w:jc w:val="both"/>
        <w:rPr>
          <w:rFonts w:ascii="Cambria" w:hAnsi="Cambria"/>
        </w:rPr>
      </w:pPr>
      <w:r>
        <w:rPr>
          <w:rFonts w:ascii="Cambria" w:hAnsi="Cambria"/>
        </w:rPr>
        <w:tab/>
        <w:t>ii.  Assuming a higher-k dielectric with a robust thickness of 5 nm, the dielectric constant should be between 3 and 6 to access the quantum capacitance limit.</w:t>
      </w:r>
    </w:p>
    <w:p w14:paraId="4DCFEC47" w14:textId="4C0F9760" w:rsidR="00896600" w:rsidRDefault="00896600" w:rsidP="00896600">
      <w:pPr>
        <w:spacing w:line="360" w:lineRule="auto"/>
        <w:jc w:val="both"/>
        <w:rPr>
          <w:rFonts w:ascii="Cambria" w:hAnsi="Cambria"/>
        </w:rPr>
      </w:pPr>
      <w:r>
        <w:rPr>
          <w:rFonts w:ascii="Cambria" w:hAnsi="Cambria"/>
        </w:rPr>
        <w:lastRenderedPageBreak/>
        <w:t>d)</w:t>
      </w:r>
      <w:r w:rsidR="001A6DA9">
        <w:rPr>
          <w:rFonts w:ascii="Cambria" w:hAnsi="Cambria"/>
        </w:rPr>
        <w:t xml:space="preserve"> In the limit of a sheet of CNTs, the quantum capacitance of nanotubes approach that of graphene, but it is still greater </w:t>
      </w:r>
      <w:r w:rsidR="003C149B">
        <w:rPr>
          <w:rFonts w:ascii="Cambria" w:hAnsi="Cambria"/>
        </w:rPr>
        <w:t>because of the width of the sheet of nanotubes.</w:t>
      </w:r>
    </w:p>
    <w:p w14:paraId="31A737D3" w14:textId="77777777" w:rsidR="00967A6A" w:rsidRDefault="00967A6A">
      <w:pPr>
        <w:rPr>
          <w:rFonts w:ascii="Cambria" w:hAnsi="Cambria"/>
        </w:rPr>
      </w:pPr>
      <w:r>
        <w:rPr>
          <w:rFonts w:ascii="Cambria" w:hAnsi="Cambria"/>
        </w:rPr>
        <w:br w:type="page"/>
      </w:r>
    </w:p>
    <w:p w14:paraId="4F3F3CAF" w14:textId="35CACB9D" w:rsidR="00781B59" w:rsidRDefault="00781B59" w:rsidP="00896600">
      <w:pPr>
        <w:spacing w:line="360" w:lineRule="auto"/>
        <w:jc w:val="both"/>
        <w:rPr>
          <w:rFonts w:ascii="Cambria" w:hAnsi="Cambria"/>
        </w:rPr>
      </w:pPr>
      <w:r>
        <w:rPr>
          <w:rFonts w:ascii="Cambria" w:hAnsi="Cambria"/>
          <w:u w:val="single"/>
        </w:rPr>
        <w:lastRenderedPageBreak/>
        <w:t>Problem 2:</w:t>
      </w:r>
    </w:p>
    <w:p w14:paraId="72298AA2" w14:textId="286AFFF7" w:rsidR="00781B59" w:rsidRDefault="00967A6A" w:rsidP="00896600">
      <w:pPr>
        <w:spacing w:line="360" w:lineRule="auto"/>
        <w:jc w:val="both"/>
        <w:rPr>
          <w:rFonts w:ascii="Cambria" w:hAnsi="Cambria"/>
        </w:rPr>
      </w:pPr>
      <w:r>
        <w:rPr>
          <w:rFonts w:ascii="Cambria" w:hAnsi="Cambria"/>
          <w:noProof/>
        </w:rPr>
        <w:drawing>
          <wp:inline distT="0" distB="0" distL="0" distR="0" wp14:anchorId="1583CF46" wp14:editId="0A38C5F8">
            <wp:extent cx="5788617" cy="7732735"/>
            <wp:effectExtent l="0" t="0" r="3175" b="0"/>
            <wp:docPr id="4" name="Picture 4" descr="/Users/thomasplantin/Downloads/Hw4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omasplantin/Downloads/Hw4 2.pdf"/>
                    <pic:cNvPicPr>
                      <a:picLocks noChangeAspect="1" noChangeArrowheads="1"/>
                    </pic:cNvPicPr>
                  </pic:nvPicPr>
                  <pic:blipFill rotWithShape="1">
                    <a:blip r:embed="rId7">
                      <a:extLst>
                        <a:ext uri="{28A0092B-C50C-407E-A947-70E740481C1C}">
                          <a14:useLocalDpi xmlns:a14="http://schemas.microsoft.com/office/drawing/2010/main" val="0"/>
                        </a:ext>
                      </a:extLst>
                    </a:blip>
                    <a:srcRect l="12252" t="9462" r="12243" b="12655"/>
                    <a:stretch/>
                  </pic:blipFill>
                  <pic:spPr bwMode="auto">
                    <a:xfrm>
                      <a:off x="0" y="0"/>
                      <a:ext cx="5798665" cy="7746158"/>
                    </a:xfrm>
                    <a:prstGeom prst="rect">
                      <a:avLst/>
                    </a:prstGeom>
                    <a:noFill/>
                    <a:ln>
                      <a:noFill/>
                    </a:ln>
                    <a:extLst>
                      <a:ext uri="{53640926-AAD7-44D8-BBD7-CCE9431645EC}">
                        <a14:shadowObscured xmlns:a14="http://schemas.microsoft.com/office/drawing/2010/main"/>
                      </a:ext>
                    </a:extLst>
                  </pic:spPr>
                </pic:pic>
              </a:graphicData>
            </a:graphic>
          </wp:inline>
        </w:drawing>
      </w:r>
    </w:p>
    <w:p w14:paraId="4127CC7D" w14:textId="2EDCB4C6" w:rsidR="00781B59" w:rsidRDefault="00781B59" w:rsidP="00896600">
      <w:pPr>
        <w:spacing w:line="360" w:lineRule="auto"/>
        <w:jc w:val="both"/>
        <w:rPr>
          <w:rFonts w:ascii="Cambria" w:hAnsi="Cambria"/>
        </w:rPr>
      </w:pPr>
    </w:p>
    <w:p w14:paraId="08AF8BFB" w14:textId="77777777" w:rsidR="00967A6A" w:rsidRDefault="00967A6A">
      <w:pPr>
        <w:rPr>
          <w:rFonts w:ascii="Cambria" w:hAnsi="Cambria"/>
          <w:u w:val="single"/>
        </w:rPr>
      </w:pPr>
      <w:r>
        <w:rPr>
          <w:rFonts w:ascii="Cambria" w:hAnsi="Cambria"/>
          <w:u w:val="single"/>
        </w:rPr>
        <w:br w:type="page"/>
      </w:r>
    </w:p>
    <w:p w14:paraId="640FCFD7" w14:textId="771556CA" w:rsidR="00781B59" w:rsidRDefault="00781B59" w:rsidP="00896600">
      <w:pPr>
        <w:spacing w:line="360" w:lineRule="auto"/>
        <w:jc w:val="both"/>
        <w:rPr>
          <w:rFonts w:ascii="Cambria" w:hAnsi="Cambria"/>
        </w:rPr>
      </w:pPr>
      <w:r>
        <w:rPr>
          <w:rFonts w:ascii="Cambria" w:hAnsi="Cambria"/>
          <w:u w:val="single"/>
        </w:rPr>
        <w:lastRenderedPageBreak/>
        <w:t>Problem 3:</w:t>
      </w:r>
    </w:p>
    <w:p w14:paraId="7F9312C3" w14:textId="6AB07ADE" w:rsidR="00781B59" w:rsidRDefault="00781B59" w:rsidP="00896600">
      <w:pPr>
        <w:spacing w:line="360" w:lineRule="auto"/>
        <w:jc w:val="both"/>
        <w:rPr>
          <w:rFonts w:ascii="Cambria" w:hAnsi="Cambria"/>
        </w:rPr>
      </w:pPr>
    </w:p>
    <w:p w14:paraId="0F668B2A" w14:textId="1C7D72C1" w:rsidR="00DC24F1" w:rsidRDefault="00DC24F1" w:rsidP="00DC24F1">
      <w:pPr>
        <w:pStyle w:val="ListParagraph"/>
        <w:numPr>
          <w:ilvl w:val="0"/>
          <w:numId w:val="2"/>
        </w:numPr>
        <w:spacing w:line="360" w:lineRule="auto"/>
        <w:jc w:val="both"/>
        <w:rPr>
          <w:rFonts w:ascii="Cambria" w:hAnsi="Cambria"/>
        </w:rPr>
      </w:pPr>
      <w:r w:rsidRPr="00DC24F1">
        <w:rPr>
          <w:rFonts w:ascii="Cambria" w:hAnsi="Cambria"/>
        </w:rPr>
        <w:t>GNRs cannot match the performance of global level coppe</w:t>
      </w:r>
      <w:r>
        <w:rPr>
          <w:rFonts w:ascii="Cambria" w:hAnsi="Cambria"/>
        </w:rPr>
        <w:t>r</w:t>
      </w:r>
      <w:r w:rsidRPr="00DC24F1">
        <w:rPr>
          <w:rFonts w:ascii="Cambria" w:hAnsi="Cambria"/>
        </w:rPr>
        <w:t xml:space="preserve">, unless multiple layers along with proper intercalation doping is used and specular </w:t>
      </w:r>
      <w:proofErr w:type="spellStart"/>
      <w:r w:rsidRPr="00DC24F1">
        <w:rPr>
          <w:rFonts w:ascii="Cambria" w:hAnsi="Cambria"/>
        </w:rPr>
        <w:t>nano</w:t>
      </w:r>
      <w:proofErr w:type="spellEnd"/>
      <w:r w:rsidRPr="00DC24F1">
        <w:rPr>
          <w:rFonts w:ascii="Cambria" w:hAnsi="Cambria"/>
        </w:rPr>
        <w:t>-ribbon edge is achieved. However, multi-layer zigzag edged GNRs (</w:t>
      </w:r>
      <w:proofErr w:type="spellStart"/>
      <w:r w:rsidRPr="00DC24F1">
        <w:rPr>
          <w:rFonts w:ascii="Cambria" w:hAnsi="Cambria"/>
        </w:rPr>
        <w:t>zz</w:t>
      </w:r>
      <w:proofErr w:type="spellEnd"/>
      <w:r w:rsidRPr="00DC24F1">
        <w:rPr>
          <w:rFonts w:ascii="Cambria" w:hAnsi="Cambria"/>
        </w:rPr>
        <w:t xml:space="preserve">-GNRs) can be comparable to copper at the local </w:t>
      </w:r>
      <w:r w:rsidRPr="00DC24F1">
        <w:rPr>
          <w:rFonts w:ascii="Cambria" w:hAnsi="Cambria"/>
        </w:rPr>
        <w:t>level and</w:t>
      </w:r>
      <w:r w:rsidRPr="00DC24F1">
        <w:rPr>
          <w:rFonts w:ascii="Cambria" w:hAnsi="Cambria"/>
        </w:rPr>
        <w:t xml:space="preserve"> can better performance, implying possible application as local interconnects.</w:t>
      </w:r>
    </w:p>
    <w:p w14:paraId="13A8186E" w14:textId="0928F05D" w:rsidR="00915D24" w:rsidRDefault="00915D24" w:rsidP="00915D24">
      <w:pPr>
        <w:spacing w:line="360" w:lineRule="auto"/>
        <w:jc w:val="both"/>
        <w:rPr>
          <w:rFonts w:ascii="Cambria" w:hAnsi="Cambria"/>
        </w:rPr>
      </w:pPr>
    </w:p>
    <w:p w14:paraId="1AEE54E1" w14:textId="3E715345" w:rsidR="00915D24" w:rsidRPr="00915D24" w:rsidRDefault="00915D24" w:rsidP="00915D24">
      <w:pPr>
        <w:rPr>
          <w:rFonts w:ascii="Cambria" w:hAnsi="Cambria" w:cs="Helvetica Neue"/>
          <w:i/>
          <w:iCs/>
          <w:color w:val="000000"/>
        </w:rPr>
      </w:pPr>
      <w:r w:rsidRPr="00915D24">
        <w:rPr>
          <w:rFonts w:ascii="Cambria" w:hAnsi="Cambria"/>
          <w:b/>
          <w:bCs/>
          <w:i/>
          <w:iCs/>
          <w:u w:val="single"/>
        </w:rPr>
        <w:t>Source:</w:t>
      </w:r>
      <w:r w:rsidRPr="00915D24">
        <w:rPr>
          <w:rFonts w:ascii="Cambria" w:hAnsi="Cambria"/>
          <w:i/>
          <w:iCs/>
        </w:rPr>
        <w:t xml:space="preserve"> </w:t>
      </w:r>
      <w:r>
        <w:rPr>
          <w:rFonts w:ascii="Cambria" w:hAnsi="Cambria" w:cs="Helvetica Neue"/>
          <w:i/>
          <w:iCs/>
          <w:color w:val="000000"/>
        </w:rPr>
        <w:t>Xu</w:t>
      </w:r>
      <w:r w:rsidRPr="00915D24">
        <w:rPr>
          <w:rFonts w:ascii="Cambria" w:hAnsi="Cambria" w:cs="Helvetica Neue"/>
          <w:i/>
          <w:iCs/>
          <w:color w:val="000000"/>
        </w:rPr>
        <w:t xml:space="preserve">, </w:t>
      </w:r>
      <w:r>
        <w:rPr>
          <w:rFonts w:ascii="Cambria" w:hAnsi="Cambria" w:cs="Helvetica Neue"/>
          <w:i/>
          <w:iCs/>
          <w:color w:val="000000"/>
        </w:rPr>
        <w:t>C</w:t>
      </w:r>
      <w:r w:rsidRPr="00915D24">
        <w:rPr>
          <w:rFonts w:ascii="Cambria" w:hAnsi="Cambria" w:cs="Helvetica Neue"/>
          <w:i/>
          <w:iCs/>
          <w:color w:val="000000"/>
        </w:rPr>
        <w:t xml:space="preserve">.; </w:t>
      </w:r>
      <w:r>
        <w:rPr>
          <w:rFonts w:ascii="Cambria" w:hAnsi="Cambria" w:cs="Helvetica Neue"/>
          <w:i/>
          <w:iCs/>
          <w:color w:val="000000"/>
        </w:rPr>
        <w:t>Li</w:t>
      </w:r>
      <w:r w:rsidRPr="00915D24">
        <w:rPr>
          <w:rFonts w:ascii="Cambria" w:hAnsi="Cambria" w:cs="Helvetica Neue"/>
          <w:i/>
          <w:iCs/>
          <w:color w:val="000000"/>
        </w:rPr>
        <w:t xml:space="preserve"> </w:t>
      </w:r>
      <w:r>
        <w:rPr>
          <w:rFonts w:ascii="Cambria" w:hAnsi="Cambria" w:cs="Helvetica Neue"/>
          <w:i/>
          <w:iCs/>
          <w:color w:val="000000"/>
        </w:rPr>
        <w:t>H</w:t>
      </w:r>
      <w:r w:rsidRPr="00915D24">
        <w:rPr>
          <w:rFonts w:ascii="Cambria" w:hAnsi="Cambria" w:cs="Helvetica Neue"/>
          <w:i/>
          <w:iCs/>
          <w:color w:val="000000"/>
        </w:rPr>
        <w:t xml:space="preserve">.; </w:t>
      </w:r>
      <w:r>
        <w:rPr>
          <w:rFonts w:ascii="Cambria" w:hAnsi="Cambria" w:cs="Helvetica Neue"/>
          <w:i/>
          <w:iCs/>
          <w:color w:val="000000"/>
        </w:rPr>
        <w:t>Banerjee</w:t>
      </w:r>
      <w:r w:rsidRPr="00915D24">
        <w:rPr>
          <w:rFonts w:ascii="Cambria" w:hAnsi="Cambria" w:cs="Helvetica Neue"/>
          <w:i/>
          <w:iCs/>
          <w:color w:val="000000"/>
        </w:rPr>
        <w:t xml:space="preserve">, </w:t>
      </w:r>
      <w:r>
        <w:rPr>
          <w:rFonts w:ascii="Cambria" w:hAnsi="Cambria" w:cs="Helvetica Neue"/>
          <w:i/>
          <w:iCs/>
          <w:color w:val="000000"/>
        </w:rPr>
        <w:t>K</w:t>
      </w:r>
      <w:r w:rsidRPr="00915D24">
        <w:rPr>
          <w:rFonts w:ascii="Cambria" w:hAnsi="Cambria" w:cs="Helvetica Neue"/>
          <w:i/>
          <w:iCs/>
          <w:color w:val="000000"/>
        </w:rPr>
        <w:t xml:space="preserve">. “Graphene </w:t>
      </w:r>
      <w:proofErr w:type="spellStart"/>
      <w:r w:rsidRPr="00915D24">
        <w:rPr>
          <w:rFonts w:ascii="Cambria" w:hAnsi="Cambria" w:cs="Helvetica Neue"/>
          <w:i/>
          <w:iCs/>
          <w:color w:val="000000"/>
        </w:rPr>
        <w:t>nano</w:t>
      </w:r>
      <w:proofErr w:type="spellEnd"/>
      <w:r w:rsidRPr="00915D24">
        <w:rPr>
          <w:rFonts w:ascii="Cambria" w:hAnsi="Cambria" w:cs="Helvetica Neue"/>
          <w:i/>
          <w:iCs/>
          <w:color w:val="000000"/>
        </w:rPr>
        <w:t>-ribbon (GNR) interconnects: A genuine contender or a delusive dream?” 2008 IEEE International Electron Devices Meeting, San Francisco, CA, 2008, pp. 1-4.</w:t>
      </w:r>
      <w:r>
        <w:rPr>
          <w:rFonts w:ascii="Cambria" w:hAnsi="Cambria" w:cs="Helvetica Neue"/>
          <w:i/>
          <w:iCs/>
          <w:color w:val="000000"/>
        </w:rPr>
        <w:t xml:space="preserve"> </w:t>
      </w:r>
      <w:proofErr w:type="spellStart"/>
      <w:r w:rsidRPr="00915D24">
        <w:rPr>
          <w:rFonts w:ascii="Cambria" w:hAnsi="Cambria" w:cs="Helvetica Neue"/>
          <w:i/>
          <w:iCs/>
          <w:color w:val="000000"/>
        </w:rPr>
        <w:t>doi</w:t>
      </w:r>
      <w:proofErr w:type="spellEnd"/>
      <w:r w:rsidRPr="00915D24">
        <w:rPr>
          <w:rFonts w:ascii="Cambria" w:hAnsi="Cambria" w:cs="Helvetica Neue"/>
          <w:i/>
          <w:iCs/>
          <w:color w:val="000000"/>
        </w:rPr>
        <w:t>: 10.1109/IEDM.2008.4796651</w:t>
      </w:r>
      <w:r w:rsidRPr="00915D24">
        <w:rPr>
          <w:rFonts w:ascii="Cambria" w:hAnsi="Cambria" w:cs="Helvetica Neue"/>
          <w:i/>
          <w:iCs/>
          <w:color w:val="000000"/>
        </w:rPr>
        <w:t xml:space="preserve"> </w:t>
      </w:r>
      <w:r w:rsidRPr="00915D24">
        <w:rPr>
          <w:rFonts w:ascii="Cambria" w:hAnsi="Cambria" w:cs="Helvetica Neue"/>
          <w:i/>
          <w:iCs/>
          <w:color w:val="000000"/>
        </w:rPr>
        <w:t xml:space="preserve">[Accessed </w:t>
      </w:r>
      <w:r>
        <w:rPr>
          <w:rFonts w:ascii="Cambria" w:hAnsi="Cambria" w:cs="Helvetica Neue"/>
          <w:i/>
          <w:iCs/>
          <w:color w:val="000000"/>
        </w:rPr>
        <w:t>Nov.</w:t>
      </w:r>
      <w:r w:rsidRPr="00915D24">
        <w:rPr>
          <w:rFonts w:ascii="Cambria" w:hAnsi="Cambria" w:cs="Helvetica Neue"/>
          <w:i/>
          <w:iCs/>
          <w:color w:val="000000"/>
        </w:rPr>
        <w:t xml:space="preserve"> 8, 2019]</w:t>
      </w:r>
      <w:r w:rsidRPr="00915D24">
        <w:rPr>
          <w:rFonts w:ascii="Cambria" w:eastAsia="Times New Roman" w:hAnsi="Cambria" w:cstheme="minorHAnsi"/>
          <w:i/>
          <w:iCs/>
        </w:rPr>
        <w:t xml:space="preserve"> </w:t>
      </w:r>
    </w:p>
    <w:p w14:paraId="0299D18B" w14:textId="443AEA92" w:rsidR="00915D24" w:rsidRPr="00915D24" w:rsidRDefault="00915D24" w:rsidP="00915D24">
      <w:pPr>
        <w:spacing w:line="360" w:lineRule="auto"/>
        <w:jc w:val="both"/>
        <w:rPr>
          <w:rFonts w:ascii="Cambria" w:hAnsi="Cambria"/>
          <w:i/>
          <w:iCs/>
        </w:rPr>
      </w:pPr>
    </w:p>
    <w:p w14:paraId="7CA33BE9" w14:textId="1D3E4E03" w:rsidR="00915D24" w:rsidRDefault="00915D24" w:rsidP="00915D24">
      <w:pPr>
        <w:spacing w:line="360" w:lineRule="auto"/>
        <w:jc w:val="both"/>
        <w:rPr>
          <w:rFonts w:ascii="Cambria" w:hAnsi="Cambria"/>
        </w:rPr>
      </w:pPr>
    </w:p>
    <w:p w14:paraId="7A438002" w14:textId="77777777" w:rsidR="00915D24" w:rsidRPr="00915D24" w:rsidRDefault="00915D24" w:rsidP="00915D24">
      <w:pPr>
        <w:spacing w:line="360" w:lineRule="auto"/>
        <w:jc w:val="both"/>
        <w:rPr>
          <w:rFonts w:ascii="Cambria" w:hAnsi="Cambria"/>
        </w:rPr>
      </w:pPr>
    </w:p>
    <w:p w14:paraId="2FD86A94" w14:textId="67F85A0D" w:rsidR="00915D24" w:rsidRDefault="00915D24" w:rsidP="00DC24F1">
      <w:pPr>
        <w:pStyle w:val="ListParagraph"/>
        <w:numPr>
          <w:ilvl w:val="0"/>
          <w:numId w:val="2"/>
        </w:numPr>
        <w:spacing w:line="360" w:lineRule="auto"/>
        <w:jc w:val="both"/>
        <w:rPr>
          <w:rFonts w:ascii="Cambria" w:hAnsi="Cambria"/>
        </w:rPr>
      </w:pPr>
      <w:r w:rsidRPr="00915D24">
        <w:rPr>
          <w:rFonts w:ascii="Cambria" w:hAnsi="Cambria"/>
        </w:rPr>
        <w:t xml:space="preserve">It is shown that single-walled, double-walled, and multiwalled CNTs can provide better performance than that of </w:t>
      </w:r>
      <w:r w:rsidR="00AF665E">
        <w:rPr>
          <w:rFonts w:ascii="Cambria" w:hAnsi="Cambria"/>
        </w:rPr>
        <w:t>GNRs</w:t>
      </w:r>
      <w:r w:rsidRPr="00915D24">
        <w:rPr>
          <w:rFonts w:ascii="Cambria" w:hAnsi="Cambria"/>
        </w:rPr>
        <w:t>. However, in order to make GNR interconnects comparable with CNT interconnects, both intercalation doping and high edge-</w:t>
      </w:r>
      <w:proofErr w:type="spellStart"/>
      <w:r w:rsidRPr="00915D24">
        <w:rPr>
          <w:rFonts w:ascii="Cambria" w:hAnsi="Cambria"/>
        </w:rPr>
        <w:t>specularity</w:t>
      </w:r>
      <w:proofErr w:type="spellEnd"/>
      <w:r w:rsidRPr="00915D24">
        <w:rPr>
          <w:rFonts w:ascii="Cambria" w:hAnsi="Cambria"/>
        </w:rPr>
        <w:t xml:space="preserve"> must be achieved. Thermal analysis of CNTs shows significant advantages in tall </w:t>
      </w:r>
      <w:proofErr w:type="spellStart"/>
      <w:r w:rsidRPr="00915D24">
        <w:rPr>
          <w:rFonts w:ascii="Cambria" w:hAnsi="Cambria"/>
        </w:rPr>
        <w:t>vias</w:t>
      </w:r>
      <w:proofErr w:type="spellEnd"/>
      <w:r w:rsidRPr="00915D24">
        <w:rPr>
          <w:rFonts w:ascii="Cambria" w:hAnsi="Cambria"/>
        </w:rPr>
        <w:t xml:space="preserve">, indicating their promising application as through-silicon </w:t>
      </w:r>
      <w:proofErr w:type="spellStart"/>
      <w:r w:rsidRPr="00915D24">
        <w:rPr>
          <w:rFonts w:ascii="Cambria" w:hAnsi="Cambria"/>
        </w:rPr>
        <w:t>vias</w:t>
      </w:r>
      <w:proofErr w:type="spellEnd"/>
      <w:r w:rsidRPr="00915D24">
        <w:rPr>
          <w:rFonts w:ascii="Cambria" w:hAnsi="Cambria"/>
        </w:rPr>
        <w:t xml:space="preserve"> in 3-D ICs.</w:t>
      </w:r>
    </w:p>
    <w:p w14:paraId="673BEDC7" w14:textId="77777777" w:rsidR="00AF665E" w:rsidRPr="00AF665E" w:rsidRDefault="00AF665E" w:rsidP="00AF665E">
      <w:pPr>
        <w:spacing w:line="360" w:lineRule="auto"/>
        <w:ind w:left="360"/>
        <w:jc w:val="both"/>
        <w:rPr>
          <w:rFonts w:ascii="Cambria" w:hAnsi="Cambria"/>
        </w:rPr>
      </w:pPr>
    </w:p>
    <w:p w14:paraId="7048AF43" w14:textId="25A61B54" w:rsidR="00915D24" w:rsidRPr="00915D24" w:rsidRDefault="00915D24" w:rsidP="00915D24">
      <w:pPr>
        <w:ind w:left="360"/>
        <w:rPr>
          <w:rFonts w:ascii="Cambria" w:hAnsi="Cambria" w:cs="Helvetica Neue"/>
          <w:i/>
          <w:iCs/>
          <w:color w:val="000000"/>
        </w:rPr>
      </w:pPr>
      <w:r w:rsidRPr="00915D24">
        <w:rPr>
          <w:rFonts w:ascii="Cambria" w:hAnsi="Cambria"/>
          <w:b/>
          <w:bCs/>
          <w:i/>
          <w:iCs/>
          <w:u w:val="single"/>
        </w:rPr>
        <w:t>Source:</w:t>
      </w:r>
      <w:r w:rsidRPr="00915D24">
        <w:rPr>
          <w:rFonts w:ascii="Cambria" w:hAnsi="Cambria"/>
          <w:i/>
          <w:iCs/>
        </w:rPr>
        <w:t xml:space="preserve"> </w:t>
      </w:r>
      <w:r w:rsidRPr="00915D24">
        <w:rPr>
          <w:rFonts w:ascii="Cambria" w:hAnsi="Cambria" w:cs="Helvetica Neue"/>
          <w:i/>
          <w:iCs/>
          <w:color w:val="000000"/>
        </w:rPr>
        <w:t xml:space="preserve">H. Li, C. Xu, N. Srivastava and K. Banerjee, "Carbon Nanomaterials for Next-Generation Interconnects and Passives: Physics, Status, and Prospects," in IEEE Transactions on Electron Devices, vol. 56, no. 9, pp. 1799-1821, Sept. 2009. </w:t>
      </w:r>
      <w:proofErr w:type="spellStart"/>
      <w:r w:rsidRPr="00915D24">
        <w:rPr>
          <w:rFonts w:ascii="Cambria" w:hAnsi="Cambria" w:cs="Helvetica Neue"/>
          <w:i/>
          <w:iCs/>
          <w:color w:val="000000"/>
        </w:rPr>
        <w:t>doi</w:t>
      </w:r>
      <w:proofErr w:type="spellEnd"/>
      <w:r w:rsidRPr="00915D24">
        <w:rPr>
          <w:rFonts w:ascii="Cambria" w:hAnsi="Cambria" w:cs="Helvetica Neue"/>
          <w:i/>
          <w:iCs/>
          <w:color w:val="000000"/>
        </w:rPr>
        <w:t>: 10.1109/TED.2009.2026524</w:t>
      </w:r>
      <w:r w:rsidRPr="00915D24">
        <w:rPr>
          <w:rFonts w:ascii="Cambria" w:hAnsi="Cambria" w:cs="Helvetica Neue"/>
          <w:i/>
          <w:iCs/>
          <w:color w:val="000000"/>
        </w:rPr>
        <w:t xml:space="preserve"> </w:t>
      </w:r>
      <w:r w:rsidRPr="00915D24">
        <w:rPr>
          <w:rFonts w:ascii="Cambria" w:hAnsi="Cambria" w:cs="Helvetica Neue"/>
          <w:i/>
          <w:iCs/>
          <w:color w:val="000000"/>
        </w:rPr>
        <w:t>[Accessed Nov. 8, 2019]</w:t>
      </w:r>
      <w:r w:rsidRPr="00915D24">
        <w:rPr>
          <w:rFonts w:ascii="Cambria" w:eastAsia="Times New Roman" w:hAnsi="Cambria" w:cstheme="minorHAnsi"/>
          <w:i/>
          <w:iCs/>
        </w:rPr>
        <w:t xml:space="preserve"> </w:t>
      </w:r>
    </w:p>
    <w:p w14:paraId="02095BC3" w14:textId="3F0F76D0" w:rsidR="00915D24" w:rsidRDefault="00915D24" w:rsidP="00915D24">
      <w:pPr>
        <w:spacing w:line="360" w:lineRule="auto"/>
        <w:jc w:val="both"/>
        <w:rPr>
          <w:rFonts w:ascii="Cambria" w:hAnsi="Cambria"/>
        </w:rPr>
      </w:pPr>
    </w:p>
    <w:p w14:paraId="4F4DDA7C" w14:textId="78C3A77A" w:rsidR="00967A6A" w:rsidRDefault="00967A6A" w:rsidP="00915D24">
      <w:pPr>
        <w:spacing w:line="360" w:lineRule="auto"/>
        <w:jc w:val="both"/>
        <w:rPr>
          <w:rFonts w:ascii="Cambria" w:hAnsi="Cambria"/>
        </w:rPr>
      </w:pPr>
    </w:p>
    <w:p w14:paraId="04FCEAC3" w14:textId="75C6DCA1" w:rsidR="00967A6A" w:rsidRDefault="00967A6A" w:rsidP="00915D24">
      <w:pPr>
        <w:spacing w:line="360" w:lineRule="auto"/>
        <w:jc w:val="both"/>
        <w:rPr>
          <w:rFonts w:ascii="Cambria" w:hAnsi="Cambria"/>
        </w:rPr>
      </w:pPr>
    </w:p>
    <w:p w14:paraId="690B099E" w14:textId="677CD96C" w:rsidR="00967A6A" w:rsidRDefault="00967A6A" w:rsidP="00915D24">
      <w:pPr>
        <w:spacing w:line="360" w:lineRule="auto"/>
        <w:jc w:val="both"/>
        <w:rPr>
          <w:rFonts w:ascii="Cambria" w:hAnsi="Cambria"/>
        </w:rPr>
      </w:pPr>
    </w:p>
    <w:p w14:paraId="3BADFB12" w14:textId="1C85BE87" w:rsidR="00967A6A" w:rsidRDefault="00967A6A" w:rsidP="00915D24">
      <w:pPr>
        <w:spacing w:line="360" w:lineRule="auto"/>
        <w:jc w:val="both"/>
        <w:rPr>
          <w:rFonts w:ascii="Cambria" w:hAnsi="Cambria"/>
        </w:rPr>
      </w:pPr>
    </w:p>
    <w:p w14:paraId="51EB047A" w14:textId="4017A871" w:rsidR="00967A6A" w:rsidRDefault="00967A6A" w:rsidP="00915D24">
      <w:pPr>
        <w:spacing w:line="360" w:lineRule="auto"/>
        <w:jc w:val="both"/>
        <w:rPr>
          <w:rFonts w:ascii="Cambria" w:hAnsi="Cambria"/>
        </w:rPr>
      </w:pPr>
    </w:p>
    <w:p w14:paraId="66A5D502" w14:textId="77777777" w:rsidR="00967A6A" w:rsidRDefault="00967A6A" w:rsidP="00915D24">
      <w:pPr>
        <w:spacing w:line="360" w:lineRule="auto"/>
        <w:jc w:val="both"/>
        <w:rPr>
          <w:rFonts w:ascii="Cambria" w:hAnsi="Cambria"/>
        </w:rPr>
      </w:pPr>
    </w:p>
    <w:p w14:paraId="36ADAF10" w14:textId="77777777" w:rsidR="00915D24" w:rsidRPr="00915D24" w:rsidRDefault="00915D24" w:rsidP="00915D24">
      <w:pPr>
        <w:spacing w:line="360" w:lineRule="auto"/>
        <w:jc w:val="both"/>
        <w:rPr>
          <w:rFonts w:ascii="Cambria" w:hAnsi="Cambria"/>
        </w:rPr>
      </w:pPr>
    </w:p>
    <w:p w14:paraId="36E16CA5" w14:textId="197FFFA1" w:rsidR="00915D24" w:rsidRDefault="001C11C1" w:rsidP="00DC24F1">
      <w:pPr>
        <w:pStyle w:val="ListParagraph"/>
        <w:numPr>
          <w:ilvl w:val="0"/>
          <w:numId w:val="2"/>
        </w:numPr>
        <w:spacing w:line="360" w:lineRule="auto"/>
        <w:jc w:val="both"/>
        <w:rPr>
          <w:rFonts w:ascii="Cambria" w:hAnsi="Cambria"/>
        </w:rPr>
      </w:pPr>
      <w:r>
        <w:rPr>
          <w:rFonts w:ascii="Cambria" w:hAnsi="Cambria"/>
        </w:rPr>
        <w:lastRenderedPageBreak/>
        <w:t>CNTs can carry the highest current density (10</w:t>
      </w:r>
      <w:r>
        <w:rPr>
          <w:rFonts w:ascii="Cambria" w:hAnsi="Cambria"/>
          <w:vertAlign w:val="superscript"/>
        </w:rPr>
        <w:t>9</w:t>
      </w:r>
      <w:r>
        <w:rPr>
          <w:rFonts w:ascii="Cambria" w:hAnsi="Cambria"/>
        </w:rPr>
        <w:t xml:space="preserve"> A/cm</w:t>
      </w:r>
      <w:r>
        <w:rPr>
          <w:rFonts w:ascii="Cambria" w:hAnsi="Cambria"/>
          <w:vertAlign w:val="superscript"/>
        </w:rPr>
        <w:t>2</w:t>
      </w:r>
      <w:r>
        <w:rPr>
          <w:rFonts w:ascii="Cambria" w:hAnsi="Cambria"/>
        </w:rPr>
        <w:t xml:space="preserve">), followed by GNRs </w:t>
      </w:r>
      <w:r>
        <w:rPr>
          <w:rFonts w:ascii="Cambria" w:hAnsi="Cambria"/>
        </w:rPr>
        <w:t>(10</w:t>
      </w:r>
      <w:r>
        <w:rPr>
          <w:rFonts w:ascii="Cambria" w:hAnsi="Cambria"/>
          <w:vertAlign w:val="superscript"/>
        </w:rPr>
        <w:t>8</w:t>
      </w:r>
      <w:r>
        <w:rPr>
          <w:rFonts w:ascii="Cambria" w:hAnsi="Cambria"/>
        </w:rPr>
        <w:t xml:space="preserve"> A/cm</w:t>
      </w:r>
      <w:r>
        <w:rPr>
          <w:rFonts w:ascii="Cambria" w:hAnsi="Cambria"/>
          <w:vertAlign w:val="superscript"/>
        </w:rPr>
        <w:t>2</w:t>
      </w:r>
      <w:r>
        <w:rPr>
          <w:rFonts w:ascii="Cambria" w:hAnsi="Cambria"/>
        </w:rPr>
        <w:t>),</w:t>
      </w:r>
      <w:r>
        <w:rPr>
          <w:rFonts w:ascii="Cambria" w:hAnsi="Cambria"/>
        </w:rPr>
        <w:t xml:space="preserve"> and finally Cu </w:t>
      </w:r>
      <w:r>
        <w:rPr>
          <w:rFonts w:ascii="Cambria" w:hAnsi="Cambria"/>
        </w:rPr>
        <w:t>(10</w:t>
      </w:r>
      <w:r>
        <w:rPr>
          <w:rFonts w:ascii="Cambria" w:hAnsi="Cambria"/>
          <w:vertAlign w:val="superscript"/>
        </w:rPr>
        <w:t>6</w:t>
      </w:r>
      <w:r>
        <w:rPr>
          <w:rFonts w:ascii="Cambria" w:hAnsi="Cambria"/>
        </w:rPr>
        <w:t xml:space="preserve"> </w:t>
      </w:r>
      <w:r>
        <w:rPr>
          <w:rFonts w:ascii="Cambria" w:hAnsi="Cambria"/>
        </w:rPr>
        <w:t>– 10</w:t>
      </w:r>
      <w:r>
        <w:rPr>
          <w:rFonts w:ascii="Cambria" w:hAnsi="Cambria"/>
          <w:vertAlign w:val="superscript"/>
        </w:rPr>
        <w:t>7</w:t>
      </w:r>
      <w:r>
        <w:rPr>
          <w:rFonts w:ascii="Cambria" w:hAnsi="Cambria"/>
        </w:rPr>
        <w:t xml:space="preserve"> </w:t>
      </w:r>
      <w:r>
        <w:rPr>
          <w:rFonts w:ascii="Cambria" w:hAnsi="Cambria"/>
        </w:rPr>
        <w:t>A/cm</w:t>
      </w:r>
      <w:r>
        <w:rPr>
          <w:rFonts w:ascii="Cambria" w:hAnsi="Cambria"/>
          <w:vertAlign w:val="superscript"/>
        </w:rPr>
        <w:t>2</w:t>
      </w:r>
      <w:r>
        <w:rPr>
          <w:rFonts w:ascii="Cambria" w:hAnsi="Cambria"/>
        </w:rPr>
        <w:t>)</w:t>
      </w:r>
      <w:r>
        <w:rPr>
          <w:rFonts w:ascii="Cambria" w:hAnsi="Cambria"/>
        </w:rPr>
        <w:t>.</w:t>
      </w:r>
    </w:p>
    <w:p w14:paraId="5E7E8247" w14:textId="77777777" w:rsidR="001C11C1" w:rsidRPr="001C11C1" w:rsidRDefault="001C11C1" w:rsidP="001C11C1">
      <w:pPr>
        <w:spacing w:line="360" w:lineRule="auto"/>
        <w:jc w:val="both"/>
        <w:rPr>
          <w:rFonts w:ascii="Cambria" w:hAnsi="Cambria"/>
        </w:rPr>
      </w:pPr>
    </w:p>
    <w:p w14:paraId="78914312" w14:textId="77777777" w:rsidR="001C11C1" w:rsidRPr="001C11C1" w:rsidRDefault="001C11C1" w:rsidP="001C11C1">
      <w:pPr>
        <w:ind w:left="360"/>
        <w:rPr>
          <w:rFonts w:ascii="Cambria" w:hAnsi="Cambria"/>
          <w:i/>
          <w:iCs/>
        </w:rPr>
      </w:pPr>
      <w:r w:rsidRPr="001C11C1">
        <w:rPr>
          <w:rFonts w:ascii="Cambria" w:hAnsi="Cambria"/>
          <w:b/>
          <w:bCs/>
          <w:i/>
          <w:iCs/>
          <w:u w:val="single"/>
        </w:rPr>
        <w:t>Sources:</w:t>
      </w:r>
      <w:r w:rsidRPr="001C11C1">
        <w:rPr>
          <w:rFonts w:ascii="Cambria" w:hAnsi="Cambria"/>
          <w:i/>
          <w:iCs/>
        </w:rPr>
        <w:t xml:space="preserve"> </w:t>
      </w:r>
    </w:p>
    <w:p w14:paraId="77C70086" w14:textId="77777777" w:rsidR="001C11C1" w:rsidRPr="001C11C1" w:rsidRDefault="001C11C1" w:rsidP="001C11C1">
      <w:pPr>
        <w:ind w:left="360"/>
        <w:rPr>
          <w:rFonts w:ascii="Cambria" w:eastAsia="Times New Roman" w:hAnsi="Cambria" w:cstheme="minorHAnsi"/>
          <w:i/>
          <w:iCs/>
        </w:rPr>
      </w:pPr>
      <w:r w:rsidRPr="001C11C1">
        <w:rPr>
          <w:rFonts w:ascii="Cambria" w:hAnsi="Cambria" w:cs="Helvetica Neue"/>
          <w:i/>
          <w:iCs/>
          <w:color w:val="000000"/>
        </w:rPr>
        <w:t>Xu, C.; Yang Y.; Brenner, K. “Breakdown Current Density of Graphene Nano Ribbons” [Accessed Nov. 8, 2019]</w:t>
      </w:r>
      <w:r w:rsidRPr="001C11C1">
        <w:rPr>
          <w:rFonts w:ascii="Cambria" w:eastAsia="Times New Roman" w:hAnsi="Cambria" w:cstheme="minorHAnsi"/>
          <w:i/>
          <w:iCs/>
        </w:rPr>
        <w:t xml:space="preserve"> </w:t>
      </w:r>
    </w:p>
    <w:p w14:paraId="286BFF9B" w14:textId="77777777" w:rsidR="001C11C1" w:rsidRPr="001C11C1" w:rsidRDefault="001C11C1" w:rsidP="001C11C1">
      <w:pPr>
        <w:ind w:left="360"/>
        <w:rPr>
          <w:rFonts w:ascii="Cambria" w:eastAsia="Times New Roman" w:hAnsi="Cambria" w:cstheme="minorHAnsi"/>
          <w:i/>
          <w:iCs/>
        </w:rPr>
      </w:pPr>
    </w:p>
    <w:p w14:paraId="52399893" w14:textId="77777777" w:rsidR="001C11C1" w:rsidRPr="001C11C1" w:rsidRDefault="001C11C1" w:rsidP="001C11C1">
      <w:pPr>
        <w:ind w:left="360"/>
        <w:rPr>
          <w:rFonts w:ascii="Cambria" w:eastAsia="Times New Roman" w:hAnsi="Cambria" w:cstheme="minorHAnsi"/>
          <w:i/>
          <w:iCs/>
        </w:rPr>
      </w:pPr>
      <w:r w:rsidRPr="001C11C1">
        <w:rPr>
          <w:rFonts w:ascii="Cambria" w:hAnsi="Cambria" w:cs="Helvetica Neue"/>
          <w:i/>
          <w:iCs/>
          <w:color w:val="000000"/>
        </w:rPr>
        <w:t xml:space="preserve">Murali, R.; Li H.; Banerjee, K. “Graphene </w:t>
      </w:r>
      <w:proofErr w:type="spellStart"/>
      <w:r w:rsidRPr="001C11C1">
        <w:rPr>
          <w:rFonts w:ascii="Cambria" w:hAnsi="Cambria" w:cs="Helvetica Neue"/>
          <w:i/>
          <w:iCs/>
          <w:color w:val="000000"/>
        </w:rPr>
        <w:t>nano</w:t>
      </w:r>
      <w:proofErr w:type="spellEnd"/>
      <w:r w:rsidRPr="001C11C1">
        <w:rPr>
          <w:rFonts w:ascii="Cambria" w:hAnsi="Cambria" w:cs="Helvetica Neue"/>
          <w:i/>
          <w:iCs/>
          <w:color w:val="000000"/>
        </w:rPr>
        <w:t xml:space="preserve">-ribbon (GNR) interconnects: A genuine contender or a delusive dream?” 2008 IEEE International Electron Devices Meeting, San Francisco, CA, 2008, pp. 1-4. </w:t>
      </w:r>
      <w:proofErr w:type="spellStart"/>
      <w:r w:rsidRPr="001C11C1">
        <w:rPr>
          <w:rFonts w:ascii="Cambria" w:hAnsi="Cambria" w:cs="Helvetica Neue"/>
          <w:i/>
          <w:iCs/>
          <w:color w:val="000000"/>
        </w:rPr>
        <w:t>doi</w:t>
      </w:r>
      <w:proofErr w:type="spellEnd"/>
      <w:r w:rsidRPr="001C11C1">
        <w:rPr>
          <w:rFonts w:ascii="Cambria" w:hAnsi="Cambria" w:cs="Helvetica Neue"/>
          <w:i/>
          <w:iCs/>
          <w:color w:val="000000"/>
        </w:rPr>
        <w:t>: 10.1109/IEDM.2008.4796651 [Accessed Nov. 8, 2019]</w:t>
      </w:r>
      <w:r w:rsidRPr="001C11C1">
        <w:rPr>
          <w:rFonts w:ascii="Cambria" w:eastAsia="Times New Roman" w:hAnsi="Cambria" w:cstheme="minorHAnsi"/>
          <w:i/>
          <w:iCs/>
        </w:rPr>
        <w:t xml:space="preserve"> </w:t>
      </w:r>
    </w:p>
    <w:p w14:paraId="0D0159E9" w14:textId="7FDC29B5" w:rsidR="001C11C1" w:rsidRDefault="001C11C1" w:rsidP="001C11C1">
      <w:pPr>
        <w:spacing w:line="360" w:lineRule="auto"/>
        <w:jc w:val="both"/>
        <w:rPr>
          <w:rFonts w:ascii="Cambria" w:hAnsi="Cambria"/>
        </w:rPr>
      </w:pPr>
    </w:p>
    <w:p w14:paraId="3C38FB37" w14:textId="77777777" w:rsidR="001C11C1" w:rsidRPr="001C11C1" w:rsidRDefault="001C11C1" w:rsidP="001C11C1">
      <w:pPr>
        <w:spacing w:line="360" w:lineRule="auto"/>
        <w:jc w:val="both"/>
        <w:rPr>
          <w:rFonts w:ascii="Cambria" w:hAnsi="Cambria"/>
        </w:rPr>
      </w:pPr>
    </w:p>
    <w:p w14:paraId="6569E577" w14:textId="06C88A8D" w:rsidR="006D09B1" w:rsidRDefault="006D09B1" w:rsidP="006D09B1">
      <w:pPr>
        <w:pStyle w:val="ListParagraph"/>
        <w:numPr>
          <w:ilvl w:val="0"/>
          <w:numId w:val="2"/>
        </w:numPr>
        <w:spacing w:line="360" w:lineRule="auto"/>
        <w:jc w:val="both"/>
        <w:rPr>
          <w:rFonts w:ascii="Cambria" w:hAnsi="Cambria"/>
        </w:rPr>
      </w:pPr>
      <w:r>
        <w:rPr>
          <w:rFonts w:ascii="Cambria" w:hAnsi="Cambria"/>
        </w:rPr>
        <w:t>The current challenges that need to be overcome to realize high performance GNRs are to match the performance of copper interconnects without implementing multiple levels and without worrying about using proper intercalation doping.</w:t>
      </w:r>
    </w:p>
    <w:p w14:paraId="26C52173" w14:textId="77777777" w:rsidR="006D09B1" w:rsidRPr="006D09B1" w:rsidRDefault="006D09B1" w:rsidP="006D09B1">
      <w:pPr>
        <w:spacing w:line="360" w:lineRule="auto"/>
        <w:ind w:left="360"/>
        <w:jc w:val="both"/>
        <w:rPr>
          <w:rFonts w:ascii="Cambria" w:hAnsi="Cambria"/>
        </w:rPr>
      </w:pPr>
    </w:p>
    <w:p w14:paraId="67D4C627" w14:textId="77777777" w:rsidR="006D09B1" w:rsidRPr="006D09B1" w:rsidRDefault="006D09B1" w:rsidP="006D09B1">
      <w:pPr>
        <w:ind w:left="360"/>
        <w:rPr>
          <w:rFonts w:ascii="Cambria" w:hAnsi="Cambria" w:cs="Helvetica Neue"/>
          <w:i/>
          <w:iCs/>
          <w:color w:val="000000"/>
        </w:rPr>
      </w:pPr>
      <w:r w:rsidRPr="006D09B1">
        <w:rPr>
          <w:rFonts w:ascii="Cambria" w:hAnsi="Cambria"/>
          <w:b/>
          <w:bCs/>
          <w:i/>
          <w:iCs/>
          <w:u w:val="single"/>
        </w:rPr>
        <w:t>Source:</w:t>
      </w:r>
      <w:r w:rsidRPr="006D09B1">
        <w:rPr>
          <w:rFonts w:ascii="Cambria" w:hAnsi="Cambria"/>
          <w:i/>
          <w:iCs/>
        </w:rPr>
        <w:t xml:space="preserve"> </w:t>
      </w:r>
      <w:r w:rsidRPr="006D09B1">
        <w:rPr>
          <w:rFonts w:ascii="Cambria" w:hAnsi="Cambria" w:cs="Helvetica Neue"/>
          <w:i/>
          <w:iCs/>
          <w:color w:val="000000"/>
        </w:rPr>
        <w:t xml:space="preserve">Xu, C.; Li H.; Banerjee, K. “Graphene </w:t>
      </w:r>
      <w:proofErr w:type="spellStart"/>
      <w:r w:rsidRPr="006D09B1">
        <w:rPr>
          <w:rFonts w:ascii="Cambria" w:hAnsi="Cambria" w:cs="Helvetica Neue"/>
          <w:i/>
          <w:iCs/>
          <w:color w:val="000000"/>
        </w:rPr>
        <w:t>nano</w:t>
      </w:r>
      <w:proofErr w:type="spellEnd"/>
      <w:r w:rsidRPr="006D09B1">
        <w:rPr>
          <w:rFonts w:ascii="Cambria" w:hAnsi="Cambria" w:cs="Helvetica Neue"/>
          <w:i/>
          <w:iCs/>
          <w:color w:val="000000"/>
        </w:rPr>
        <w:t xml:space="preserve">-ribbon (GNR) interconnects: A genuine contender or a delusive dream?” 2008 IEEE International Electron Devices Meeting, San Francisco, CA, 2008, pp. 1-4. </w:t>
      </w:r>
      <w:proofErr w:type="spellStart"/>
      <w:r w:rsidRPr="006D09B1">
        <w:rPr>
          <w:rFonts w:ascii="Cambria" w:hAnsi="Cambria" w:cs="Helvetica Neue"/>
          <w:i/>
          <w:iCs/>
          <w:color w:val="000000"/>
        </w:rPr>
        <w:t>doi</w:t>
      </w:r>
      <w:proofErr w:type="spellEnd"/>
      <w:r w:rsidRPr="006D09B1">
        <w:rPr>
          <w:rFonts w:ascii="Cambria" w:hAnsi="Cambria" w:cs="Helvetica Neue"/>
          <w:i/>
          <w:iCs/>
          <w:color w:val="000000"/>
        </w:rPr>
        <w:t>: 10.1109/IEDM.2008.4796651 [Accessed Nov. 8, 2019]</w:t>
      </w:r>
      <w:r w:rsidRPr="006D09B1">
        <w:rPr>
          <w:rFonts w:ascii="Cambria" w:eastAsia="Times New Roman" w:hAnsi="Cambria" w:cstheme="minorHAnsi"/>
          <w:i/>
          <w:iCs/>
        </w:rPr>
        <w:t xml:space="preserve"> </w:t>
      </w:r>
    </w:p>
    <w:p w14:paraId="76738C1B" w14:textId="77777777" w:rsidR="006D09B1" w:rsidRPr="006D09B1" w:rsidRDefault="006D09B1" w:rsidP="006D09B1">
      <w:pPr>
        <w:spacing w:line="360" w:lineRule="auto"/>
        <w:jc w:val="both"/>
        <w:rPr>
          <w:rFonts w:ascii="Cambria" w:hAnsi="Cambria"/>
        </w:rPr>
      </w:pPr>
    </w:p>
    <w:p w14:paraId="4D47B270" w14:textId="52954243" w:rsidR="00781B59" w:rsidRDefault="00781B59" w:rsidP="00896600">
      <w:pPr>
        <w:spacing w:line="360" w:lineRule="auto"/>
        <w:jc w:val="both"/>
        <w:rPr>
          <w:rFonts w:ascii="Cambria" w:hAnsi="Cambria"/>
        </w:rPr>
      </w:pPr>
      <w:bookmarkStart w:id="0" w:name="_GoBack"/>
      <w:bookmarkEnd w:id="0"/>
    </w:p>
    <w:p w14:paraId="431BE8D2" w14:textId="5677F499" w:rsidR="00781B59" w:rsidRDefault="00781B59" w:rsidP="00896600">
      <w:pPr>
        <w:spacing w:line="360" w:lineRule="auto"/>
        <w:jc w:val="both"/>
        <w:rPr>
          <w:rFonts w:ascii="Cambria" w:hAnsi="Cambria"/>
          <w:u w:val="single"/>
        </w:rPr>
      </w:pPr>
      <w:r>
        <w:rPr>
          <w:rFonts w:ascii="Cambria" w:hAnsi="Cambria"/>
          <w:u w:val="single"/>
        </w:rPr>
        <w:t>Problem 4:</w:t>
      </w:r>
    </w:p>
    <w:p w14:paraId="52EF8652" w14:textId="548A1C8B" w:rsidR="006D09B1" w:rsidRDefault="006D09B1" w:rsidP="006D09B1">
      <w:pPr>
        <w:pStyle w:val="ListParagraph"/>
        <w:numPr>
          <w:ilvl w:val="0"/>
          <w:numId w:val="4"/>
        </w:numPr>
        <w:spacing w:line="360" w:lineRule="auto"/>
        <w:jc w:val="both"/>
        <w:rPr>
          <w:rFonts w:ascii="Cambria" w:hAnsi="Cambria"/>
        </w:rPr>
      </w:pPr>
      <w:r>
        <w:rPr>
          <w:rFonts w:ascii="Cambria" w:hAnsi="Cambria"/>
        </w:rPr>
        <w:t>The value of the speed of light in graphene is 10</w:t>
      </w:r>
      <w:r w:rsidR="00774C6C">
        <w:rPr>
          <w:rFonts w:ascii="Cambria" w:hAnsi="Cambria"/>
          <w:vertAlign w:val="superscript"/>
        </w:rPr>
        <w:t>6</w:t>
      </w:r>
      <w:r w:rsidR="00774C6C">
        <w:rPr>
          <w:rFonts w:ascii="Cambria" w:hAnsi="Cambria"/>
        </w:rPr>
        <w:t xml:space="preserve"> m/s (1/300 of the speed of light in a vacuum).</w:t>
      </w:r>
    </w:p>
    <w:p w14:paraId="5175F456" w14:textId="77777777" w:rsidR="00774C6C" w:rsidRPr="00774C6C" w:rsidRDefault="00774C6C" w:rsidP="00774C6C">
      <w:pPr>
        <w:spacing w:line="360" w:lineRule="auto"/>
        <w:jc w:val="both"/>
        <w:rPr>
          <w:rFonts w:ascii="Cambria" w:hAnsi="Cambria"/>
        </w:rPr>
      </w:pPr>
    </w:p>
    <w:p w14:paraId="465F63F2" w14:textId="74AFA520" w:rsidR="00774C6C" w:rsidRDefault="00774C6C" w:rsidP="006D09B1">
      <w:pPr>
        <w:pStyle w:val="ListParagraph"/>
        <w:numPr>
          <w:ilvl w:val="0"/>
          <w:numId w:val="4"/>
        </w:numPr>
        <w:spacing w:line="360" w:lineRule="auto"/>
        <w:jc w:val="both"/>
        <w:rPr>
          <w:rFonts w:ascii="Cambria" w:hAnsi="Cambria"/>
        </w:rPr>
      </w:pPr>
      <w:r w:rsidRPr="00774C6C">
        <w:rPr>
          <w:rFonts w:ascii="Cambria" w:hAnsi="Cambria"/>
        </w:rPr>
        <w:t>Kinetic inductance originates in the kinetic energy required by each electron that is contributing to a flow of current.</w:t>
      </w:r>
    </w:p>
    <w:p w14:paraId="7A878272" w14:textId="77777777" w:rsidR="00774C6C" w:rsidRPr="00774C6C" w:rsidRDefault="00774C6C" w:rsidP="00774C6C">
      <w:pPr>
        <w:pStyle w:val="ListParagraph"/>
        <w:rPr>
          <w:rFonts w:ascii="Cambria" w:hAnsi="Cambria"/>
        </w:rPr>
      </w:pPr>
    </w:p>
    <w:p w14:paraId="115EBD0E" w14:textId="52F89668" w:rsidR="00774C6C" w:rsidRDefault="00774C6C" w:rsidP="006D09B1">
      <w:pPr>
        <w:pStyle w:val="ListParagraph"/>
        <w:numPr>
          <w:ilvl w:val="0"/>
          <w:numId w:val="4"/>
        </w:numPr>
        <w:spacing w:line="360" w:lineRule="auto"/>
        <w:jc w:val="both"/>
        <w:rPr>
          <w:rFonts w:ascii="Cambria" w:hAnsi="Cambria"/>
        </w:rPr>
      </w:pPr>
      <w:r>
        <w:rPr>
          <w:rFonts w:ascii="Cambria" w:hAnsi="Cambria"/>
        </w:rPr>
        <w:t>Graphene nanoribbon is electronically different from a sheet of graphene because of their difference in geometrical structures.</w:t>
      </w:r>
    </w:p>
    <w:p w14:paraId="1017EA99" w14:textId="77777777" w:rsidR="00774C6C" w:rsidRPr="00774C6C" w:rsidRDefault="00774C6C" w:rsidP="00774C6C">
      <w:pPr>
        <w:pStyle w:val="ListParagraph"/>
        <w:rPr>
          <w:rFonts w:ascii="Cambria" w:hAnsi="Cambria"/>
        </w:rPr>
      </w:pPr>
    </w:p>
    <w:p w14:paraId="47E629C9" w14:textId="11FA88A7" w:rsidR="00774C6C" w:rsidRPr="006D09B1" w:rsidRDefault="00774C6C" w:rsidP="006D09B1">
      <w:pPr>
        <w:pStyle w:val="ListParagraph"/>
        <w:numPr>
          <w:ilvl w:val="0"/>
          <w:numId w:val="4"/>
        </w:numPr>
        <w:spacing w:line="360" w:lineRule="auto"/>
        <w:jc w:val="both"/>
        <w:rPr>
          <w:rFonts w:ascii="Cambria" w:hAnsi="Cambria"/>
        </w:rPr>
      </w:pPr>
      <w:r w:rsidRPr="00774C6C">
        <w:rPr>
          <w:rFonts w:ascii="Cambria" w:hAnsi="Cambria"/>
        </w:rPr>
        <w:t>Electron scattering occurs when electrons are deviated from their original trajectory. This is due to the electrostatic forces within matter interaction or, if an external magnetic field is present, the electron may be deflected by the Lorentz force.</w:t>
      </w:r>
    </w:p>
    <w:p w14:paraId="626951C3" w14:textId="77777777" w:rsidR="00896600" w:rsidRDefault="00896600"/>
    <w:sectPr w:rsidR="00896600" w:rsidSect="00B578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F7255"/>
    <w:multiLevelType w:val="hybridMultilevel"/>
    <w:tmpl w:val="57802F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F2151"/>
    <w:multiLevelType w:val="hybridMultilevel"/>
    <w:tmpl w:val="CD90BC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43CAF"/>
    <w:multiLevelType w:val="hybridMultilevel"/>
    <w:tmpl w:val="7DB038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B445B1"/>
    <w:multiLevelType w:val="hybridMultilevel"/>
    <w:tmpl w:val="B15831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600"/>
    <w:rsid w:val="000958C9"/>
    <w:rsid w:val="000D5C47"/>
    <w:rsid w:val="001A6DA9"/>
    <w:rsid w:val="001C11C1"/>
    <w:rsid w:val="001D1632"/>
    <w:rsid w:val="003C149B"/>
    <w:rsid w:val="006D09B1"/>
    <w:rsid w:val="00774C6C"/>
    <w:rsid w:val="00781B59"/>
    <w:rsid w:val="007A688E"/>
    <w:rsid w:val="00896600"/>
    <w:rsid w:val="00915D24"/>
    <w:rsid w:val="00967A6A"/>
    <w:rsid w:val="00AF665E"/>
    <w:rsid w:val="00B578ED"/>
    <w:rsid w:val="00DC24F1"/>
    <w:rsid w:val="00EC7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92CE"/>
  <w15:chartTrackingRefBased/>
  <w15:docId w15:val="{AF81DB44-2B6E-804A-9DCE-045BF19F0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6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4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7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622</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Plantin, Thomas M</dc:creator>
  <cp:keywords/>
  <dc:description/>
  <cp:lastModifiedBy>Plantin, Thomas M</cp:lastModifiedBy>
  <cp:revision>11</cp:revision>
  <dcterms:created xsi:type="dcterms:W3CDTF">2019-11-09T00:38:00Z</dcterms:created>
  <dcterms:modified xsi:type="dcterms:W3CDTF">2019-11-11T04:25:00Z</dcterms:modified>
</cp:coreProperties>
</file>