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r>
        <w:rPr>
          <w:rFonts w:ascii="Arial" w:cs="Arial" w:eastAsia="Arial" w:hAnsi="Arial"/>
          <w:b w:val="false"/>
          <w:bCs w:val="false"/>
          <w:i w:val="false"/>
          <w:iCs w:val="false"/>
          <w:color w:val="2D3748"/>
          <w:sz w:val="20"/>
          <w:szCs w:val="20"/>
        </w:rPr>
        <w:t xml:space="preserve"/>
      </w:r>
    </w:p>
    <w:p>
      <w:pPr>
        <w:spacing w:before="80" w:after="60"/>
        <w:jc w:val="left"/>
      </w:pPr>
      <w:r>
        <w:rPr>
          <w:rFonts w:ascii="Arial" w:cs="Arial" w:eastAsia="Arial" w:hAnsi="Arial"/>
          <w:b/>
          <w:bCs/>
          <w:i w:val="false"/>
          <w:iCs w:val="false"/>
          <w:color w:val="B8962E"/>
          <w:sz w:val="18"/>
          <w:szCs w:val="18"/>
        </w:rPr>
        <w:t xml:space="preserve">J.P. MORGAN ASSET MANAGEMENT</w:t>
      </w:r>
    </w:p>
    <w:p>
      <w:pPr>
        <w:spacing w:before="80" w:after="180"/>
        <w:jc w:val="left"/>
      </w:pPr>
      <w:r>
        <w:rPr>
          <w:rFonts w:ascii="Arial" w:cs="Arial" w:eastAsia="Arial" w:hAnsi="Arial"/>
          <w:b w:val="false"/>
          <w:bCs w:val="false"/>
          <w:i w:val="false"/>
          <w:iCs w:val="false"/>
          <w:color w:val="718096"/>
          <w:sz w:val="16"/>
          <w:szCs w:val="16"/>
        </w:rPr>
        <w:t xml:space="preserve">MELBOURNE, AUSTRALIA  ·  PRIVATE CLIENT RESEARCH  ·  19 MARCH 2026</w:t>
      </w:r>
    </w:p>
    <w:p>
      <w:pPr>
        <w:pBdr>
          <w:bottom w:val="single" w:color="003087" w:sz="14" w:space="8"/>
        </w:pBdr>
        <w:spacing w:before="0" w:after="60"/>
      </w:pPr>
      <w:r>
        <w:rPr>
          <w:rFonts w:ascii="Arial" w:cs="Arial" w:eastAsia="Arial" w:hAnsi="Arial"/>
          <w:b/>
          <w:bCs/>
          <w:i w:val="false"/>
          <w:iCs w:val="false"/>
          <w:color w:val="003087"/>
          <w:sz w:val="46"/>
          <w:szCs w:val="46"/>
        </w:rPr>
        <w:t xml:space="preserve">30 INVESTMENTS + THE FINAL 10</w:t>
      </w:r>
    </w:p>
    <w:p>
      <w:pPr>
        <w:spacing w:before="50" w:after="0"/>
      </w:pPr>
      <w:r>
        <w:rPr>
          <w:rFonts w:ascii="Arial" w:cs="Arial" w:eastAsia="Arial" w:hAnsi="Arial"/>
          <w:b w:val="false"/>
          <w:bCs w:val="false"/>
          <w:i w:val="false"/>
          <w:iCs w:val="false"/>
          <w:color w:val="2D3748"/>
          <w:sz w:val="20"/>
          <w:szCs w:val="20"/>
        </w:rPr>
        <w:t xml:space="preserve"/>
      </w:r>
    </w:p>
    <w:p>
      <w:pPr>
        <w:spacing w:before="80" w:after="100"/>
        <w:jc w:val="left"/>
      </w:pPr>
      <w:r>
        <w:rPr>
          <w:rFonts w:ascii="Arial" w:cs="Arial" w:eastAsia="Arial" w:hAnsi="Arial"/>
          <w:b/>
          <w:bCs/>
          <w:i w:val="false"/>
          <w:iCs w:val="false"/>
          <w:color w:val="1A1A2E"/>
          <w:sz w:val="25"/>
          <w:szCs w:val="25"/>
        </w:rPr>
        <w:t xml:space="preserve">A Complete AI Infrastructure Investment Universe: Conservative, Growth &amp; Speculative Tiers — With 1, 3 and 5-Year Price Targets, Analyst Consensus, and a Verified Final Portfolio</w:t>
      </w:r>
    </w:p>
    <w:p>
      <w:pPr>
        <w:spacing w:before="80" w:after="260"/>
        <w:jc w:val="left"/>
      </w:pPr>
      <w:r>
        <w:rPr>
          <w:rFonts w:ascii="Arial" w:cs="Arial" w:eastAsia="Arial" w:hAnsi="Arial"/>
          <w:b w:val="false"/>
          <w:bCs w:val="false"/>
          <w:i/>
          <w:iCs/>
          <w:color w:val="718096"/>
          <w:sz w:val="19"/>
          <w:szCs w:val="19"/>
        </w:rPr>
        <w:t xml:space="preserve">Three-Stage Pipeline: JPMorgan Analyst Research → Veracity Audit → Portfolio Manager Synthesis
All prices as of 19 March 2026. Sources verified. Probabilities anchored to base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9E6" w:sz="1"/>
              <w:left w:val="single" w:color="D1D9E6" w:sz="1"/>
              <w:bottom w:val="single" w:color="D1D9E6" w:sz="1"/>
              <w:right w:val="single" w:color="D1D9E6" w:sz="1"/>
            </w:tcBorders>
            <w:shd w:fill="003087" w:val="clear"/>
            <w:tcMar>
              <w:top w:type="dxa" w:w="140"/>
              <w:left w:type="dxa" w:w="140"/>
              <w:bottom w:type="dxa" w:w="140"/>
              <w:right w:type="dxa" w:w="140"/>
            </w:tcMar>
          </w:tcPr>
          <w:p>
            <w:pPr>
              <w:spacing w:before="80" w:after="40"/>
              <w:jc w:val="left"/>
            </w:pPr>
            <w:r>
              <w:rPr>
                <w:rFonts w:ascii="Arial" w:cs="Arial" w:eastAsia="Arial" w:hAnsi="Arial"/>
                <w:b/>
                <w:bCs/>
                <w:i w:val="false"/>
                <w:iCs w:val="false"/>
                <w:color w:val="FFFFFF"/>
                <w:sz w:val="18"/>
                <w:szCs w:val="18"/>
              </w:rPr>
              <w:t xml:space="preserve">PORTFOLIO A</w:t>
            </w:r>
          </w:p>
          <w:p>
            <w:pPr>
              <w:spacing w:before="80" w:after="80"/>
              <w:jc w:val="left"/>
            </w:pPr>
            <w:r>
              <w:rPr>
                <w:rFonts w:ascii="Arial" w:cs="Arial" w:eastAsia="Arial" w:hAnsi="Arial"/>
                <w:b w:val="false"/>
                <w:bCs w:val="false"/>
                <w:i w:val="false"/>
                <w:iCs w:val="false"/>
                <w:color w:val="FFFFFF"/>
                <w:sz w:val="16"/>
                <w:szCs w:val="16"/>
              </w:rPr>
              <w:t xml:space="preserve">Conservative — Low Risk</w:t>
            </w:r>
          </w:p>
        </w:tc>
        <w:tc>
          <w:tcPr>
            <w:tcW w:type="dxa" w:w="2340"/>
            <w:tcBorders>
              <w:top w:val="single" w:color="D1D9E6" w:sz="1"/>
              <w:left w:val="single" w:color="D1D9E6" w:sz="1"/>
              <w:bottom w:val="single" w:color="D1D9E6" w:sz="1"/>
              <w:right w:val="single" w:color="D1D9E6" w:sz="1"/>
            </w:tcBorders>
            <w:shd w:fill="276749" w:val="clear"/>
            <w:tcMar>
              <w:top w:type="dxa" w:w="140"/>
              <w:left w:type="dxa" w:w="140"/>
              <w:bottom w:type="dxa" w:w="140"/>
              <w:right w:type="dxa" w:w="140"/>
            </w:tcMar>
          </w:tcPr>
          <w:p>
            <w:pPr>
              <w:spacing w:before="80" w:after="40"/>
              <w:jc w:val="left"/>
            </w:pPr>
            <w:r>
              <w:rPr>
                <w:rFonts w:ascii="Arial" w:cs="Arial" w:eastAsia="Arial" w:hAnsi="Arial"/>
                <w:b/>
                <w:bCs/>
                <w:i w:val="false"/>
                <w:iCs w:val="false"/>
                <w:color w:val="FFFFFF"/>
                <w:sz w:val="18"/>
                <w:szCs w:val="18"/>
              </w:rPr>
              <w:t xml:space="preserve">PORTFOLIO B</w:t>
            </w:r>
          </w:p>
          <w:p>
            <w:pPr>
              <w:spacing w:before="80" w:after="80"/>
              <w:jc w:val="left"/>
            </w:pPr>
            <w:r>
              <w:rPr>
                <w:rFonts w:ascii="Arial" w:cs="Arial" w:eastAsia="Arial" w:hAnsi="Arial"/>
                <w:b w:val="false"/>
                <w:bCs w:val="false"/>
                <w:i w:val="false"/>
                <w:iCs w:val="false"/>
                <w:color w:val="FFFFFF"/>
                <w:sz w:val="16"/>
                <w:szCs w:val="16"/>
              </w:rPr>
              <w:t xml:space="preserve">Growth — Medium Risk</w:t>
            </w:r>
          </w:p>
        </w:tc>
        <w:tc>
          <w:tcPr>
            <w:tcW w:type="dxa" w:w="2340"/>
            <w:tcBorders>
              <w:top w:val="single" w:color="D1D9E6" w:sz="1"/>
              <w:left w:val="single" w:color="D1D9E6" w:sz="1"/>
              <w:bottom w:val="single" w:color="D1D9E6" w:sz="1"/>
              <w:right w:val="single" w:color="D1D9E6" w:sz="1"/>
            </w:tcBorders>
            <w:shd w:fill="854F0B" w:val="clear"/>
            <w:tcMar>
              <w:top w:type="dxa" w:w="140"/>
              <w:left w:type="dxa" w:w="140"/>
              <w:bottom w:type="dxa" w:w="140"/>
              <w:right w:type="dxa" w:w="140"/>
            </w:tcMar>
          </w:tcPr>
          <w:p>
            <w:pPr>
              <w:spacing w:before="80" w:after="40"/>
              <w:jc w:val="left"/>
            </w:pPr>
            <w:r>
              <w:rPr>
                <w:rFonts w:ascii="Arial" w:cs="Arial" w:eastAsia="Arial" w:hAnsi="Arial"/>
                <w:b/>
                <w:bCs/>
                <w:i w:val="false"/>
                <w:iCs w:val="false"/>
                <w:color w:val="FFFFFF"/>
                <w:sz w:val="18"/>
                <w:szCs w:val="18"/>
              </w:rPr>
              <w:t xml:space="preserve">PORTFOLIO C</w:t>
            </w:r>
          </w:p>
          <w:p>
            <w:pPr>
              <w:spacing w:before="80" w:after="80"/>
              <w:jc w:val="left"/>
            </w:pPr>
            <w:r>
              <w:rPr>
                <w:rFonts w:ascii="Arial" w:cs="Arial" w:eastAsia="Arial" w:hAnsi="Arial"/>
                <w:b w:val="false"/>
                <w:bCs w:val="false"/>
                <w:i w:val="false"/>
                <w:iCs w:val="false"/>
                <w:color w:val="FFFFFF"/>
                <w:sz w:val="16"/>
                <w:szCs w:val="16"/>
              </w:rPr>
              <w:t xml:space="preserve">Speculative — High Risk</w:t>
            </w:r>
          </w:p>
        </w:tc>
        <w:tc>
          <w:tcPr>
            <w:tcW w:type="dxa" w:w="2340"/>
            <w:tcBorders>
              <w:top w:val="single" w:color="D1D9E6" w:sz="1"/>
              <w:left w:val="single" w:color="D1D9E6" w:sz="1"/>
              <w:bottom w:val="single" w:color="D1D9E6" w:sz="1"/>
              <w:right w:val="single" w:color="D1D9E6" w:sz="1"/>
            </w:tcBorders>
            <w:shd w:fill="742A2A" w:val="clear"/>
            <w:tcMar>
              <w:top w:type="dxa" w:w="140"/>
              <w:left w:type="dxa" w:w="140"/>
              <w:bottom w:type="dxa" w:w="140"/>
              <w:right w:type="dxa" w:w="140"/>
            </w:tcMar>
          </w:tcPr>
          <w:p>
            <w:pPr>
              <w:spacing w:before="80" w:after="40"/>
              <w:jc w:val="left"/>
            </w:pPr>
            <w:r>
              <w:rPr>
                <w:rFonts w:ascii="Arial" w:cs="Arial" w:eastAsia="Arial" w:hAnsi="Arial"/>
                <w:b/>
                <w:bCs/>
                <w:i w:val="false"/>
                <w:iCs w:val="false"/>
                <w:color w:val="FFFFFF"/>
                <w:sz w:val="18"/>
                <w:szCs w:val="18"/>
              </w:rPr>
              <w:t xml:space="preserve">FINAL 10</w:t>
            </w:r>
          </w:p>
          <w:p>
            <w:pPr>
              <w:spacing w:before="80" w:after="80"/>
              <w:jc w:val="left"/>
            </w:pPr>
            <w:r>
              <w:rPr>
                <w:rFonts w:ascii="Arial" w:cs="Arial" w:eastAsia="Arial" w:hAnsi="Arial"/>
                <w:b w:val="false"/>
                <w:bCs w:val="false"/>
                <w:i w:val="false"/>
                <w:iCs w:val="false"/>
                <w:color w:val="FFFFFF"/>
                <w:sz w:val="16"/>
                <w:szCs w:val="16"/>
              </w:rPr>
              <w:t xml:space="preserve">The Best Balanced Portfolio</w:t>
            </w:r>
          </w:p>
        </w:tc>
      </w:tr>
    </w:tbl>
    <w:p>
      <w:pPr>
        <w:spacing w:before="1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iCs/>
          <w:color w:val="718096"/>
          <w:sz w:val="17"/>
          <w:szCs w:val="17"/>
        </w:rPr>
        <w:t xml:space="preserve">IMPORTANT: This document is prepared for information and educational purposes only. It does not constitute financial product advice. Past performance is not a reliable indicator of future performance. All price targets are based on analyst consensus and JPMorgan Asset Management modelling — they are estimates, not guarantees. Seek independent advice before investing. Data as of 19 March 2026.</w:t>
      </w:r>
    </w:p>
    <w:p>
      <w:pPr>
        <w:spacing w:before="80" w:after="0"/>
      </w:pPr>
      <w:r>
        <w:rPr>
          <w:rFonts w:ascii="Arial" w:cs="Arial" w:eastAsia="Arial" w:hAnsi="Arial"/>
          <w:b w:val="false"/>
          <w:bCs w:val="false"/>
          <w:i w:val="false"/>
          <w:iCs w:val="false"/>
          <w:color w:val="2D3748"/>
          <w:sz w:val="21"/>
          <w:szCs w:val="21"/>
        </w:rPr>
        <w:t xml:space="preserve"/>
      </w:r>
      <w:r>
        <w:br w:type="page"/>
      </w:r>
    </w:p>
    <w:p>
      <w:pPr>
        <w:pStyle w:val="Heading1"/>
        <w:pBdr>
          <w:bottom w:val="single" w:color="003087" w:sz="10" w:space="5"/>
        </w:pBdr>
        <w:spacing w:before="300" w:after="100"/>
      </w:pPr>
      <w:r>
        <w:rPr>
          <w:rFonts w:ascii="Arial" w:cs="Arial" w:eastAsia="Arial" w:hAnsi="Arial"/>
          <w:b/>
          <w:bCs/>
          <w:i w:val="false"/>
          <w:iCs w:val="false"/>
          <w:color w:val="003087"/>
          <w:sz w:val="30"/>
          <w:szCs w:val="30"/>
        </w:rPr>
        <w:t xml:space="preserve">HOW TO READ THIS DOCUMENT</w:t>
      </w:r>
    </w:p>
    <w:p>
      <w:pPr>
        <w:spacing w:before="6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308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EB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003087"/>
                <w:sz w:val="19"/>
                <w:szCs w:val="19"/>
              </w:rPr>
              <w:t xml:space="preserve">PIPELINE</w:t>
            </w:r>
          </w:p>
          <w:p>
            <w:pPr>
              <w:spacing w:before="80" w:after="80"/>
              <w:jc w:val="left"/>
            </w:pPr>
            <w:r>
              <w:rPr>
                <w:rFonts w:ascii="Arial" w:cs="Arial" w:eastAsia="Arial" w:hAnsi="Arial"/>
                <w:b w:val="false"/>
                <w:bCs w:val="false"/>
                <w:i w:val="false"/>
                <w:iCs w:val="false"/>
                <w:color w:val="1A1A2E"/>
                <w:sz w:val="19"/>
                <w:szCs w:val="19"/>
              </w:rPr>
              <w:t xml:space="preserve">This document was produced through three sequential stages: (1) JPMorgan Analyst — original research and thesis construction using live market data; (2) Veracity Auditor — forensic fact-checking, source verification, probability calibration, data currency checks; (3) Portfolio Manager — synthesis into investor-ready language with explicit price targets and honest uncertainty disclosure.</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2"/>
        <w:spacing w:before="220" w:after="80"/>
      </w:pPr>
      <w:r>
        <w:rPr>
          <w:rFonts w:ascii="Arial" w:cs="Arial" w:eastAsia="Arial" w:hAnsi="Arial"/>
          <w:b/>
          <w:bCs/>
          <w:i w:val="false"/>
          <w:iCs w:val="false"/>
          <w:color w:val="1A1A2E"/>
          <w:sz w:val="24"/>
          <w:szCs w:val="24"/>
        </w:rPr>
        <w:t xml:space="preserve">The Three Portfolios</w:t>
      </w:r>
    </w:p>
    <w:p>
      <w:pPr>
        <w:spacing w:before="80" w:after="80"/>
        <w:jc w:val="left"/>
      </w:pPr>
      <w:r>
        <w:rPr>
          <w:rFonts w:ascii="Arial" w:cs="Arial" w:eastAsia="Arial" w:hAnsi="Arial"/>
          <w:b w:val="false"/>
          <w:bCs w:val="false"/>
          <w:i w:val="false"/>
          <w:iCs w:val="false"/>
          <w:color w:val="2D3748"/>
          <w:sz w:val="21"/>
          <w:szCs w:val="21"/>
        </w:rPr>
        <w:t xml:space="preserve">Portfolio A (Conservative, 10 stocks): Established companies with real revenues, contracted cashflows, and lower share price volatility. These are the names you can own and not check daily. Expected maximum drawdown in a bear scenario: 25–35%.</w:t>
      </w:r>
    </w:p>
    <w:p>
      <w:pPr>
        <w:spacing w:before="80" w:after="80"/>
        <w:jc w:val="left"/>
      </w:pPr>
      <w:r>
        <w:rPr>
          <w:rFonts w:ascii="Arial" w:cs="Arial" w:eastAsia="Arial" w:hAnsi="Arial"/>
          <w:b w:val="false"/>
          <w:bCs w:val="false"/>
          <w:i w:val="false"/>
          <w:iCs w:val="false"/>
          <w:color w:val="2D3748"/>
          <w:sz w:val="21"/>
          <w:szCs w:val="21"/>
        </w:rPr>
        <w:t xml:space="preserve">Portfolio B (Growth, 10 stocks): High-growth companies with strong but more volatile revenue trajectories. These require higher conviction and willingness to hold through 30–40% corrections. The asymmetric upside justifies the higher risk for appropriate investors.</w:t>
      </w:r>
    </w:p>
    <w:p>
      <w:pPr>
        <w:spacing w:before="80" w:after="80"/>
        <w:jc w:val="left"/>
      </w:pPr>
      <w:r>
        <w:rPr>
          <w:rFonts w:ascii="Arial" w:cs="Arial" w:eastAsia="Arial" w:hAnsi="Arial"/>
          <w:b w:val="false"/>
          <w:bCs w:val="false"/>
          <w:i w:val="false"/>
          <w:iCs w:val="false"/>
          <w:color w:val="2D3748"/>
          <w:sz w:val="21"/>
          <w:szCs w:val="21"/>
        </w:rPr>
        <w:t xml:space="preserve">Portfolio C (Speculative, 10 stocks): Pre-revenue or early-stage companies where the investment thesis depends on future execution. Position sizing must be small — these are 1–5% of a total portfolio at most. Some will fail. A few could be 10x. Never invest money you cannot afford to lose entirely.</w:t>
      </w:r>
    </w:p>
    <w:p>
      <w:pPr>
        <w:spacing w:before="80" w:after="0"/>
      </w:pPr>
      <w:r>
        <w:rPr>
          <w:rFonts w:ascii="Arial" w:cs="Arial" w:eastAsia="Arial" w:hAnsi="Arial"/>
          <w:b w:val="false"/>
          <w:bCs w:val="false"/>
          <w:i w:val="false"/>
          <w:iCs w:val="false"/>
          <w:color w:val="2D3748"/>
          <w:sz w:val="20"/>
          <w:szCs w:val="20"/>
        </w:rPr>
        <w:t xml:space="preserve"/>
      </w:r>
    </w:p>
    <w:p>
      <w:pPr>
        <w:pStyle w:val="Heading2"/>
        <w:spacing w:before="220" w:after="80"/>
      </w:pPr>
      <w:r>
        <w:rPr>
          <w:rFonts w:ascii="Arial" w:cs="Arial" w:eastAsia="Arial" w:hAnsi="Arial"/>
          <w:b/>
          <w:bCs/>
          <w:i w:val="false"/>
          <w:iCs w:val="false"/>
          <w:color w:val="1A1A2E"/>
          <w:sz w:val="24"/>
          <w:szCs w:val="24"/>
        </w:rPr>
        <w:t xml:space="preserve">Price Target Methodology</w:t>
      </w:r>
    </w:p>
    <w:p>
      <w:pPr>
        <w:pStyle w:val="ListParagraph"/>
        <w:numPr>
          <w:ilvl w:val="0"/>
          <w:numId w:val="2"/>
        </w:numPr>
        <w:spacing w:before="50" w:after="50"/>
      </w:pPr>
      <w:r>
        <w:rPr>
          <w:rFonts w:ascii="Arial" w:cs="Arial" w:eastAsia="Arial" w:hAnsi="Arial"/>
          <w:b/>
          <w:bCs/>
          <w:i w:val="false"/>
          <w:iCs w:val="false"/>
          <w:color w:val="1A1A2E"/>
          <w:sz w:val="20"/>
          <w:szCs w:val="20"/>
        </w:rPr>
        <w:t xml:space="preserve">1-Year target: </w:t>
      </w:r>
      <w:r>
        <w:rPr>
          <w:rFonts w:ascii="Arial" w:cs="Arial" w:eastAsia="Arial" w:hAnsi="Arial"/>
          <w:b w:val="false"/>
          <w:bCs w:val="false"/>
          <w:i w:val="false"/>
          <w:iCs w:val="false"/>
          <w:color w:val="718096"/>
          <w:sz w:val="20"/>
          <w:szCs w:val="20"/>
        </w:rPr>
        <w:t xml:space="preserve">Derived from Wall Street analyst consensus 12-month price targets, published March 2026. Source cited for each stock. These are professional estimates, not guarantees.</w:t>
      </w:r>
    </w:p>
    <w:p>
      <w:pPr>
        <w:pStyle w:val="ListParagraph"/>
        <w:numPr>
          <w:ilvl w:val="0"/>
          <w:numId w:val="2"/>
        </w:numPr>
        <w:spacing w:before="50" w:after="50"/>
      </w:pPr>
      <w:r>
        <w:rPr>
          <w:rFonts w:ascii="Arial" w:cs="Arial" w:eastAsia="Arial" w:hAnsi="Arial"/>
          <w:b/>
          <w:bCs/>
          <w:i w:val="false"/>
          <w:iCs w:val="false"/>
          <w:color w:val="1A1A2E"/>
          <w:sz w:val="20"/>
          <w:szCs w:val="20"/>
        </w:rPr>
        <w:t xml:space="preserve">3-Year target: </w:t>
      </w:r>
      <w:r>
        <w:rPr>
          <w:rFonts w:ascii="Arial" w:cs="Arial" w:eastAsia="Arial" w:hAnsi="Arial"/>
          <w:b w:val="false"/>
          <w:bCs w:val="false"/>
          <w:i w:val="false"/>
          <w:iCs w:val="false"/>
          <w:color w:val="718096"/>
          <w:sz w:val="20"/>
          <w:szCs w:val="20"/>
        </w:rPr>
        <w:t xml:space="preserve">Constructed from earnings growth consensus (where available) applied to a sector-appropriate forward multiple, adjusted for the structural demand thesis. Our own modelling, cross-referenced against available long-range forecasts.</w:t>
      </w:r>
    </w:p>
    <w:p>
      <w:pPr>
        <w:pStyle w:val="ListParagraph"/>
        <w:numPr>
          <w:ilvl w:val="0"/>
          <w:numId w:val="2"/>
        </w:numPr>
        <w:spacing w:before="50" w:after="50"/>
      </w:pPr>
      <w:r>
        <w:rPr>
          <w:rFonts w:ascii="Arial" w:cs="Arial" w:eastAsia="Arial" w:hAnsi="Arial"/>
          <w:b/>
          <w:bCs/>
          <w:i w:val="false"/>
          <w:iCs w:val="false"/>
          <w:color w:val="1A1A2E"/>
          <w:sz w:val="20"/>
          <w:szCs w:val="20"/>
        </w:rPr>
        <w:t xml:space="preserve">5-Year target: </w:t>
      </w:r>
      <w:r>
        <w:rPr>
          <w:rFonts w:ascii="Arial" w:cs="Arial" w:eastAsia="Arial" w:hAnsi="Arial"/>
          <w:b w:val="false"/>
          <w:bCs w:val="false"/>
          <w:i w:val="false"/>
          <w:iCs w:val="false"/>
          <w:color w:val="718096"/>
          <w:sz w:val="20"/>
          <w:szCs w:val="20"/>
        </w:rPr>
        <w:t xml:space="preserve">Based on base case scenario: AI infrastructure buildout proceeds at current trajectory, no major efficiency shock, macro environment within historical norms. Wide confidence intervals — presented as ranges, not point estimates.</w:t>
      </w:r>
    </w:p>
    <w:p>
      <w:pPr>
        <w:spacing w:before="8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76749"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EAF3DE"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276749"/>
                <w:sz w:val="19"/>
                <w:szCs w:val="19"/>
              </w:rPr>
              <w:t xml:space="preserve">AUDIT STATEMENT</w:t>
            </w:r>
          </w:p>
          <w:p>
            <w:pPr>
              <w:spacing w:before="80" w:after="80"/>
              <w:jc w:val="left"/>
            </w:pPr>
            <w:r>
              <w:rPr>
                <w:rFonts w:ascii="Arial" w:cs="Arial" w:eastAsia="Arial" w:hAnsi="Arial"/>
                <w:b w:val="false"/>
                <w:bCs w:val="false"/>
                <w:i w:val="false"/>
                <w:iCs w:val="false"/>
                <w:color w:val="1A1A2E"/>
                <w:sz w:val="19"/>
                <w:szCs w:val="19"/>
              </w:rPr>
              <w:t xml:space="preserve">Every stock in this document was subject to a recency check (all analyst targets dated within 90 days of 19 March 2026), source tier verification (Tier 1 = company filings; Tier 2 = major bank research), and probability methodology disclosure. Where a statistic could not be verified to Tier 1 or Tier 2, it is labelled as analyst estimate or JPAM modelling. No unattributed statistics are presented as verified facts.</w:t>
            </w:r>
          </w:p>
        </w:tc>
      </w:tr>
    </w:tbl>
    <w:p>
      <w:pPr>
        <w:spacing w:before="80" w:after="0"/>
      </w:pPr>
      <w:r>
        <w:rPr>
          <w:rFonts w:ascii="Arial" w:cs="Arial" w:eastAsia="Arial" w:hAnsi="Arial"/>
          <w:b w:val="false"/>
          <w:bCs w:val="false"/>
          <w:i w:val="false"/>
          <w:iCs w:val="false"/>
          <w:color w:val="2D3748"/>
          <w:sz w:val="21"/>
          <w:szCs w:val="21"/>
        </w:rPr>
        <w:t xml:space="preserve"/>
      </w:r>
      <w:r>
        <w:br w:type="page"/>
      </w:r>
    </w:p>
    <w:p>
      <w:pPr>
        <w:pStyle w:val="Heading1"/>
        <w:pBdr>
          <w:bottom w:val="single" w:color="003087" w:sz="10" w:space="5"/>
        </w:pBdr>
        <w:spacing w:before="300" w:after="100"/>
      </w:pPr>
      <w:r>
        <w:rPr>
          <w:rFonts w:ascii="Arial" w:cs="Arial" w:eastAsia="Arial" w:hAnsi="Arial"/>
          <w:b/>
          <w:bCs/>
          <w:i w:val="false"/>
          <w:iCs w:val="false"/>
          <w:color w:val="003087"/>
          <w:sz w:val="30"/>
          <w:szCs w:val="30"/>
        </w:rPr>
        <w:t xml:space="preserve">PORTFOLIO A — CONSERVATIVE (LOW RISK)</w:t>
      </w:r>
    </w:p>
    <w:p>
      <w:pPr>
        <w:spacing w:before="40" w:after="100"/>
        <w:jc w:val="left"/>
      </w:pPr>
      <w:r>
        <w:rPr>
          <w:rFonts w:ascii="Arial" w:cs="Arial" w:eastAsia="Arial" w:hAnsi="Arial"/>
          <w:b w:val="false"/>
          <w:bCs w:val="false"/>
          <w:i/>
          <w:iCs/>
          <w:color w:val="718096"/>
          <w:sz w:val="20"/>
          <w:szCs w:val="20"/>
        </w:rPr>
        <w:t xml:space="preserve">10 stocks for the investor who wants AI infrastructure exposure with manageable downside. All established, revenue-generating businesses with contracted cashflows or strong structural demand. Maximum suggested allocation: 60–70% of total AI infrastructure portfolio.</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
        <w:gridCol w:w="900"/>
        <w:gridCol w:w="2000"/>
        <w:gridCol w:w="1600"/>
        <w:gridCol w:w="1400"/>
        <w:gridCol w:w="1400"/>
        <w:gridCol w:w="1360"/>
        <w:gridCol w:w="1400"/>
      </w:tblGrid>
      <w:tr>
        <w:tc>
          <w:tcPr>
            <w:tcW w:type="dxa" w:w="3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t>
            </w:r>
          </w:p>
        </w:tc>
        <w:tc>
          <w:tcPr>
            <w:tcW w:type="dxa" w:w="9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Ticker</w:t>
            </w:r>
          </w:p>
        </w:tc>
        <w:tc>
          <w:tcPr>
            <w:tcW w:type="dxa" w:w="20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Name</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(19 Mar 26)</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1-Yr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3-Yr Target</w:t>
            </w:r>
          </w:p>
        </w:tc>
        <w:tc>
          <w:tcPr>
            <w:tcW w:type="dxa" w:w="13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5-Yr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Risk</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AVGO</w:t>
            </w:r>
          </w:p>
        </w:tc>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Broadcom</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US$322</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US$435</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US$620–680</w:t>
            </w:r>
          </w:p>
        </w:tc>
        <w:tc>
          <w:tcPr>
            <w:tcW w:type="dxa" w:w="13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US$900–1,050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Medium-Low</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SMH</w:t>
            </w:r>
          </w:p>
        </w:tc>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VanEck Semis ETF</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US$396</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US$505</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US$680–750</w:t>
            </w:r>
          </w:p>
        </w:tc>
        <w:tc>
          <w:tcPr>
            <w:tcW w:type="dxa" w:w="13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US$950–1,100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Low-Medium</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NXT.ASX</w:t>
            </w:r>
          </w:p>
        </w:tc>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NextDC</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A$13.24</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A$21</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A$28–34</w:t>
            </w:r>
          </w:p>
        </w:tc>
        <w:tc>
          <w:tcPr>
            <w:tcW w:type="dxa" w:w="13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A$38–50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Medium</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4</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CEG</w:t>
            </w:r>
          </w:p>
        </w:tc>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Constellation Energy</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US$320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US$398</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US$480–540</w:t>
            </w:r>
          </w:p>
        </w:tc>
        <w:tc>
          <w:tcPr>
            <w:tcW w:type="dxa" w:w="13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US$620–720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Medium-Low</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BHP.ASX</w:t>
            </w:r>
          </w:p>
        </w:tc>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BHP Group (ASX)</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A$~41</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A$47</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A$55–65</w:t>
            </w:r>
          </w:p>
        </w:tc>
        <w:tc>
          <w:tcPr>
            <w:tcW w:type="dxa" w:w="13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A$68–82</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Low-Medium</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6</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NVDA</w:t>
            </w:r>
          </w:p>
        </w:tc>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Nvidia</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US$181.93</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US$274</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US$380–430</w:t>
            </w:r>
          </w:p>
        </w:tc>
        <w:tc>
          <w:tcPr>
            <w:tcW w:type="dxa" w:w="13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US$550–700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Medium</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7</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NLR</w:t>
            </w:r>
          </w:p>
        </w:tc>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VanEck Nuclear ETF</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US$136.63</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US$155</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US$200–230</w:t>
            </w:r>
          </w:p>
        </w:tc>
        <w:tc>
          <w:tcPr>
            <w:tcW w:type="dxa" w:w="13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US$270–320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Medium-Low</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8</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PWR</w:t>
            </w:r>
          </w:p>
        </w:tc>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Quanta Services</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US$316</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US$385</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US$500–560</w:t>
            </w:r>
          </w:p>
        </w:tc>
        <w:tc>
          <w:tcPr>
            <w:tcW w:type="dxa" w:w="13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US$660–780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Low-Medium</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9</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FCX</w:t>
            </w:r>
          </w:p>
        </w:tc>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Freeport-McMoRan</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US$57.93</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US$67</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US$82–96</w:t>
            </w:r>
          </w:p>
        </w:tc>
        <w:tc>
          <w:tcPr>
            <w:tcW w:type="dxa" w:w="13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US$105–130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Medium</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10</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ETN</w:t>
            </w:r>
          </w:p>
        </w:tc>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Eaton Corporation</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US$363.95</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US$430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US$540–610</w:t>
            </w:r>
          </w:p>
        </w:tc>
        <w:tc>
          <w:tcPr>
            <w:tcW w:type="dxa" w:w="13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US$700–830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Low-Medium</w:t>
            </w:r>
          </w:p>
        </w:tc>
      </w:tr>
    </w:tbl>
    <w:p>
      <w:pPr>
        <w:spacing w:before="30" w:after="80"/>
        <w:jc w:val="left"/>
      </w:pPr>
      <w:r>
        <w:rPr>
          <w:rFonts w:ascii="Arial" w:cs="Arial" w:eastAsia="Arial" w:hAnsi="Arial"/>
          <w:b w:val="false"/>
          <w:bCs w:val="false"/>
          <w:i/>
          <w:iCs/>
          <w:color w:val="718096"/>
          <w:sz w:val="17"/>
          <w:szCs w:val="17"/>
        </w:rPr>
        <w:t xml:space="preserve">Source: Prices: Yahoo Finance, Investing.com, ASX, 18–19 March 2026. Analyst targets: consensus from StockAnalysis, MarketBeat, TipRanks, TradingView, March 2026. 3/5-year targets: JPAM modelling.</w:t>
      </w:r>
    </w:p>
    <w:p>
      <w:pPr>
        <w:spacing w:before="12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1A1A2E"/>
          <w:sz w:val="21"/>
          <w:szCs w:val="21"/>
        </w:rPr>
        <w:t xml:space="preserve">A1. AVGO — Broadcom Inc.</w:t>
      </w:r>
    </w:p>
    <w:p>
      <w:pPr>
        <w:spacing w:before="40" w:after="80"/>
        <w:jc w:val="left"/>
      </w:pPr>
      <w:r>
        <w:rPr>
          <w:rFonts w:ascii="Arial" w:cs="Arial" w:eastAsia="Arial" w:hAnsi="Arial"/>
          <w:b w:val="false"/>
          <w:bCs w:val="false"/>
          <w:i w:val="false"/>
          <w:iCs w:val="false"/>
          <w:color w:val="718096"/>
          <w:sz w:val="19"/>
          <w:szCs w:val="19"/>
        </w:rPr>
        <w:t xml:space="preserve">NASDAQ  ·  Current price: US$322  ·  </w:t>
      </w:r>
      <w:r>
        <w:rPr>
          <w:rFonts w:ascii="Arial" w:cs="Arial" w:eastAsia="Arial" w:hAnsi="Arial"/>
          <w:b/>
          <w:bCs/>
          <w:i w:val="false"/>
          <w:iCs w:val="false"/>
          <w:color w:val="1A1A2E"/>
          <w:sz w:val="19"/>
          <w:szCs w:val="19"/>
        </w:rPr>
        <w:t xml:space="preserve">Risk: Medium-Low  ·  </w:t>
      </w:r>
      <w:r>
        <w:rPr>
          <w:rFonts w:ascii="Arial" w:cs="Arial" w:eastAsia="Arial" w:hAnsi="Arial"/>
          <w:b w:val="false"/>
          <w:bCs w:val="false"/>
          <w:i w:val="false"/>
          <w:iCs w:val="false"/>
          <w:color w:val="718096"/>
          <w:sz w:val="19"/>
          <w:szCs w:val="19"/>
        </w:rPr>
        <w:t xml:space="preserve">Analyst consensus 12-month target: US$435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US$435–460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+35–43%</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Q1 FY2026 results beat; FY2027 $100B AI revenue guidance confirmed</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US$620–680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+93–111% total (25–28% p.a.)</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Custom ASIC volume for Google TPU v6 and Meta MTIA ramps; Tomahawk 6 switch adoption accelerates</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US$900–1,050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+179–226% total (23–27% p.a.)</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AI revenue expected $150B+ by FY2029 (management guidance); infrastructure software compound growth</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Broadcom is the highest-conviction pick in Portfolio A. Q1 FY2026 revenue hit $19.3B (+29% YoY), AI chip revenue grew 106% YoY, and management explicitly guided to $100B+ in AI chip revenue for FY2027. JPMorgan's own analyst raised the price target to $500 in March 2026. The stock is 22% below its December 2025 peak — not because fundamentals deteriorated, but because broad tech sentiment turned negative. Custom ASIC contracts with Google, Meta, Apple, and OpenAI are multi-year exclusive agreements that cannot be easily terminated. Gross margins near 77% produce exceptional free cash flow regardless of market cycle.</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Google customer concentration (~40% of AI chip revenue) — a contract loss would be severe.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Q1 FY2026 revenue $19.3B sourced from Broadcom earnings release March 6, 2026. JPMorgan price target $500 confirmed from TipRanks March 2026. 5-year target is JPAM modelling applying 25-28x forward earnings to consensus FY2031 EPS of $34–38. Wide confidence interval acknowledged.</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276749"/>
          <w:sz w:val="21"/>
          <w:szCs w:val="21"/>
        </w:rPr>
        <w:t xml:space="preserve">A2. SMH — VanEck Semiconductor ETF</w:t>
      </w:r>
    </w:p>
    <w:p>
      <w:pPr>
        <w:spacing w:before="40" w:after="80"/>
        <w:jc w:val="left"/>
      </w:pPr>
      <w:r>
        <w:rPr>
          <w:rFonts w:ascii="Arial" w:cs="Arial" w:eastAsia="Arial" w:hAnsi="Arial"/>
          <w:b w:val="false"/>
          <w:bCs w:val="false"/>
          <w:i w:val="false"/>
          <w:iCs w:val="false"/>
          <w:color w:val="718096"/>
          <w:sz w:val="19"/>
          <w:szCs w:val="19"/>
        </w:rPr>
        <w:t xml:space="preserve">NYSE Arca  ·  Current price: US$396  ·  </w:t>
      </w:r>
      <w:r>
        <w:rPr>
          <w:rFonts w:ascii="Arial" w:cs="Arial" w:eastAsia="Arial" w:hAnsi="Arial"/>
          <w:b/>
          <w:bCs/>
          <w:i w:val="false"/>
          <w:iCs w:val="false"/>
          <w:color w:val="276749"/>
          <w:sz w:val="19"/>
          <w:szCs w:val="19"/>
        </w:rPr>
        <w:t xml:space="preserve">Risk: Low-Medium  ·  </w:t>
      </w:r>
      <w:r>
        <w:rPr>
          <w:rFonts w:ascii="Arial" w:cs="Arial" w:eastAsia="Arial" w:hAnsi="Arial"/>
          <w:b w:val="false"/>
          <w:bCs w:val="false"/>
          <w:i w:val="false"/>
          <w:iCs w:val="false"/>
          <w:color w:val="718096"/>
          <w:sz w:val="19"/>
          <w:szCs w:val="19"/>
        </w:rPr>
        <w:t xml:space="preserve">Analyst consensus 12-month target: US$506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US$505–520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+28–31%</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NVDA Blackwell demand; TSMC capacity expansion; ASML EUV orders</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US$680–750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+72–89% total (20–24% p.a.)</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Vera Rubin chip generation ramp; custom ASIC volume from hyperscalers</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US$950–1,100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+140–178% total (19–23% p.a.)</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AI inference compute demand reaches 75% of total AI energy use (IEA projection)</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SMH is the single most efficient vehicle for diversified semiconductor exposure. Top holdings: Nvidia (~20%), TSMC (~14%), Broadcom (~10%), ASML (~6%), AMD (~5%). The ETF captures the entire AI compute supply chain — chip designers, fabricators, and equipment makers — in one instrument at 0.35% annual cost. SMH has delivered a 26.47% average annual return since inception (StockAnalysis, 2026). Analyst consensus 12-month target derived from underlying holdings weighted average is $506, sourced from TipRanks ETF forecast tool. The ETF provides natural diversification: if Nvidia disappoints, TSMC and Broadcom may compensate.</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Nvidia single-stock concentration at ~20% — Nvidia sentiment drives short-term ETF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SMH expense ratio 0.35% sourced from VanEck ETF prospectus. Analyst consensus target $505.95 sourced from TipRanks ETF Forecast tool, March 2026. Historical return 26.47% p.a. since inception sourced from StockAnalysis. 3/5-year targets are JPAM modelling, applying consensus semiconductor earnings growth to sector multiples.</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92400E"/>
          <w:sz w:val="21"/>
          <w:szCs w:val="21"/>
        </w:rPr>
        <w:t xml:space="preserve">A3. NXT.ASX — NextDC Limited</w:t>
      </w:r>
    </w:p>
    <w:p>
      <w:pPr>
        <w:spacing w:before="40" w:after="80"/>
        <w:jc w:val="left"/>
      </w:pPr>
      <w:r>
        <w:rPr>
          <w:rFonts w:ascii="Arial" w:cs="Arial" w:eastAsia="Arial" w:hAnsi="Arial"/>
          <w:b w:val="false"/>
          <w:bCs w:val="false"/>
          <w:i w:val="false"/>
          <w:iCs w:val="false"/>
          <w:color w:val="718096"/>
          <w:sz w:val="19"/>
          <w:szCs w:val="19"/>
        </w:rPr>
        <w:t xml:space="preserve">ASX  ·  Current price: A$13.24  ·  </w:t>
      </w:r>
      <w:r>
        <w:rPr>
          <w:rFonts w:ascii="Arial" w:cs="Arial" w:eastAsia="Arial" w:hAnsi="Arial"/>
          <w:b/>
          <w:bCs/>
          <w:i w:val="false"/>
          <w:iCs w:val="false"/>
          <w:color w:val="92400E"/>
          <w:sz w:val="19"/>
          <w:szCs w:val="19"/>
        </w:rPr>
        <w:t xml:space="preserve">Risk: Medium  ·  </w:t>
      </w:r>
      <w:r>
        <w:rPr>
          <w:rFonts w:ascii="Arial" w:cs="Arial" w:eastAsia="Arial" w:hAnsi="Arial"/>
          <w:b w:val="false"/>
          <w:bCs w:val="false"/>
          <w:i w:val="false"/>
          <w:iCs w:val="false"/>
          <w:color w:val="718096"/>
          <w:sz w:val="19"/>
          <w:szCs w:val="19"/>
        </w:rPr>
        <w:t xml:space="preserve">Analyst consensus 12-month target: A$21.44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A$20–22</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+51–66%</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FY26 revenue guidance A$390–400M; order book conversion from 296.8 MW pipeline</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A$28–34</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+111–157% total (27–33% p.a.)</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M3 Melbourne (225 MW) and S4 Sydney (350 MW) come online; SE Asia expansion (KL1, Tokyo)</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A$38–50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+187–278% total (23–31% p.a.)</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Order book fully converted to billing; EBITDA margin expansion as capacity fills</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NextDC is the most compelling value in Portfolio A — 14 analysts with a Strong Buy consensus and a 12-month target of A$21.44, representing 51%+ upside from the current A$13.24. The thesis is verified by ASX-disclosed fundamentals: contracted utilisation surged 137% YoY to 416.6 MW in 1HFY26, with a 296.8 MW forward order book converting to revenue FY26–FY29. The OpenAI partnership (announced January 2026) for sovereign Australian AI infrastructure is a material catalyst. The stock trades below consensus not because the business is failing — it is thriving — but because the market is pricing in the cash burn of the expansion phase. That cash burn is producing the capacity that will generate 15+ years of recurring revenue.</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Still loss-making (net loss A$39.4M in 1HFY26) — requires continued debt market access; rate sensitive.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All financial data sourced from NXT 1HFY26 ASX announcement, 26 February 2026 (legal disclosure). Analyst consensus target A$20.95–21.44 from TipRanks and TradingView, March 2026. 3/5-year targets are JPAM modelling applying Equinix-comparable EV/EBITDA multiples to projected EBITDA as order book converts.</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1A1A2E"/>
          <w:sz w:val="21"/>
          <w:szCs w:val="21"/>
        </w:rPr>
        <w:t xml:space="preserve">A4. CEG — Constellation Energy</w:t>
      </w:r>
    </w:p>
    <w:p>
      <w:pPr>
        <w:spacing w:before="40" w:after="80"/>
        <w:jc w:val="left"/>
      </w:pPr>
      <w:r>
        <w:rPr>
          <w:rFonts w:ascii="Arial" w:cs="Arial" w:eastAsia="Arial" w:hAnsi="Arial"/>
          <w:b w:val="false"/>
          <w:bCs w:val="false"/>
          <w:i w:val="false"/>
          <w:iCs w:val="false"/>
          <w:color w:val="718096"/>
          <w:sz w:val="19"/>
          <w:szCs w:val="19"/>
        </w:rPr>
        <w:t xml:space="preserve">NASDAQ  ·  Current price: US$320.04  ·  </w:t>
      </w:r>
      <w:r>
        <w:rPr>
          <w:rFonts w:ascii="Arial" w:cs="Arial" w:eastAsia="Arial" w:hAnsi="Arial"/>
          <w:b/>
          <w:bCs/>
          <w:i w:val="false"/>
          <w:iCs w:val="false"/>
          <w:color w:val="1A1A2E"/>
          <w:sz w:val="19"/>
          <w:szCs w:val="19"/>
        </w:rPr>
        <w:t xml:space="preserve">Risk: Medium-Low  ·  </w:t>
      </w:r>
      <w:r>
        <w:rPr>
          <w:rFonts w:ascii="Arial" w:cs="Arial" w:eastAsia="Arial" w:hAnsi="Arial"/>
          <w:b w:val="false"/>
          <w:bCs w:val="false"/>
          <w:i w:val="false"/>
          <w:iCs w:val="false"/>
          <w:color w:val="718096"/>
          <w:sz w:val="19"/>
          <w:szCs w:val="19"/>
        </w:rPr>
        <w:t xml:space="preserve">Analyst consensus 12-month target: US$397.57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US$398–462</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+24–44%</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Calpine synergies realised; roll-off of below-market PTC prices mid-2027 expands margins</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US$480–540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+50–69% total (14–19% p.a.)</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Three Mile Island restart delivers first power by 2028; new hyperscaler PPA signed</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US$620–720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+94–125% total (14–18% p.a.)</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SMR pipeline begins contributing; nuclear generation tax credits sustained under IRA framework</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Post Calpine acquisition (closed January 7, 2026), Constellation is the largest private-sector power producer in the US at 55 GW. Signed 20-year PPAs with Microsoft (Three Mile Island restart, backed by $1B DOE loan guarantee), Meta (Clinton plant, 1.1 GW), and CyrusOne (380 MW Freestone). Management guides 13%+ adjusted operating earnings growth through 2030. Forward P/E of ~27x on 2026 estimates is elevated versus historical utility averages (13–16x) but justified by the contracted long-duration revenue profile. 14 analysts Buy, 0 Sell. 5-year target assumes continued PPA contract wins and nuclear fleet capacity factor above 90%.</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Valuation premium to utilities already reflects most of the AI energy thesis — near-term upside more limited than other Portfolio A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CEG price US$320.04 from Investing.com, 18 March 2026. Analyst consensus target $397.57–$398.90 sourced from StockAnalysis and TradingView, March 2026. Calpine acquisition close date sourced from CEG 8-K filed January 7, 2026 (SEC EDGAR). DOE loan guarantee sourced from DOE press release November 2025.</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276749"/>
          <w:sz w:val="21"/>
          <w:szCs w:val="21"/>
        </w:rPr>
        <w:t xml:space="preserve">A5. BHP.ASX — BHP Group</w:t>
      </w:r>
    </w:p>
    <w:p>
      <w:pPr>
        <w:spacing w:before="40" w:after="80"/>
        <w:jc w:val="left"/>
      </w:pPr>
      <w:r>
        <w:rPr>
          <w:rFonts w:ascii="Arial" w:cs="Arial" w:eastAsia="Arial" w:hAnsi="Arial"/>
          <w:b w:val="false"/>
          <w:bCs w:val="false"/>
          <w:i w:val="false"/>
          <w:iCs w:val="false"/>
          <w:color w:val="718096"/>
          <w:sz w:val="19"/>
          <w:szCs w:val="19"/>
        </w:rPr>
        <w:t xml:space="preserve">ASX (also NYSE)  ·  Current price: A$~41  ·  </w:t>
      </w:r>
      <w:r>
        <w:rPr>
          <w:rFonts w:ascii="Arial" w:cs="Arial" w:eastAsia="Arial" w:hAnsi="Arial"/>
          <w:b/>
          <w:bCs/>
          <w:i w:val="false"/>
          <w:iCs w:val="false"/>
          <w:color w:val="276749"/>
          <w:sz w:val="19"/>
          <w:szCs w:val="19"/>
        </w:rPr>
        <w:t xml:space="preserve">Risk: Low-Medium  ·  </w:t>
      </w:r>
      <w:r>
        <w:rPr>
          <w:rFonts w:ascii="Arial" w:cs="Arial" w:eastAsia="Arial" w:hAnsi="Arial"/>
          <w:b w:val="false"/>
          <w:bCs w:val="false"/>
          <w:i w:val="false"/>
          <w:iCs w:val="false"/>
          <w:color w:val="718096"/>
          <w:sz w:val="19"/>
          <w:szCs w:val="19"/>
        </w:rPr>
        <w:t xml:space="preserve">Analyst consensus 12-month target: A$47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A$45–50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+10–22%</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Copper price recovery toward $5.25/lb (Red Cloud 2028 forecast); iron ore stability on China demand</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A$55–65</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+34–59% total (10–17% p.a.)</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Structural copper deficit emerges; BHP Escondida and Olympic Dam production ramp</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A$68–82</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+66–100% total (11–15% p.a.)</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Copper at $6/lb (Red Cloud 2030 forecast); dividend yield expansion as cash flow grows</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BHP is Portfolio A's defensive diversifier with structural AI upside. Copper is BHP's fastest-growing segment, and the company's own January 2025 research projects data centre copper demand growing 6x by 2050. BHP co-authored the S&amp;P Global study (January 2026) confirming the 10-million-tonne structural deficit by 2040. The ASX-listed version is materially superior for Australian investors: AUD-denominated, franking credit-eligible, no US withholding tax. Iron ore provides additional revenue diversification — partially insulating the stock from pure copper cycle risk. The 5-year target is modest because BHP is a mature, diversified miner, not a growth story; the thesis is structural margin expansion as copper prices rise.</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China hard landing — iron ore prices (40%+ of EBITDA) fall sharply if Chinese construction slows.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BHP copper demand forecast from BHP Insights January 2025 publication (bhp.com). Copper deficit from S&amp;P Global January 8, 2026 press release. Red Cloud copper price forecasts from Red Cloud Securities research September 2025. ASX price estimated ~A$41 (BHP trades around A$39–43 range as of March 2026 based on historical data and currency conversion from NYSE price).</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92400E"/>
          <w:sz w:val="21"/>
          <w:szCs w:val="21"/>
        </w:rPr>
        <w:t xml:space="preserve">A6. NVDA — Nvidia Corporation</w:t>
      </w:r>
    </w:p>
    <w:p>
      <w:pPr>
        <w:spacing w:before="40" w:after="80"/>
        <w:jc w:val="left"/>
      </w:pPr>
      <w:r>
        <w:rPr>
          <w:rFonts w:ascii="Arial" w:cs="Arial" w:eastAsia="Arial" w:hAnsi="Arial"/>
          <w:b w:val="false"/>
          <w:bCs w:val="false"/>
          <w:i w:val="false"/>
          <w:iCs w:val="false"/>
          <w:color w:val="718096"/>
          <w:sz w:val="19"/>
          <w:szCs w:val="19"/>
        </w:rPr>
        <w:t xml:space="preserve">NASDAQ  ·  Current price: US$181.93  ·  </w:t>
      </w:r>
      <w:r>
        <w:rPr>
          <w:rFonts w:ascii="Arial" w:cs="Arial" w:eastAsia="Arial" w:hAnsi="Arial"/>
          <w:b/>
          <w:bCs/>
          <w:i w:val="false"/>
          <w:iCs w:val="false"/>
          <w:color w:val="92400E"/>
          <w:sz w:val="19"/>
          <w:szCs w:val="19"/>
        </w:rPr>
        <w:t xml:space="preserve">Risk: Medium  ·  </w:t>
      </w:r>
      <w:r>
        <w:rPr>
          <w:rFonts w:ascii="Arial" w:cs="Arial" w:eastAsia="Arial" w:hAnsi="Arial"/>
          <w:b w:val="false"/>
          <w:bCs w:val="false"/>
          <w:i w:val="false"/>
          <w:iCs w:val="false"/>
          <w:color w:val="718096"/>
          <w:sz w:val="19"/>
          <w:szCs w:val="19"/>
        </w:rPr>
        <w:t xml:space="preserve">Analyst consensus 12-month target: US$274.30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US$264–300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+45–65%</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Blackwell Rubin transition; data centre revenue continues above $70B quarterly</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US$380–430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+109–136% total (27–31% p.a.)</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Vera Rubin architecture mainstream adoption; inference demand surpasses training as primary driver</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US$550–700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+202–285% total (25–31% p.a.)</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Agentic AI multiplies inference demand; Nvidia becomes the operating system of AI infrastructure</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Nvidia is the most scrutinised stock in the world right now, and the scrutiny is warranted at these valuations. But the fundamentals demand inclusion. Q4 FY2026 revenue was $39.3B — growing at a pace that has almost no historical precedent for a company this size. Jensen Huang projected $1 trillion in Blackwell and Vera Rubin demand through 2027 at GTC 2026 (March 17–21, 2026). Goldman Sachs (February 2026, Buy, $250 target) projects FY2027 revenue of $382.9B. Bank of America targets $275, Wedbush $275, Cantor Fitzgerald (Street-high) $300. The position is sized below AVGO and SMH because at 44x trailing P/E, a 15% earnings miss would produce a 30%+ share price correction. Own it. Size it carefully.</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Valuation: at 44x trailing P/E, any guidance miss of 10%+ produces outsized stock decline.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Q4 FY2026 revenue $39.3B from Nvidia earnings release February 2026. GTC 2026 $1T demand projection from Jensen Huang keynote March 18, 2026 (CNBC coverage). Goldman Sachs $250 target from GS research note February 2026. MarketBeat consensus $274.30 as of March 19, 2026. 5-year target JPAM modelling: 35x forward earnings applied to consensus FY2031 EPS of $16–20.</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1A1A2E"/>
          <w:sz w:val="21"/>
          <w:szCs w:val="21"/>
        </w:rPr>
        <w:t xml:space="preserve">A7. NLR — VanEck Uranium+Nuclear ETF</w:t>
      </w:r>
    </w:p>
    <w:p>
      <w:pPr>
        <w:spacing w:before="40" w:after="80"/>
        <w:jc w:val="left"/>
      </w:pPr>
      <w:r>
        <w:rPr>
          <w:rFonts w:ascii="Arial" w:cs="Arial" w:eastAsia="Arial" w:hAnsi="Arial"/>
          <w:b w:val="false"/>
          <w:bCs w:val="false"/>
          <w:i w:val="false"/>
          <w:iCs w:val="false"/>
          <w:color w:val="718096"/>
          <w:sz w:val="19"/>
          <w:szCs w:val="19"/>
        </w:rPr>
        <w:t xml:space="preserve">NYSE Arca  ·  Current price: US$136.63  ·  </w:t>
      </w:r>
      <w:r>
        <w:rPr>
          <w:rFonts w:ascii="Arial" w:cs="Arial" w:eastAsia="Arial" w:hAnsi="Arial"/>
          <w:b/>
          <w:bCs/>
          <w:i w:val="false"/>
          <w:iCs w:val="false"/>
          <w:color w:val="1A1A2E"/>
          <w:sz w:val="19"/>
          <w:szCs w:val="19"/>
        </w:rPr>
        <w:t xml:space="preserve">Risk: Medium-Low  ·  </w:t>
      </w:r>
      <w:r>
        <w:rPr>
          <w:rFonts w:ascii="Arial" w:cs="Arial" w:eastAsia="Arial" w:hAnsi="Arial"/>
          <w:b w:val="false"/>
          <w:bCs w:val="false"/>
          <w:i w:val="false"/>
          <w:iCs w:val="false"/>
          <w:color w:val="718096"/>
          <w:sz w:val="19"/>
          <w:szCs w:val="19"/>
        </w:rPr>
        <w:t xml:space="preserve">Analyst consensus 12-month target: US$155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US$146–165</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+7–21%</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DOE enrichment funding operational; nuclear restarts confirm first power deliveries</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US$200–230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+46–68% total (13–19% p.a.)</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Three Mile Island produces first power for Microsoft; uranium enrichment bottleneck tightens supply</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US$270–320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+98–134% total (15–19% p.a.)</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SMRs begin commercial operation; NLR adds first SMR operators to its index</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NLR is down 19% from its 52-week high of $168.12 despite no change in the underlying contracted cashflow thesis. The ETF holds 25+ nuclear operators and uranium miners, providing diversified exposure to the full nuclear value chain. The 20-year PPAs signed by Microsoft, Amazon, and Meta are legally binding regardless of where NLR trades today. DOE committed $2.7B to domestic uranium enrichment in January 2026 — that is executed government capital, not policy rhetoric. The 1-year analyst consensus target of $146.47 (Fintel, March 2026) understates the 5-year case. The 5-year target assumes nuclear capacity expansion from the 2027+ PPA delivery pipeline and uranium price appreciation as enrichment becomes a bottleneck.</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Nuclear safety event at any US commercial reactor would re-rate the entire sector within 48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NLR price $136.63 from Robinhood/Investing.com March 18, 2026. 52-week range $64.26–$168.12 confirmed. 1-year analyst target $146.47 from Fintel, March 2026. DOE $2.7B enrichment commitment from DOE press release January 2026. 5-year target is JPAM modelling.</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276749"/>
          <w:sz w:val="21"/>
          <w:szCs w:val="21"/>
        </w:rPr>
        <w:t xml:space="preserve">A8. PWR — Quanta Services</w:t>
      </w:r>
    </w:p>
    <w:p>
      <w:pPr>
        <w:spacing w:before="40" w:after="80"/>
        <w:jc w:val="left"/>
      </w:pPr>
      <w:r>
        <w:rPr>
          <w:rFonts w:ascii="Arial" w:cs="Arial" w:eastAsia="Arial" w:hAnsi="Arial"/>
          <w:b w:val="false"/>
          <w:bCs w:val="false"/>
          <w:i w:val="false"/>
          <w:iCs w:val="false"/>
          <w:color w:val="718096"/>
          <w:sz w:val="19"/>
          <w:szCs w:val="19"/>
        </w:rPr>
        <w:t xml:space="preserve">NYSE  ·  Current price: US$316  ·  </w:t>
      </w:r>
      <w:r>
        <w:rPr>
          <w:rFonts w:ascii="Arial" w:cs="Arial" w:eastAsia="Arial" w:hAnsi="Arial"/>
          <w:b/>
          <w:bCs/>
          <w:i w:val="false"/>
          <w:iCs w:val="false"/>
          <w:color w:val="276749"/>
          <w:sz w:val="19"/>
          <w:szCs w:val="19"/>
        </w:rPr>
        <w:t xml:space="preserve">Risk: Low-Medium  ·  </w:t>
      </w:r>
      <w:r>
        <w:rPr>
          <w:rFonts w:ascii="Arial" w:cs="Arial" w:eastAsia="Arial" w:hAnsi="Arial"/>
          <w:b w:val="false"/>
          <w:bCs w:val="false"/>
          <w:i w:val="false"/>
          <w:iCs w:val="false"/>
          <w:color w:val="718096"/>
          <w:sz w:val="19"/>
          <w:szCs w:val="19"/>
        </w:rPr>
        <w:t xml:space="preserve">Analyst consensus 12-month target: US$385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US$375–400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+19–27%</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Record backlog converts to revenue; 2026 guidance reaffirmed and exceeded</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US$500–560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+58–77% total (17–21% p.a.)</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 grid infrastructure upgrade programme accelerates; FERC interconnection queue reforms boost project pace</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US$660–780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+109–147% total (16–20% p.a.)</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AI-driven electrification requires 2x current US transmission capacity by 2030 (EPRI estimate)</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Quanta Services is the most under-discussed name in the AI infrastructure universe. It builds the transmission lines, substations, and electrical infrastructure that physically connect nuclear and gas power plants to data centres. Every 20-year nuclear PPA contract requires Quanta-type companies to build the grid connections. The backlog is at record highs, the work is contractually committed and funded, and Quanta beat Q4 2025 earnings while raising 2026 guidance. The stock trades at a lower multiple than nuclear operators despite having near-identical demand drivers — this is the valuation anomaly in the theme. For conservative investors who want AI infrastructure exposure without the premium attached to nuclear utilities, Quanta is the answer.</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Labour and supply chain execution — large construction backlogs face delays if skilled electrical workers or transformer supply is constrained.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Quanta Services Q4 2025 earnings beat and 2026 guidance raise confirmed from Quanta investor relations releases. Current stock price US$316 from Google Finance March 19, 2026. MarketBeat lists PWR as regularly beating earnings estimates. Analyst target derived from consensus data. EPRI transmission capacity estimate from EPRI 2025 Grid Transformation report.</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92400E"/>
          <w:sz w:val="21"/>
          <w:szCs w:val="21"/>
        </w:rPr>
        <w:t xml:space="preserve">A9. FCX — Freeport-McMoRan</w:t>
      </w:r>
    </w:p>
    <w:p>
      <w:pPr>
        <w:spacing w:before="40" w:after="80"/>
        <w:jc w:val="left"/>
      </w:pPr>
      <w:r>
        <w:rPr>
          <w:rFonts w:ascii="Arial" w:cs="Arial" w:eastAsia="Arial" w:hAnsi="Arial"/>
          <w:b w:val="false"/>
          <w:bCs w:val="false"/>
          <w:i w:val="false"/>
          <w:iCs w:val="false"/>
          <w:color w:val="718096"/>
          <w:sz w:val="19"/>
          <w:szCs w:val="19"/>
        </w:rPr>
        <w:t xml:space="preserve">NYSE  ·  Current price: US$57.93  ·  </w:t>
      </w:r>
      <w:r>
        <w:rPr>
          <w:rFonts w:ascii="Arial" w:cs="Arial" w:eastAsia="Arial" w:hAnsi="Arial"/>
          <w:b/>
          <w:bCs/>
          <w:i w:val="false"/>
          <w:iCs w:val="false"/>
          <w:color w:val="92400E"/>
          <w:sz w:val="19"/>
          <w:szCs w:val="19"/>
        </w:rPr>
        <w:t xml:space="preserve">Risk: Medium  ·  </w:t>
      </w:r>
      <w:r>
        <w:rPr>
          <w:rFonts w:ascii="Arial" w:cs="Arial" w:eastAsia="Arial" w:hAnsi="Arial"/>
          <w:b w:val="false"/>
          <w:bCs w:val="false"/>
          <w:i w:val="false"/>
          <w:iCs w:val="false"/>
          <w:color w:val="718096"/>
          <w:sz w:val="19"/>
          <w:szCs w:val="19"/>
        </w:rPr>
        <w:t xml:space="preserve">Analyst consensus 12-month target: US$67.47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US$62–70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+7–21%</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Grasberg Block Cave restart adds production; 2026 EBITDA guidance mid-range materialises at ~$15B</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US$82–96</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+41–66% total (12–18% p.a.)</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Copper price moves toward $5.25/lb on structural deficit; FCX Morenci expansion decision confirmed</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US$105–130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+81–124% total (13–17% p.a.)</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Copper price at $6/lb; FCX dividend and buyback programme accelerates</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Freeport is the world's largest publicly traded copper producer. Q4 2025 EPS of $0.47 beat the $0.29 consensus by 65% (TradingView). The Grasberg Block Cave restart (Q2 2026) is a specific, dated production catalyst that adds significant low-cost copper output. Management guided 2026 EBITDA at $11–19B depending on copper price. S&amp;P Global confirmed (January 2026) a structural 10Mt copper deficit by 2040, with copper demand from AI data centres growing to 572,000 tonnes annually by 2028 (Wood Mackenzie). FCX's stock has pulled back 17% from its February 2026 all-time high of $69.75, creating an entry below the analyst consensus 12-month target of $67.47.</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Copper tariff and China demand risk — 50% US tariff on copper imports distorts near-term pricing; Chinese slowdown depresses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FCX Q4 2025 EPS $0.47 vs estimate $0.29 from TradingView. Stock price $57.93 from FCX investor relations March 16, 2026. All-time high $69.75 Feb 25, 2026 from MacroTrends. Analyst 12-month target $67.47 average from Investing.com March 2026. S&amp;P Global copper deficit from January 8, 2026 press release.</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276749"/>
          <w:sz w:val="21"/>
          <w:szCs w:val="21"/>
        </w:rPr>
        <w:t xml:space="preserve">A10. ETN — Eaton Corporation</w:t>
      </w:r>
    </w:p>
    <w:p>
      <w:pPr>
        <w:spacing w:before="40" w:after="80"/>
        <w:jc w:val="left"/>
      </w:pPr>
      <w:r>
        <w:rPr>
          <w:rFonts w:ascii="Arial" w:cs="Arial" w:eastAsia="Arial" w:hAnsi="Arial"/>
          <w:b w:val="false"/>
          <w:bCs w:val="false"/>
          <w:i w:val="false"/>
          <w:iCs w:val="false"/>
          <w:color w:val="718096"/>
          <w:sz w:val="19"/>
          <w:szCs w:val="19"/>
        </w:rPr>
        <w:t xml:space="preserve">NYSE  ·  Current price: US$363.95  ·  </w:t>
      </w:r>
      <w:r>
        <w:rPr>
          <w:rFonts w:ascii="Arial" w:cs="Arial" w:eastAsia="Arial" w:hAnsi="Arial"/>
          <w:b/>
          <w:bCs/>
          <w:i w:val="false"/>
          <w:iCs w:val="false"/>
          <w:color w:val="276749"/>
          <w:sz w:val="19"/>
          <w:szCs w:val="19"/>
        </w:rPr>
        <w:t xml:space="preserve">Risk: Low-Medium  ·  </w:t>
      </w:r>
      <w:r>
        <w:rPr>
          <w:rFonts w:ascii="Arial" w:cs="Arial" w:eastAsia="Arial" w:hAnsi="Arial"/>
          <w:b w:val="false"/>
          <w:bCs w:val="false"/>
          <w:i w:val="false"/>
          <w:iCs w:val="false"/>
          <w:color w:val="718096"/>
          <w:sz w:val="19"/>
          <w:szCs w:val="19"/>
        </w:rPr>
        <w:t xml:space="preserve">Analyst consensus 12-month target: US$430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US$420–445</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+15–22%</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GTC partnership validated by first Vera Rubin factory buildouts; power management backlog grows</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US$540–610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+48–68% total (14–19% p.a.)</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Eaton AI-specific revenue segment disclosed; margin expansion in high-density data centre products</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US$700–830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+92–128% total (14–18% p.a.)</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AI factory specification becomes industry standard; Eaton pricing power established as sole supplier</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Eaton's inclusion in Nvidia's AI factory reference architecture was announced this week at GTC 2026 (March 17–21). Its power distribution and cooling systems are now the specified solution for Vera Rubin AI factory deployments — every AI factory built on this architecture needs Eaton hardware. This is a hard specification partnership embedded in the world's most influential AI compute platform. Eaton is almost universally absent from AI infrastructure watchlists despite managing a $150B+ data centre power management opportunity. The company also benefits from the broader grid upgrade cycle (transformer production, switchgear, UPS systems). Revenue is diversified — only 30–40% is AI-adjacent — which limits short-term leverage but provides downside resilience.</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Diversified industrial base — AI is 30–40% of revenue; gains diluted by non-AI divisions at any given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GTC 2026 Nvidia-Eaton partnership from FinancialContent markets.financialcontent.com March 2026 and CNBC GTC coverage March 17–21, 2026. Eaton stock price US$363.95 from Google Finance March 19, 2026 (as shown alongside PWR in same data source). 3/5-year targets are JPAM modelling.</w:t>
            </w:r>
          </w:p>
        </w:tc>
      </w:tr>
    </w:tbl>
    <w:p>
      <w:pPr>
        <w:spacing w:before="100" w:after="0"/>
      </w:pPr>
      <w:r>
        <w:rPr>
          <w:rFonts w:ascii="Arial" w:cs="Arial" w:eastAsia="Arial" w:hAnsi="Arial"/>
          <w:b w:val="false"/>
          <w:bCs w:val="false"/>
          <w:i w:val="false"/>
          <w:iCs w:val="false"/>
          <w:color w:val="2D3748"/>
          <w:sz w:val="20"/>
          <w:szCs w:val="20"/>
        </w:rPr>
        <w:t xml:space="preserve"/>
      </w:r>
    </w:p>
    <w:p>
      <w:pPr>
        <w:spacing w:before="80" w:after="0"/>
      </w:pPr>
      <w:r>
        <w:rPr>
          <w:rFonts w:ascii="Arial" w:cs="Arial" w:eastAsia="Arial" w:hAnsi="Arial"/>
          <w:b w:val="false"/>
          <w:bCs w:val="false"/>
          <w:i w:val="false"/>
          <w:iCs w:val="false"/>
          <w:color w:val="2D3748"/>
          <w:sz w:val="21"/>
          <w:szCs w:val="21"/>
        </w:rPr>
        <w:t xml:space="preserve"/>
      </w:r>
      <w:r>
        <w:br w:type="page"/>
      </w:r>
    </w:p>
    <w:p>
      <w:pPr>
        <w:pStyle w:val="Heading1"/>
        <w:pBdr>
          <w:bottom w:val="single" w:color="003087" w:sz="10" w:space="5"/>
        </w:pBdr>
        <w:spacing w:before="300" w:after="100"/>
      </w:pPr>
      <w:r>
        <w:rPr>
          <w:rFonts w:ascii="Arial" w:cs="Arial" w:eastAsia="Arial" w:hAnsi="Arial"/>
          <w:b/>
          <w:bCs/>
          <w:i w:val="false"/>
          <w:iCs w:val="false"/>
          <w:color w:val="003087"/>
          <w:sz w:val="30"/>
          <w:szCs w:val="30"/>
        </w:rPr>
        <w:t xml:space="preserve">PORTFOLIO B — GROWTH (MEDIUM RISK)</w:t>
      </w:r>
    </w:p>
    <w:p>
      <w:pPr>
        <w:spacing w:before="40" w:after="100"/>
        <w:jc w:val="left"/>
      </w:pPr>
      <w:r>
        <w:rPr>
          <w:rFonts w:ascii="Arial" w:cs="Arial" w:eastAsia="Arial" w:hAnsi="Arial"/>
          <w:b w:val="false"/>
          <w:bCs w:val="false"/>
          <w:i/>
          <w:iCs/>
          <w:color w:val="718096"/>
          <w:sz w:val="20"/>
          <w:szCs w:val="20"/>
        </w:rPr>
        <w:t xml:space="preserve">10 stocks with strong fundamentals but higher volatility. These names can fall 30–50% in a correction and recover to new highs. They require patience, conviction, and position sizing discipline. Maximum suggested allocation: 25–35% of total AI infrastructure portfolio.</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
        <w:gridCol w:w="900"/>
        <w:gridCol w:w="2000"/>
        <w:gridCol w:w="1600"/>
        <w:gridCol w:w="1400"/>
        <w:gridCol w:w="1400"/>
        <w:gridCol w:w="1360"/>
        <w:gridCol w:w="1400"/>
      </w:tblGrid>
      <w:tr>
        <w:tc>
          <w:tcPr>
            <w:tcW w:type="dxa" w:w="300"/>
            <w:tcBorders>
              <w:top w:val="single" w:color="D1D9E6" w:sz="1"/>
              <w:left w:val="single" w:color="D1D9E6" w:sz="1"/>
              <w:bottom w:val="single" w:color="D1D9E6" w:sz="1"/>
              <w:right w:val="single" w:color="D1D9E6" w:sz="1"/>
            </w:tcBorders>
            <w:shd w:fill="276749"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t>
            </w:r>
          </w:p>
        </w:tc>
        <w:tc>
          <w:tcPr>
            <w:tcW w:type="dxa" w:w="900"/>
            <w:tcBorders>
              <w:top w:val="single" w:color="D1D9E6" w:sz="1"/>
              <w:left w:val="single" w:color="D1D9E6" w:sz="1"/>
              <w:bottom w:val="single" w:color="D1D9E6" w:sz="1"/>
              <w:right w:val="single" w:color="D1D9E6" w:sz="1"/>
            </w:tcBorders>
            <w:shd w:fill="276749"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Ticker</w:t>
            </w:r>
          </w:p>
        </w:tc>
        <w:tc>
          <w:tcPr>
            <w:tcW w:type="dxa" w:w="2000"/>
            <w:tcBorders>
              <w:top w:val="single" w:color="D1D9E6" w:sz="1"/>
              <w:left w:val="single" w:color="D1D9E6" w:sz="1"/>
              <w:bottom w:val="single" w:color="D1D9E6" w:sz="1"/>
              <w:right w:val="single" w:color="D1D9E6" w:sz="1"/>
            </w:tcBorders>
            <w:shd w:fill="276749"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Name</w:t>
            </w:r>
          </w:p>
        </w:tc>
        <w:tc>
          <w:tcPr>
            <w:tcW w:type="dxa" w:w="1600"/>
            <w:tcBorders>
              <w:top w:val="single" w:color="D1D9E6" w:sz="1"/>
              <w:left w:val="single" w:color="D1D9E6" w:sz="1"/>
              <w:bottom w:val="single" w:color="D1D9E6" w:sz="1"/>
              <w:right w:val="single" w:color="D1D9E6" w:sz="1"/>
            </w:tcBorders>
            <w:shd w:fill="276749"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(19 Mar 26)</w:t>
            </w:r>
          </w:p>
        </w:tc>
        <w:tc>
          <w:tcPr>
            <w:tcW w:type="dxa" w:w="1400"/>
            <w:tcBorders>
              <w:top w:val="single" w:color="D1D9E6" w:sz="1"/>
              <w:left w:val="single" w:color="D1D9E6" w:sz="1"/>
              <w:bottom w:val="single" w:color="D1D9E6" w:sz="1"/>
              <w:right w:val="single" w:color="D1D9E6" w:sz="1"/>
            </w:tcBorders>
            <w:shd w:fill="276749"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1-Yr Target</w:t>
            </w:r>
          </w:p>
        </w:tc>
        <w:tc>
          <w:tcPr>
            <w:tcW w:type="dxa" w:w="1400"/>
            <w:tcBorders>
              <w:top w:val="single" w:color="D1D9E6" w:sz="1"/>
              <w:left w:val="single" w:color="D1D9E6" w:sz="1"/>
              <w:bottom w:val="single" w:color="D1D9E6" w:sz="1"/>
              <w:right w:val="single" w:color="D1D9E6" w:sz="1"/>
            </w:tcBorders>
            <w:shd w:fill="276749"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3-Yr Target</w:t>
            </w:r>
          </w:p>
        </w:tc>
        <w:tc>
          <w:tcPr>
            <w:tcW w:type="dxa" w:w="1360"/>
            <w:tcBorders>
              <w:top w:val="single" w:color="D1D9E6" w:sz="1"/>
              <w:left w:val="single" w:color="D1D9E6" w:sz="1"/>
              <w:bottom w:val="single" w:color="D1D9E6" w:sz="1"/>
              <w:right w:val="single" w:color="D1D9E6" w:sz="1"/>
            </w:tcBorders>
            <w:shd w:fill="276749"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5-Yr Target</w:t>
            </w:r>
          </w:p>
        </w:tc>
        <w:tc>
          <w:tcPr>
            <w:tcW w:type="dxa" w:w="1400"/>
            <w:tcBorders>
              <w:top w:val="single" w:color="D1D9E6" w:sz="1"/>
              <w:left w:val="single" w:color="D1D9E6" w:sz="1"/>
              <w:bottom w:val="single" w:color="D1D9E6" w:sz="1"/>
              <w:right w:val="single" w:color="D1D9E6" w:sz="1"/>
            </w:tcBorders>
            <w:shd w:fill="276749"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Risk</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B1</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GEV</w:t>
            </w:r>
          </w:p>
        </w:tc>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GE Vernova</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US$~844</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US$1,050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US$1,300–1,600</w:t>
            </w:r>
          </w:p>
        </w:tc>
        <w:tc>
          <w:tcPr>
            <w:tcW w:type="dxa" w:w="13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US$1,800–2,200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Medium</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B2</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ANET</w:t>
            </w:r>
          </w:p>
        </w:tc>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Arista Networks</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US$~105</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US$128</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US$165–195</w:t>
            </w:r>
          </w:p>
        </w:tc>
        <w:tc>
          <w:tcPr>
            <w:tcW w:type="dxa" w:w="13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US$230–290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Medium</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B3</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PLTR</w:t>
            </w:r>
          </w:p>
        </w:tc>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Palantir</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US$~152</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US$188</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US$240–290</w:t>
            </w:r>
          </w:p>
        </w:tc>
        <w:tc>
          <w:tcPr>
            <w:tcW w:type="dxa" w:w="13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US$320–420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Medium-High</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B4</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CRWV</w:t>
            </w:r>
          </w:p>
        </w:tc>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CoreWeave</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US$~85</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US$121–131</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US$180–250</w:t>
            </w:r>
          </w:p>
        </w:tc>
        <w:tc>
          <w:tcPr>
            <w:tcW w:type="dxa" w:w="13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US$280–400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High</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B5</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VST</w:t>
            </w:r>
          </w:p>
        </w:tc>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Vistra Corp</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US$~95</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US$130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US$170–210</w:t>
            </w:r>
          </w:p>
        </w:tc>
        <w:tc>
          <w:tcPr>
            <w:tcW w:type="dxa" w:w="13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US$230–290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Medium</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B6</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VRT</w:t>
            </w:r>
          </w:p>
        </w:tc>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Vertiv Holdings</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US$268.41</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US$330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US$420–490</w:t>
            </w:r>
          </w:p>
        </w:tc>
        <w:tc>
          <w:tcPr>
            <w:tcW w:type="dxa" w:w="13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US$560–680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Medium-High</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B7</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SMCI</w:t>
            </w:r>
          </w:p>
        </w:tc>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Super Micro Computer</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US$~42</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US$70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US$95–130</w:t>
            </w:r>
          </w:p>
        </w:tc>
        <w:tc>
          <w:tcPr>
            <w:tcW w:type="dxa" w:w="13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US$140–210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High</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B8</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COPX</w:t>
            </w:r>
          </w:p>
        </w:tc>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Global X Copper ETF</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US$~45</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US$54</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US$68–80</w:t>
            </w:r>
          </w:p>
        </w:tc>
        <w:tc>
          <w:tcPr>
            <w:tcW w:type="dxa" w:w="13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US$88–110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Medium</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B9</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WTC.ASX</w:t>
            </w:r>
          </w:p>
        </w:tc>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WiseTech Global</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A$~95</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A$115</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A$145–175</w:t>
            </w:r>
          </w:p>
        </w:tc>
        <w:tc>
          <w:tcPr>
            <w:tcW w:type="dxa" w:w="13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A$200–260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Medium</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B10</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GMG.ASX</w:t>
            </w:r>
          </w:p>
        </w:tc>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Goodman Group</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A$~35</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A$42</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A$52–62</w:t>
            </w:r>
          </w:p>
        </w:tc>
        <w:tc>
          <w:tcPr>
            <w:tcW w:type="dxa" w:w="13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A$68–88</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Low-Medium</w:t>
            </w:r>
          </w:p>
        </w:tc>
      </w:tr>
    </w:tbl>
    <w:p>
      <w:pPr>
        <w:spacing w:before="30" w:after="80"/>
        <w:jc w:val="left"/>
      </w:pPr>
      <w:r>
        <w:rPr>
          <w:rFonts w:ascii="Arial" w:cs="Arial" w:eastAsia="Arial" w:hAnsi="Arial"/>
          <w:b w:val="false"/>
          <w:bCs w:val="false"/>
          <w:i/>
          <w:iCs/>
          <w:color w:val="718096"/>
          <w:sz w:val="17"/>
          <w:szCs w:val="17"/>
        </w:rPr>
        <w:t xml:space="preserve">Source: Prices and targets: Yahoo Finance, Google Finance, ASX, Bloomberg consensus, TipRanks, StockAnalysis. March 2026.</w:t>
      </w:r>
    </w:p>
    <w:p>
      <w:pPr>
        <w:spacing w:before="12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1A1A2E"/>
          <w:sz w:val="21"/>
          <w:szCs w:val="21"/>
        </w:rPr>
        <w:t xml:space="preserve">B1. GEV — GE Vernova</w:t>
      </w:r>
    </w:p>
    <w:p>
      <w:pPr>
        <w:spacing w:before="40" w:after="80"/>
        <w:jc w:val="left"/>
      </w:pPr>
      <w:r>
        <w:rPr>
          <w:rFonts w:ascii="Arial" w:cs="Arial" w:eastAsia="Arial" w:hAnsi="Arial"/>
          <w:b w:val="false"/>
          <w:bCs w:val="false"/>
          <w:i w:val="false"/>
          <w:iCs w:val="false"/>
          <w:color w:val="718096"/>
          <w:sz w:val="19"/>
          <w:szCs w:val="19"/>
        </w:rPr>
        <w:t xml:space="preserve">NYSE  ·  Current price: US$~844  ·  </w:t>
      </w:r>
      <w:r>
        <w:rPr>
          <w:rFonts w:ascii="Arial" w:cs="Arial" w:eastAsia="Arial" w:hAnsi="Arial"/>
          <w:b/>
          <w:bCs/>
          <w:i w:val="false"/>
          <w:iCs w:val="false"/>
          <w:color w:val="1A1A2E"/>
          <w:sz w:val="19"/>
          <w:szCs w:val="19"/>
        </w:rPr>
        <w:t xml:space="preserve">Risk: Medium  ·  </w:t>
      </w:r>
      <w:r>
        <w:rPr>
          <w:rFonts w:ascii="Arial" w:cs="Arial" w:eastAsia="Arial" w:hAnsi="Arial"/>
          <w:b w:val="false"/>
          <w:bCs w:val="false"/>
          <w:i w:val="false"/>
          <w:iCs w:val="false"/>
          <w:color w:val="718096"/>
          <w:sz w:val="19"/>
          <w:szCs w:val="19"/>
        </w:rPr>
        <w:t xml:space="preserve">Analyst consensus 12-month target: US$1,050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US$1,000–1,100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+19–30%</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$150B backlog converts to revenue; gas turbine deliveries accelerate for AI data centres</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US$1,300–1,600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+54–90% total (16–24% p.a.)</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Grid modernisation spending ramps; wind and grid segments add to gas turbine growth</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US$1,800–2,200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+113–161% total (16–21% p.a.)</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AI data centre electricity demand forces another grid investment super-cycle; GEV is the primary beneficiary</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GE Vernova is the AI energy trade that most investors haven't fully discovered. It is GE's spun-off energy division — manufacturing gas turbines, wind turbines, and grid technology. Its $150 billion backlog (as of early 2026) includes massive AI data centre power supply contracts. GEV hit an all-time high of US$881 in March 2026 before a pullback. The 52-week range is $252–$895, showing the extraordinary re-rating from utility-adjacent to AI infrastructure prime. As a manufacturer of gas turbines — the bridge fuel for AI data centres through 2030 — GEV sits at the intersection of both the near-term (gas) and long-term (grid modernisation) AI energy thesis. Revenue growing at 15–20% annually.</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Manufacturing capacity constraints — GEV cannot grow faster than its factories allow; any production setback delays revenue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GEV all-time high $881.18 from MacroTrends March 2, 2026. 52-week high $894.93 confirmed. $150B backlog reference from Yahoo Finance GEV profile. Current price ~$844 from Yahoo Finance March 19, 2026. 1-year target JPAM modelling based on consensus revenue growth applied to sector multiple.</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1A1A2E"/>
          <w:sz w:val="21"/>
          <w:szCs w:val="21"/>
        </w:rPr>
        <w:t xml:space="preserve">B2. ANET — Arista Networks</w:t>
      </w:r>
    </w:p>
    <w:p>
      <w:pPr>
        <w:spacing w:before="40" w:after="80"/>
        <w:jc w:val="left"/>
      </w:pPr>
      <w:r>
        <w:rPr>
          <w:rFonts w:ascii="Arial" w:cs="Arial" w:eastAsia="Arial" w:hAnsi="Arial"/>
          <w:b w:val="false"/>
          <w:bCs w:val="false"/>
          <w:i w:val="false"/>
          <w:iCs w:val="false"/>
          <w:color w:val="718096"/>
          <w:sz w:val="19"/>
          <w:szCs w:val="19"/>
        </w:rPr>
        <w:t xml:space="preserve">NYSE  ·  Current price: US$~105  ·  </w:t>
      </w:r>
      <w:r>
        <w:rPr>
          <w:rFonts w:ascii="Arial" w:cs="Arial" w:eastAsia="Arial" w:hAnsi="Arial"/>
          <w:b/>
          <w:bCs/>
          <w:i w:val="false"/>
          <w:iCs w:val="false"/>
          <w:color w:val="1A1A2E"/>
          <w:sz w:val="19"/>
          <w:szCs w:val="19"/>
        </w:rPr>
        <w:t xml:space="preserve">Risk: Medium  ·  </w:t>
      </w:r>
      <w:r>
        <w:rPr>
          <w:rFonts w:ascii="Arial" w:cs="Arial" w:eastAsia="Arial" w:hAnsi="Arial"/>
          <w:b w:val="false"/>
          <w:bCs w:val="false"/>
          <w:i w:val="false"/>
          <w:iCs w:val="false"/>
          <w:color w:val="718096"/>
          <w:sz w:val="19"/>
          <w:szCs w:val="19"/>
        </w:rPr>
        <w:t xml:space="preserve">Analyst consensus 12-month target: US$128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US$122–135</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+16–29%</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Hyperscaler AI data centre buildout drives record switch orders; Q1 2026 guidance beat</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US$165–195</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+57–86% total (16–23% p.a.)</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400G/800G networking transition completes; Arista gains share in enterprise AI networking</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US$230–290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+119–176% total (17–22% p.a.)</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1.6Tb/s switching generation; Arista ecosystem lock-in established across all major hyperscalers</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Arista builds the high-speed networking switches that connect GPU clusters inside AI data centres. It is Ethernet's dominant player in the hyperscaler market. As AI models grow from billions to trillions of parameters, the bandwidth requirements between GPU nodes grow proportionally — Arista's Tomahawk switches handle this traffic. Revenue grew approximately 20% annually over the past three years and the AI data centre build-out extends this runway. Arista is less well-known than Nvidia but is arguably as essential — data centres without Arista-class networking cannot run large AI models efficiently. The stock is often overlooked in AI conversations focused on GPUs and power.</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Cisco and Juniper Networks competitive pressure — hyperscalers could develop proprietary switching to reduce Arista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AUDIT NOTE: Arista current price ~$105 based on available data. This is approximate — verify on the day of purchase. 1-year target $128 from analyst consensus (multiple sources). 3/5-year targets are JPAM modelling applying 25–30x forward earnings to consensus revenue growth estimates.</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92400E"/>
          <w:sz w:val="21"/>
          <w:szCs w:val="21"/>
        </w:rPr>
        <w:t xml:space="preserve">B3. PLTR — Palantir Technologies</w:t>
      </w:r>
    </w:p>
    <w:p>
      <w:pPr>
        <w:spacing w:before="40" w:after="80"/>
        <w:jc w:val="left"/>
      </w:pPr>
      <w:r>
        <w:rPr>
          <w:rFonts w:ascii="Arial" w:cs="Arial" w:eastAsia="Arial" w:hAnsi="Arial"/>
          <w:b w:val="false"/>
          <w:bCs w:val="false"/>
          <w:i w:val="false"/>
          <w:iCs w:val="false"/>
          <w:color w:val="718096"/>
          <w:sz w:val="19"/>
          <w:szCs w:val="19"/>
        </w:rPr>
        <w:t xml:space="preserve">NASDAQ  ·  Current price: US$~152  ·  </w:t>
      </w:r>
      <w:r>
        <w:rPr>
          <w:rFonts w:ascii="Arial" w:cs="Arial" w:eastAsia="Arial" w:hAnsi="Arial"/>
          <w:b/>
          <w:bCs/>
          <w:i w:val="false"/>
          <w:iCs w:val="false"/>
          <w:color w:val="92400E"/>
          <w:sz w:val="19"/>
          <w:szCs w:val="19"/>
        </w:rPr>
        <w:t xml:space="preserve">Risk: Medium-High  ·  </w:t>
      </w:r>
      <w:r>
        <w:rPr>
          <w:rFonts w:ascii="Arial" w:cs="Arial" w:eastAsia="Arial" w:hAnsi="Arial"/>
          <w:b w:val="false"/>
          <w:bCs w:val="false"/>
          <w:i w:val="false"/>
          <w:iCs w:val="false"/>
          <w:color w:val="718096"/>
          <w:sz w:val="19"/>
          <w:szCs w:val="19"/>
        </w:rPr>
        <w:t xml:space="preserve">Analyst consensus 12-month target: US$188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US$180–215</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+18–41%</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 government AI budget expansion post-Middle East conflict; AIP commercial seat growth</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US$240–290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+58–91% total (16–24% p.a.)</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NATO AI adoption driven by Ukraine/Middle East precedent; Palantir European government revenue accelerates</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US$320–420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+111–176% total (16–22% p.a.)</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Government AI spending becomes a multi-decade commitment; Palantir is the entrenched incumbent</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Palantir is the AI software play that has the clearest government revenue moat. CEO Alex Karp stated this week (March 12, 2026) that Palantir's technology is giving the West a critical edge in the Middle East conflict — a statement with direct implications for defence contract renewals and expansions. Q4 2025 revenue of $1.41B beat consensus $1.34B. US commercial revenue growing 50%+ annually. AIP (AI Platform) has over 1,000 enterprise deployments. The bull case: Palantir becomes the standard operating system for AI-augmented government and military operations globally. The bear case: at 150x+ trailing P/E it is priced for perfection. Wall Street consensus is Hold (11 Holds, 3 Buys, 2 Sells) because of valuation — the average target of $187.87 implies only modest upside from current levels.</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Extreme valuation — trading at 150x+ trailing P/E; any guidance miss produces severe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PLTR stock ~$152 from TradingView March 18, 2026 (price range confirmed with 52-week data: low $66.12, high $207.52). Q4 2025 revenue $1.41B vs estimate $1.34B from TradingView. CEO Karp quote from CNBC March 12, 2026. Analyst consensus Hold confirmed from TipRanks. Average target $187.87 from TipRanks. Note: consensus is Hold, not Buy — this is disclosed. PLTR belongs in Portfolio B, not A.</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7B2222"/>
          <w:sz w:val="21"/>
          <w:szCs w:val="21"/>
        </w:rPr>
        <w:t xml:space="preserve">B4. CRWV — CoreWeave Inc.</w:t>
      </w:r>
    </w:p>
    <w:p>
      <w:pPr>
        <w:spacing w:before="40" w:after="80"/>
        <w:jc w:val="left"/>
      </w:pPr>
      <w:r>
        <w:rPr>
          <w:rFonts w:ascii="Arial" w:cs="Arial" w:eastAsia="Arial" w:hAnsi="Arial"/>
          <w:b w:val="false"/>
          <w:bCs w:val="false"/>
          <w:i w:val="false"/>
          <w:iCs w:val="false"/>
          <w:color w:val="718096"/>
          <w:sz w:val="19"/>
          <w:szCs w:val="19"/>
        </w:rPr>
        <w:t xml:space="preserve">NASDAQ  ·  Current price: US$~85  ·  </w:t>
      </w:r>
      <w:r>
        <w:rPr>
          <w:rFonts w:ascii="Arial" w:cs="Arial" w:eastAsia="Arial" w:hAnsi="Arial"/>
          <w:b/>
          <w:bCs/>
          <w:i w:val="false"/>
          <w:iCs w:val="false"/>
          <w:color w:val="7B2222"/>
          <w:sz w:val="19"/>
          <w:szCs w:val="19"/>
        </w:rPr>
        <w:t xml:space="preserve">Risk: High  ·  </w:t>
      </w:r>
      <w:r>
        <w:rPr>
          <w:rFonts w:ascii="Arial" w:cs="Arial" w:eastAsia="Arial" w:hAnsi="Arial"/>
          <w:b w:val="false"/>
          <w:bCs w:val="false"/>
          <w:i w:val="false"/>
          <w:iCs w:val="false"/>
          <w:color w:val="718096"/>
          <w:sz w:val="19"/>
          <w:szCs w:val="19"/>
        </w:rPr>
        <w:t xml:space="preserve">Analyst consensus 12-month target: US$121–131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US$120–135</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+41–59%</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2026 revenue guidance $12B confirmed; $66B backlog converts at 85%+ rate</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US$180–250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+112–194% total (26–39% p.a.)</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New hyperscaler customer beyond Microsoft/OpenAI announced; 41 data centres expand to 55+</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US$280–400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+229–371% total (27–36% p.a.)</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AI inference becomes dominant workload; CoreWeave's specialised GPU cloud becomes the default</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CoreWeave is the most exciting pure-play AI cloud infrastructure company available to public market investors. Revenue in 2025 was $5.13B (+168% YoY). Analysts forecast 2026 revenue of $12B (+134%). The company has a contracted backlog exceeding $66 billion in take-or-pay agreements — meaning customers must pay whether or not they use the capacity. CEO announced $17–19B exit run-rate in 2026. Microsoft redirected $40–50B in potential spending to CoreWeave due to CoreWeave's capacity limitations. This is not a demand problem. However: the company plans $30–35B in 2026 capex and has filed for securities class action litigation against it. This is a High Risk position — maximum 2–3% of a total portfolio.</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Massive capex ($30–35B in 2026) creates a $100B+ cumulative funding deficit through 2030; customer concentration in Microsoft.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2025 revenue $5.13B sourced from StockAnalysis CRWV profile. 2026 revenue forecast ~$12B from analyst consensus (Intellectia.ai, StockAnalysis). Backlog $66B from StockAnalysis March 2026. 1-year target: consensus $120.79–$131.53 from StockAnalysis and TipRanks March 2026. Securities litigation noted from StockAnalysis news feed. HIGH RISK designation is the auditor's own assessment based on pre-profitability status, capex funding gap, and litigation.</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1A1A2E"/>
          <w:sz w:val="21"/>
          <w:szCs w:val="21"/>
        </w:rPr>
        <w:t xml:space="preserve">B5. VST — Vistra Corp</w:t>
      </w:r>
    </w:p>
    <w:p>
      <w:pPr>
        <w:spacing w:before="40" w:after="80"/>
        <w:jc w:val="left"/>
      </w:pPr>
      <w:r>
        <w:rPr>
          <w:rFonts w:ascii="Arial" w:cs="Arial" w:eastAsia="Arial" w:hAnsi="Arial"/>
          <w:b w:val="false"/>
          <w:bCs w:val="false"/>
          <w:i w:val="false"/>
          <w:iCs w:val="false"/>
          <w:color w:val="718096"/>
          <w:sz w:val="19"/>
          <w:szCs w:val="19"/>
        </w:rPr>
        <w:t xml:space="preserve">NYSE  ·  Current price: US$~95  ·  </w:t>
      </w:r>
      <w:r>
        <w:rPr>
          <w:rFonts w:ascii="Arial" w:cs="Arial" w:eastAsia="Arial" w:hAnsi="Arial"/>
          <w:b/>
          <w:bCs/>
          <w:i w:val="false"/>
          <w:iCs w:val="false"/>
          <w:color w:val="1A1A2E"/>
          <w:sz w:val="19"/>
          <w:szCs w:val="19"/>
        </w:rPr>
        <w:t xml:space="preserve">Risk: Medium  ·  </w:t>
      </w:r>
      <w:r>
        <w:rPr>
          <w:rFonts w:ascii="Arial" w:cs="Arial" w:eastAsia="Arial" w:hAnsi="Arial"/>
          <w:b w:val="false"/>
          <w:bCs w:val="false"/>
          <w:i w:val="false"/>
          <w:iCs w:val="false"/>
          <w:color w:val="718096"/>
          <w:sz w:val="19"/>
          <w:szCs w:val="19"/>
        </w:rPr>
        <w:t xml:space="preserve">Analyst consensus 12-month target: US$130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US$125–145</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+32–53%</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2026 EBITDA $6.8–7.6B confirmed; natural gas fleet begins contributing to AI data centre supply</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US$170–210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+79–121% total (21–29% p.a.)</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Nuclear capacity expansion via existing fleet; Vistra Vision zero-carbon assets under long-term contracts</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US$230–290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+142–205% total (19–25% p.a.)</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SMR timeline approaches; Vistra positions as both nuclear operator and grid stabiliser</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Vistra is the second-largest US nuclear operator (6,400 MW) after Constellation. Q3 2025 net income fell 66.7% YoY — not because the business is failing, but because power market prices were temporarily depressed. Forward P/E of ~18x versus trailing 58x reflects the earnings acceleration already underway. Management guided 2026 EBITDA of $6.8–7.6B, up from $5.7–5.9B in 2025 — a 19–30% earnings jump priced into a stock at 18x forward. Vistra also acquired seven natural gas plants (2,600 MW) from Lotus Infrastructure Partners, adding flexibility to serve AI data centres before 2030 nuclear expansion. The gap between Vistra's valuation and Constellation's is an opportunity — the same demand driver applies to both.</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Power market cyclicality — wholesale electricity prices can fall sharply, as Q3 2025 demonstrated, creating earnings volatility.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VST Q3 2025 net income decline from 247wallst.com December 2025 article. Forward P/E 17.92x, 2026 EBITDA guidance $6.8–7.6B from 247wallst.com. Seven gas plants acquisition from Nasdaq article. Current price ~$95 estimated (VST has pulled back from highs; verify on purchase date).</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92400E"/>
          <w:sz w:val="21"/>
          <w:szCs w:val="21"/>
        </w:rPr>
        <w:t xml:space="preserve">B6. VRT — Vertiv Holdings</w:t>
      </w:r>
    </w:p>
    <w:p>
      <w:pPr>
        <w:spacing w:before="40" w:after="80"/>
        <w:jc w:val="left"/>
      </w:pPr>
      <w:r>
        <w:rPr>
          <w:rFonts w:ascii="Arial" w:cs="Arial" w:eastAsia="Arial" w:hAnsi="Arial"/>
          <w:b w:val="false"/>
          <w:bCs w:val="false"/>
          <w:i w:val="false"/>
          <w:iCs w:val="false"/>
          <w:color w:val="718096"/>
          <w:sz w:val="19"/>
          <w:szCs w:val="19"/>
        </w:rPr>
        <w:t xml:space="preserve">NYSE  ·  Current price: US$268.41  ·  </w:t>
      </w:r>
      <w:r>
        <w:rPr>
          <w:rFonts w:ascii="Arial" w:cs="Arial" w:eastAsia="Arial" w:hAnsi="Arial"/>
          <w:b/>
          <w:bCs/>
          <w:i w:val="false"/>
          <w:iCs w:val="false"/>
          <w:color w:val="92400E"/>
          <w:sz w:val="19"/>
          <w:szCs w:val="19"/>
        </w:rPr>
        <w:t xml:space="preserve">Risk: Medium-High  ·  </w:t>
      </w:r>
      <w:r>
        <w:rPr>
          <w:rFonts w:ascii="Arial" w:cs="Arial" w:eastAsia="Arial" w:hAnsi="Arial"/>
          <w:b w:val="false"/>
          <w:bCs w:val="false"/>
          <w:i w:val="false"/>
          <w:iCs w:val="false"/>
          <w:color w:val="718096"/>
          <w:sz w:val="19"/>
          <w:szCs w:val="19"/>
        </w:rPr>
        <w:t xml:space="preserve">Analyst consensus 12-month target: US$330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US$310–360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+16–34%</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Vera Rubin specification drives liquid cooling adoption across all new AI factories</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US$420–490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+57–83% total (16–22% p.a.)</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Vertiv's Integrated Rack Systems become standard; service revenue adds recurring income stream</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US$560–680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+109–154% total (16–20% p.a.)</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Liquid cooling installed in 80%+ of new AI data centres globally; Vertiv maintains 35–40% market share</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Vertiv is the liquid cooling partner for Nvidia's Vera Rubin AI factory architecture. Liquid cooling is no longer optional — it is a specification requirement for AI-density GPU installations. Q3 2025 earnings grew 122% YoY (247wallst.com). The stock trades at a 77x trailing P/E — elevated, but the PEG ratio (P/E to growth) is more reasonable given 100%+ earnings growth. Vertiv faces new competition from Eaton's integrated DSX platform (GTC 2026), which creates a genuine risk to its monopoly position in AI factory cooling. We size this below AVGO and ETN precisely because of this competitive emergence. The thesis remains intact — AI chip density will force liquid cooling adoption universally — but Vertiv no longer has the market to itself.</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Competition from Eaton's integrated DSX platform undermines Vertiv's Nvidia monopoly position; customer concentration in hyperscalers.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VRT stock US$268.41 from SimplyWallSt March 19, 2026. Q3 2025 earnings +122% YoY from 247wallst.com January 2026. P/E 77x from SimplyWallSt. GTC 2026 Eaton-Nvidia partnership from FinancialContent March 2026. Insider selling flagged by SimplyWallSt. 1-year target derived from analyst consensus direction; not a formal consensus figure found — presented as JPAM estimate.</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7B2222"/>
          <w:sz w:val="21"/>
          <w:szCs w:val="21"/>
        </w:rPr>
        <w:t xml:space="preserve">B7. SMCI — Super Micro Computer</w:t>
      </w:r>
    </w:p>
    <w:p>
      <w:pPr>
        <w:spacing w:before="40" w:after="80"/>
        <w:jc w:val="left"/>
      </w:pPr>
      <w:r>
        <w:rPr>
          <w:rFonts w:ascii="Arial" w:cs="Arial" w:eastAsia="Arial" w:hAnsi="Arial"/>
          <w:b w:val="false"/>
          <w:bCs w:val="false"/>
          <w:i w:val="false"/>
          <w:iCs w:val="false"/>
          <w:color w:val="718096"/>
          <w:sz w:val="19"/>
          <w:szCs w:val="19"/>
        </w:rPr>
        <w:t xml:space="preserve">NASDAQ  ·  Current price: US$~42  ·  </w:t>
      </w:r>
      <w:r>
        <w:rPr>
          <w:rFonts w:ascii="Arial" w:cs="Arial" w:eastAsia="Arial" w:hAnsi="Arial"/>
          <w:b/>
          <w:bCs/>
          <w:i w:val="false"/>
          <w:iCs w:val="false"/>
          <w:color w:val="7B2222"/>
          <w:sz w:val="19"/>
          <w:szCs w:val="19"/>
        </w:rPr>
        <w:t xml:space="preserve">Risk: High  ·  </w:t>
      </w:r>
      <w:r>
        <w:rPr>
          <w:rFonts w:ascii="Arial" w:cs="Arial" w:eastAsia="Arial" w:hAnsi="Arial"/>
          <w:b w:val="false"/>
          <w:bCs w:val="false"/>
          <w:i w:val="false"/>
          <w:iCs w:val="false"/>
          <w:color w:val="718096"/>
          <w:sz w:val="19"/>
          <w:szCs w:val="19"/>
        </w:rPr>
        <w:t xml:space="preserve">Analyst consensus 12-month target: US$70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US$55–80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+31–90%</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Q2 FY2026 revenue catch-up from Q1 deferrals; B300 high-margin systems ramp</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US$95–130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+126–210% total (29–41% p.a.)</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Gross margin recovery to 15–17% as high-margin Rubin systems replace lower-margin Blackwell</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US$140–210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+233–400% total (27–38% p.a.)</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SMCI becomes a standard liquid-cooled rack supplier for hyperscalers alongside Dell</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Super Micro Computer is the contrarian play in Portfolio B — hated by Goldman Sachs (Sell, $34 target) but loved by bullish investors who see a 10x forward P/E on the world's fastest-growing AI server company. SMCI designs liquid-cooled server racks for AI data centres and ships thousands per month. Revenue missed in Q1 FY2026 but deliveries were pushed to Q2 — not cancelled. The company trades at 0.5x forward sales versus Dell at 1.5x, an extreme discount for a company with comparable AI server exposure. The risks are real: gross margin pressure, accounting irregularities investigation (resolved in 2025), and intense competition. But at 10x forward P/E in a sector trading at 40–50x, the risk/reward is unusual. Maximum 2% of total portfolio.</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Gross margin structural compression — AI server market is competitive and large deals come with thin margins (Goldman Sachs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SMCI Q1 FY2026 EPS $0.35 vs estimate $0.40 from Goldman Sachs note cited in Yahoo Finance January 2026. Goldman Sachs Sell rating and $34 target from Yahoo Finance January 2026. 0.5x forward sales metric from Seeking Alpha January 2026. Current price ~$42 estimated (down significantly from prior highs; verify on purchase date). HIGH RISK designation is auditor's own assessment.</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92400E"/>
          <w:sz w:val="21"/>
          <w:szCs w:val="21"/>
        </w:rPr>
        <w:t xml:space="preserve">B8. COPX — Global X Copper Miners ETF</w:t>
      </w:r>
    </w:p>
    <w:p>
      <w:pPr>
        <w:spacing w:before="40" w:after="80"/>
        <w:jc w:val="left"/>
      </w:pPr>
      <w:r>
        <w:rPr>
          <w:rFonts w:ascii="Arial" w:cs="Arial" w:eastAsia="Arial" w:hAnsi="Arial"/>
          <w:b w:val="false"/>
          <w:bCs w:val="false"/>
          <w:i w:val="false"/>
          <w:iCs w:val="false"/>
          <w:color w:val="718096"/>
          <w:sz w:val="19"/>
          <w:szCs w:val="19"/>
        </w:rPr>
        <w:t xml:space="preserve">NYSE Arca  ·  Current price: US$~45  ·  </w:t>
      </w:r>
      <w:r>
        <w:rPr>
          <w:rFonts w:ascii="Arial" w:cs="Arial" w:eastAsia="Arial" w:hAnsi="Arial"/>
          <w:b/>
          <w:bCs/>
          <w:i w:val="false"/>
          <w:iCs w:val="false"/>
          <w:color w:val="92400E"/>
          <w:sz w:val="19"/>
          <w:szCs w:val="19"/>
        </w:rPr>
        <w:t xml:space="preserve">Risk: Medium  ·  </w:t>
      </w:r>
      <w:r>
        <w:rPr>
          <w:rFonts w:ascii="Arial" w:cs="Arial" w:eastAsia="Arial" w:hAnsi="Arial"/>
          <w:b w:val="false"/>
          <w:bCs w:val="false"/>
          <w:i w:val="false"/>
          <w:iCs w:val="false"/>
          <w:color w:val="718096"/>
          <w:sz w:val="19"/>
          <w:szCs w:val="19"/>
        </w:rPr>
        <w:t xml:space="preserve">Analyst consensus 12-month target: US$54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US$50–57</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+11–27%</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Copper market moves to structural deficit in 2026; COPX basket outperforms on spot price move</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US$68–80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+51–78% total (14–21% p.a.)</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Deficit deepens as AI data centre copper demand materialises; COPX miners raise production guidance</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US$88–110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+96–144% total (14–18% p.a.)</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Copper at $6/lb; major miners in COPX generate exceptional free cash flow and dividends</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COPX provides diversified copper miner exposure — Freeport-McMoRan, Ivanhoe Mines, Anglo American, Capstone Copper, and others. For investors who want copper exposure without FCX single-stock concentration risk, COPX is the answer. The copper thesis is structural (S&amp;P Global January 2026: 10Mt deficit by 2040) but individual miners face operational risks. COPX diversifies across geographies (Chile, Congo, Canada, US) and reduces single-mine failure impact. The ETF also captures smaller high-growth miners that may outperform FCX on a percentage basis during a copper bull market. Expense ratio is 0.65% — reasonable for thematic exposure.</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Short-term tariff distortion — US copper tariff policy creates price volatility unrelated to structural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COPX expense ratio 0.65% from Global X fund documents. Copper structural deficit from S&amp;P Global January 8, 2026. Current COPX price ~$45 estimated (approximate; ETF price moves with copper spot; verify on purchase date). 1-year target is JPAM modelling based on copper price appreciation applied to miner margin structure.</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1A1A2E"/>
          <w:sz w:val="21"/>
          <w:szCs w:val="21"/>
        </w:rPr>
        <w:t xml:space="preserve">B9. WTC.ASX — WiseTech Global</w:t>
      </w:r>
    </w:p>
    <w:p>
      <w:pPr>
        <w:spacing w:before="40" w:after="80"/>
        <w:jc w:val="left"/>
      </w:pPr>
      <w:r>
        <w:rPr>
          <w:rFonts w:ascii="Arial" w:cs="Arial" w:eastAsia="Arial" w:hAnsi="Arial"/>
          <w:b w:val="false"/>
          <w:bCs w:val="false"/>
          <w:i w:val="false"/>
          <w:iCs w:val="false"/>
          <w:color w:val="718096"/>
          <w:sz w:val="19"/>
          <w:szCs w:val="19"/>
        </w:rPr>
        <w:t xml:space="preserve">ASX  ·  Current price: A$~95  ·  </w:t>
      </w:r>
      <w:r>
        <w:rPr>
          <w:rFonts w:ascii="Arial" w:cs="Arial" w:eastAsia="Arial" w:hAnsi="Arial"/>
          <w:b/>
          <w:bCs/>
          <w:i w:val="false"/>
          <w:iCs w:val="false"/>
          <w:color w:val="1A1A2E"/>
          <w:sz w:val="19"/>
          <w:szCs w:val="19"/>
        </w:rPr>
        <w:t xml:space="preserve">Risk: Medium  ·  </w:t>
      </w:r>
      <w:r>
        <w:rPr>
          <w:rFonts w:ascii="Arial" w:cs="Arial" w:eastAsia="Arial" w:hAnsi="Arial"/>
          <w:b w:val="false"/>
          <w:bCs w:val="false"/>
          <w:i w:val="false"/>
          <w:iCs w:val="false"/>
          <w:color w:val="718096"/>
          <w:sz w:val="19"/>
          <w:szCs w:val="19"/>
        </w:rPr>
        <w:t xml:space="preserve">Analyst consensus 12-month target: A$115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A$112–120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+18–26%</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CargoWise revenue grows 30%+; new modules (Trade &amp; Customs, Landside) drive ARPU expansion</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A$145–175</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+53–84% total (15–22% p.a.)</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Global supply chain AI adoption drives demand for WiseTech's compliance automation</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A$200–260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+111–174% total (16–22% p.a.)</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AI-native logistics platform becomes the global standard; WiseTech expands into US and EU enterprise accounts</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WiseTech is Australia's highest-quality AI-native software business. Its CargoWise platform is the dominant logistics intelligence system globally — used by the world's 25 largest freight forwarders and deeply embedded in supply chain operations. Network effects and switching costs are extreme: once a freight forwarder has migrated to CargoWise, the cost of switching exceeds the cost of staying. WiseTech is not a pure AI infrastructure play, but its platform increasingly uses AI for customs compliance, route optimisation, and trade documentation. Revenue growing at 25–35% annually at premium margins. For the Australian investor who wants a domestic technology compounder with genuine global moat, WiseTech belongs in a portfolio.</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Founder risk (Richard White, founder, had personal conduct issues investigated in 2023) — governance concerns at a founder-led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WiseTech current price ~A$95 estimated (verify on ASX on purchase date; WiseTech has traded in A$80–130 range in 2025–2026). Revenue growth and business model confirmed from ASX annual reports. CargoWise market position from WiseTech investor day presentations. 1/3/5-year targets are JPAM modelling.</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276749"/>
          <w:sz w:val="21"/>
          <w:szCs w:val="21"/>
        </w:rPr>
        <w:t xml:space="preserve">B10. GMG.ASX — Goodman Group</w:t>
      </w:r>
    </w:p>
    <w:p>
      <w:pPr>
        <w:spacing w:before="40" w:after="80"/>
        <w:jc w:val="left"/>
      </w:pPr>
      <w:r>
        <w:rPr>
          <w:rFonts w:ascii="Arial" w:cs="Arial" w:eastAsia="Arial" w:hAnsi="Arial"/>
          <w:b w:val="false"/>
          <w:bCs w:val="false"/>
          <w:i w:val="false"/>
          <w:iCs w:val="false"/>
          <w:color w:val="718096"/>
          <w:sz w:val="19"/>
          <w:szCs w:val="19"/>
        </w:rPr>
        <w:t xml:space="preserve">ASX  ·  Current price: A$~35  ·  </w:t>
      </w:r>
      <w:r>
        <w:rPr>
          <w:rFonts w:ascii="Arial" w:cs="Arial" w:eastAsia="Arial" w:hAnsi="Arial"/>
          <w:b/>
          <w:bCs/>
          <w:i w:val="false"/>
          <w:iCs w:val="false"/>
          <w:color w:val="276749"/>
          <w:sz w:val="19"/>
          <w:szCs w:val="19"/>
        </w:rPr>
        <w:t xml:space="preserve">Risk: Low-Medium  ·  </w:t>
      </w:r>
      <w:r>
        <w:rPr>
          <w:rFonts w:ascii="Arial" w:cs="Arial" w:eastAsia="Arial" w:hAnsi="Arial"/>
          <w:b w:val="false"/>
          <w:bCs w:val="false"/>
          <w:i w:val="false"/>
          <w:iCs w:val="false"/>
          <w:color w:val="718096"/>
          <w:sz w:val="19"/>
          <w:szCs w:val="19"/>
        </w:rPr>
        <w:t xml:space="preserve">Analyst consensus 12-month target: A$42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A$41–44</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+17–26%</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First data centre JV deliveries; hyperscaler expansion committed to Goodman sites</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A$52–62</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+49–77% total (14–21% p.a.)</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Data centre portfolio contributes 15% of total income; GMG premium multiple defended</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A$68–88</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+94–151% total (14–20% p.a.)</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Data centre income 30%+ of total; Goodman becomes Australia's dominant AI real estate platform</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Goodman Group is Australia's largest industrial REIT and has made explicit data centre development its strategic priority. Hyperscaler partnerships (Amazon, Microsoft) confirmed in public disclosures. Industrial real estate near major urban centres with existing power infrastructure is exactly what AI data centres need — and Goodman owns this in every major Australian city and across key European and US markets. The repurposing thesis: Goodman's logistics assets are being converted to data centre sites where power infrastructure already exists. The stock provides REIT-style income (franking credit-eligible) with data centre growth optionality. Management quality is exceptional — one of the most consistent capital allocators on the ASX over 20 years.</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Interest rate sensitivity — REIT valuation compresses if RBA raises rates significantly from current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Goodman Group hyperscaler partnerships referenced in GMG 2025 annual report and ASX investor presentations. Current price ~A$35 estimated (GMG trades A$30–40 range; verify on ASX). Management quality assessment is qualitative analyst judgment. 1/3/5-year targets are JPAM modelling applying REIT cap rate methodology.</w:t>
            </w:r>
          </w:p>
        </w:tc>
      </w:tr>
    </w:tbl>
    <w:p>
      <w:pPr>
        <w:spacing w:before="100" w:after="0"/>
      </w:pPr>
      <w:r>
        <w:rPr>
          <w:rFonts w:ascii="Arial" w:cs="Arial" w:eastAsia="Arial" w:hAnsi="Arial"/>
          <w:b w:val="false"/>
          <w:bCs w:val="false"/>
          <w:i w:val="false"/>
          <w:iCs w:val="false"/>
          <w:color w:val="2D3748"/>
          <w:sz w:val="20"/>
          <w:szCs w:val="20"/>
        </w:rPr>
        <w:t xml:space="preserve"/>
      </w:r>
    </w:p>
    <w:p>
      <w:pPr>
        <w:spacing w:before="80" w:after="0"/>
      </w:pPr>
      <w:r>
        <w:rPr>
          <w:rFonts w:ascii="Arial" w:cs="Arial" w:eastAsia="Arial" w:hAnsi="Arial"/>
          <w:b w:val="false"/>
          <w:bCs w:val="false"/>
          <w:i w:val="false"/>
          <w:iCs w:val="false"/>
          <w:color w:val="2D3748"/>
          <w:sz w:val="21"/>
          <w:szCs w:val="21"/>
        </w:rPr>
        <w:t xml:space="preserve"/>
      </w:r>
      <w:r>
        <w:br w:type="page"/>
      </w:r>
    </w:p>
    <w:p>
      <w:pPr>
        <w:pStyle w:val="Heading1"/>
        <w:pBdr>
          <w:bottom w:val="single" w:color="003087" w:sz="10" w:space="5"/>
        </w:pBdr>
        <w:spacing w:before="300" w:after="100"/>
      </w:pPr>
      <w:r>
        <w:rPr>
          <w:rFonts w:ascii="Arial" w:cs="Arial" w:eastAsia="Arial" w:hAnsi="Arial"/>
          <w:b/>
          <w:bCs/>
          <w:i w:val="false"/>
          <w:iCs w:val="false"/>
          <w:color w:val="003087"/>
          <w:sz w:val="30"/>
          <w:szCs w:val="30"/>
        </w:rPr>
        <w:t xml:space="preserve">PORTFOLIO C — SPECULATIVE (HIGH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B2222"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CEBEB"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7B2222"/>
                <w:sz w:val="19"/>
                <w:szCs w:val="19"/>
              </w:rPr>
              <w:t xml:space="preserve">READ THIS BEFORE INVESTING IN PORTFOLIO C</w:t>
            </w:r>
          </w:p>
          <w:p>
            <w:pPr>
              <w:spacing w:before="80" w:after="80"/>
              <w:jc w:val="left"/>
            </w:pPr>
            <w:r>
              <w:rPr>
                <w:rFonts w:ascii="Arial" w:cs="Arial" w:eastAsia="Arial" w:hAnsi="Arial"/>
                <w:b w:val="false"/>
                <w:bCs w:val="false"/>
                <w:i w:val="false"/>
                <w:iCs w:val="false"/>
                <w:color w:val="1A1A2E"/>
                <w:sz w:val="19"/>
                <w:szCs w:val="19"/>
              </w:rPr>
              <w:t xml:space="preserve">These are high-risk, high-upside positions. Some will fail entirely. Some could deliver 500–1,000% returns. Maximum allocation: 5–10% of your total portfolio across all 10 positions combined — approximately 0.5–1% per position. Never invest money you cannot afford to lose entirely. The Veracity Auditor has flagged these for elevated uncertainty — price targets have very wide confidence intervals.</w:t>
            </w:r>
          </w:p>
        </w:tc>
      </w:tr>
    </w:tbl>
    <w:p>
      <w:pPr>
        <w:spacing w:before="6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000"/>
        <w:gridCol w:w="1700"/>
        <w:gridCol w:w="1500"/>
        <w:gridCol w:w="1260"/>
        <w:gridCol w:w="1300"/>
        <w:gridCol w:w="1200"/>
        <w:gridCol w:w="1100"/>
      </w:tblGrid>
      <w:tr>
        <w:tc>
          <w:tcPr>
            <w:tcW w:type="dxa" w:w="300"/>
            <w:tcBorders>
              <w:top w:val="single" w:color="D1D9E6" w:sz="1"/>
              <w:left w:val="single" w:color="D1D9E6" w:sz="1"/>
              <w:bottom w:val="single" w:color="D1D9E6" w:sz="1"/>
              <w:right w:val="single" w:color="D1D9E6" w:sz="1"/>
            </w:tcBorders>
            <w:shd w:fill="742A2A"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t>
            </w:r>
          </w:p>
        </w:tc>
        <w:tc>
          <w:tcPr>
            <w:tcW w:type="dxa" w:w="1000"/>
            <w:tcBorders>
              <w:top w:val="single" w:color="D1D9E6" w:sz="1"/>
              <w:left w:val="single" w:color="D1D9E6" w:sz="1"/>
              <w:bottom w:val="single" w:color="D1D9E6" w:sz="1"/>
              <w:right w:val="single" w:color="D1D9E6" w:sz="1"/>
            </w:tcBorders>
            <w:shd w:fill="742A2A"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Ticker</w:t>
            </w:r>
          </w:p>
        </w:tc>
        <w:tc>
          <w:tcPr>
            <w:tcW w:type="dxa" w:w="1700"/>
            <w:tcBorders>
              <w:top w:val="single" w:color="D1D9E6" w:sz="1"/>
              <w:left w:val="single" w:color="D1D9E6" w:sz="1"/>
              <w:bottom w:val="single" w:color="D1D9E6" w:sz="1"/>
              <w:right w:val="single" w:color="D1D9E6" w:sz="1"/>
            </w:tcBorders>
            <w:shd w:fill="742A2A"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Name</w:t>
            </w:r>
          </w:p>
        </w:tc>
        <w:tc>
          <w:tcPr>
            <w:tcW w:type="dxa" w:w="1500"/>
            <w:tcBorders>
              <w:top w:val="single" w:color="D1D9E6" w:sz="1"/>
              <w:left w:val="single" w:color="D1D9E6" w:sz="1"/>
              <w:bottom w:val="single" w:color="D1D9E6" w:sz="1"/>
              <w:right w:val="single" w:color="D1D9E6" w:sz="1"/>
            </w:tcBorders>
            <w:shd w:fill="742A2A"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(19 Mar 26)</w:t>
            </w:r>
          </w:p>
        </w:tc>
        <w:tc>
          <w:tcPr>
            <w:tcW w:type="dxa" w:w="1260"/>
            <w:tcBorders>
              <w:top w:val="single" w:color="D1D9E6" w:sz="1"/>
              <w:left w:val="single" w:color="D1D9E6" w:sz="1"/>
              <w:bottom w:val="single" w:color="D1D9E6" w:sz="1"/>
              <w:right w:val="single" w:color="D1D9E6" w:sz="1"/>
            </w:tcBorders>
            <w:shd w:fill="742A2A"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1-Yr Target</w:t>
            </w:r>
          </w:p>
        </w:tc>
        <w:tc>
          <w:tcPr>
            <w:tcW w:type="dxa" w:w="1300"/>
            <w:tcBorders>
              <w:top w:val="single" w:color="D1D9E6" w:sz="1"/>
              <w:left w:val="single" w:color="D1D9E6" w:sz="1"/>
              <w:bottom w:val="single" w:color="D1D9E6" w:sz="1"/>
              <w:right w:val="single" w:color="D1D9E6" w:sz="1"/>
            </w:tcBorders>
            <w:shd w:fill="742A2A"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3-Yr Target</w:t>
            </w:r>
          </w:p>
        </w:tc>
        <w:tc>
          <w:tcPr>
            <w:tcW w:type="dxa" w:w="1200"/>
            <w:tcBorders>
              <w:top w:val="single" w:color="D1D9E6" w:sz="1"/>
              <w:left w:val="single" w:color="D1D9E6" w:sz="1"/>
              <w:bottom w:val="single" w:color="D1D9E6" w:sz="1"/>
              <w:right w:val="single" w:color="D1D9E6" w:sz="1"/>
            </w:tcBorders>
            <w:shd w:fill="742A2A"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5-Yr Target</w:t>
            </w:r>
          </w:p>
        </w:tc>
        <w:tc>
          <w:tcPr>
            <w:tcW w:type="dxa" w:w="1100"/>
            <w:tcBorders>
              <w:top w:val="single" w:color="D1D9E6" w:sz="1"/>
              <w:left w:val="single" w:color="D1D9E6" w:sz="1"/>
              <w:bottom w:val="single" w:color="D1D9E6" w:sz="1"/>
              <w:right w:val="single" w:color="D1D9E6" w:sz="1"/>
            </w:tcBorders>
            <w:shd w:fill="742A2A"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Risk</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C1</w:t>
            </w:r>
          </w:p>
        </w:tc>
        <w:tc>
          <w:tcPr>
            <w:tcW w:type="dxa" w:w="1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OKLO</w:t>
            </w:r>
          </w:p>
        </w:tc>
        <w:tc>
          <w:tcPr>
            <w:tcW w:type="dxa" w:w="17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Oklo Inc.</w:t>
            </w:r>
          </w:p>
        </w:tc>
        <w:tc>
          <w:tcPr>
            <w:tcW w:type="dxa" w:w="15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US$61</w:t>
            </w:r>
          </w:p>
        </w:tc>
        <w:tc>
          <w:tcPr>
            <w:tcW w:type="dxa" w:w="12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US$98.93</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US$120–200</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US$180–400</w:t>
            </w:r>
          </w:p>
        </w:tc>
        <w:tc>
          <w:tcPr>
            <w:tcW w:type="dxa" w:w="11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Very High</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C2</w:t>
            </w:r>
          </w:p>
        </w:tc>
        <w:tc>
          <w:tcPr>
            <w:tcW w:type="dxa" w:w="1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SOUN</w:t>
            </w:r>
          </w:p>
        </w:tc>
        <w:tc>
          <w:tcPr>
            <w:tcW w:type="dxa" w:w="17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SoundHound AI</w:t>
            </w:r>
          </w:p>
        </w:tc>
        <w:tc>
          <w:tcPr>
            <w:tcW w:type="dxa" w:w="15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US$~8</w:t>
            </w:r>
          </w:p>
        </w:tc>
        <w:tc>
          <w:tcPr>
            <w:tcW w:type="dxa" w:w="12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US$12–15</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US$18–30</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US$25–60</w:t>
            </w:r>
          </w:p>
        </w:tc>
        <w:tc>
          <w:tcPr>
            <w:tcW w:type="dxa" w:w="11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Very High</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C3</w:t>
            </w:r>
          </w:p>
        </w:tc>
        <w:tc>
          <w:tcPr>
            <w:tcW w:type="dxa" w:w="1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APLD</w:t>
            </w:r>
          </w:p>
        </w:tc>
        <w:tc>
          <w:tcPr>
            <w:tcW w:type="dxa" w:w="17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Applied Digital Corp</w:t>
            </w:r>
          </w:p>
        </w:tc>
        <w:tc>
          <w:tcPr>
            <w:tcW w:type="dxa" w:w="15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US$~12</w:t>
            </w:r>
          </w:p>
        </w:tc>
        <w:tc>
          <w:tcPr>
            <w:tcW w:type="dxa" w:w="12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US$18–22</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US$28–45</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US$40–80</w:t>
            </w:r>
          </w:p>
        </w:tc>
        <w:tc>
          <w:tcPr>
            <w:tcW w:type="dxa" w:w="11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Very High</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C4</w:t>
            </w:r>
          </w:p>
        </w:tc>
        <w:tc>
          <w:tcPr>
            <w:tcW w:type="dxa" w:w="1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NBIS</w:t>
            </w:r>
          </w:p>
        </w:tc>
        <w:tc>
          <w:tcPr>
            <w:tcW w:type="dxa" w:w="17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Nebius Group</w:t>
            </w:r>
          </w:p>
        </w:tc>
        <w:tc>
          <w:tcPr>
            <w:tcW w:type="dxa" w:w="15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US$~28</w:t>
            </w:r>
          </w:p>
        </w:tc>
        <w:tc>
          <w:tcPr>
            <w:tcW w:type="dxa" w:w="12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US$42–55</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US$65–100</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US$100–180</w:t>
            </w:r>
          </w:p>
        </w:tc>
        <w:tc>
          <w:tcPr>
            <w:tcW w:type="dxa" w:w="11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High</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C5</w:t>
            </w:r>
          </w:p>
        </w:tc>
        <w:tc>
          <w:tcPr>
            <w:tcW w:type="dxa" w:w="1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NNE</w:t>
            </w:r>
          </w:p>
        </w:tc>
        <w:tc>
          <w:tcPr>
            <w:tcW w:type="dxa" w:w="17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Nano Nuclear Energy</w:t>
            </w:r>
          </w:p>
        </w:tc>
        <w:tc>
          <w:tcPr>
            <w:tcW w:type="dxa" w:w="15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US$~18</w:t>
            </w:r>
          </w:p>
        </w:tc>
        <w:tc>
          <w:tcPr>
            <w:tcW w:type="dxa" w:w="12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US$25–35</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US$40–80</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US$60–150</w:t>
            </w:r>
          </w:p>
        </w:tc>
        <w:tc>
          <w:tcPr>
            <w:tcW w:type="dxa" w:w="11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Very High</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C6</w:t>
            </w:r>
          </w:p>
        </w:tc>
        <w:tc>
          <w:tcPr>
            <w:tcW w:type="dxa" w:w="1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SMCI</w:t>
            </w:r>
          </w:p>
        </w:tc>
        <w:tc>
          <w:tcPr>
            <w:tcW w:type="dxa" w:w="17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Super Micro (speculative)</w:t>
            </w:r>
          </w:p>
        </w:tc>
        <w:tc>
          <w:tcPr>
            <w:tcW w:type="dxa" w:w="15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US$~42</w:t>
            </w:r>
          </w:p>
        </w:tc>
        <w:tc>
          <w:tcPr>
            <w:tcW w:type="dxa" w:w="12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US$70–90</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US$100–160</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US$150–280</w:t>
            </w:r>
          </w:p>
        </w:tc>
        <w:tc>
          <w:tcPr>
            <w:tcW w:type="dxa" w:w="11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Very High</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C7</w:t>
            </w:r>
          </w:p>
        </w:tc>
        <w:tc>
          <w:tcPr>
            <w:tcW w:type="dxa" w:w="1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ASX:BOE</w:t>
            </w:r>
          </w:p>
        </w:tc>
        <w:tc>
          <w:tcPr>
            <w:tcW w:type="dxa" w:w="17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Boss Energy (ASX uranium)</w:t>
            </w:r>
          </w:p>
        </w:tc>
        <w:tc>
          <w:tcPr>
            <w:tcW w:type="dxa" w:w="15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A$~3.00</w:t>
            </w:r>
          </w:p>
        </w:tc>
        <w:tc>
          <w:tcPr>
            <w:tcW w:type="dxa" w:w="12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A$4.50</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A$6–10</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A$8–18</w:t>
            </w:r>
          </w:p>
        </w:tc>
        <w:tc>
          <w:tcPr>
            <w:tcW w:type="dxa" w:w="11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Very High</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C8</w:t>
            </w:r>
          </w:p>
        </w:tc>
        <w:tc>
          <w:tcPr>
            <w:tcW w:type="dxa" w:w="1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AMPX</w:t>
            </w:r>
          </w:p>
        </w:tc>
        <w:tc>
          <w:tcPr>
            <w:tcW w:type="dxa" w:w="17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Ampere.ai / similar</w:t>
            </w:r>
          </w:p>
        </w:tc>
        <w:tc>
          <w:tcPr>
            <w:tcW w:type="dxa" w:w="15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N/A</w:t>
            </w:r>
          </w:p>
        </w:tc>
        <w:tc>
          <w:tcPr>
            <w:tcW w:type="dxa" w:w="12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N/A</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N/A</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N/A</w:t>
            </w:r>
          </w:p>
        </w:tc>
        <w:tc>
          <w:tcPr>
            <w:tcW w:type="dxa" w:w="11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Extreme</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C9</w:t>
            </w:r>
          </w:p>
        </w:tc>
        <w:tc>
          <w:tcPr>
            <w:tcW w:type="dxa" w:w="1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RXRX</w:t>
            </w:r>
          </w:p>
        </w:tc>
        <w:tc>
          <w:tcPr>
            <w:tcW w:type="dxa" w:w="17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Recursion Pharma (AI bio)</w:t>
            </w:r>
          </w:p>
        </w:tc>
        <w:tc>
          <w:tcPr>
            <w:tcW w:type="dxa" w:w="15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w:t>
            </w:r>
          </w:p>
        </w:tc>
        <w:tc>
          <w:tcPr>
            <w:tcW w:type="dxa" w:w="12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US$8–12</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US$15–28</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US$25–60</w:t>
            </w:r>
          </w:p>
        </w:tc>
        <w:tc>
          <w:tcPr>
            <w:tcW w:type="dxa" w:w="11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Very High</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C10</w:t>
            </w:r>
          </w:p>
        </w:tc>
        <w:tc>
          <w:tcPr>
            <w:tcW w:type="dxa" w:w="1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CRVS</w:t>
            </w:r>
          </w:p>
        </w:tc>
        <w:tc>
          <w:tcPr>
            <w:tcW w:type="dxa" w:w="17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AI infrastructure SPACs/pre-IPO</w:t>
            </w:r>
          </w:p>
        </w:tc>
        <w:tc>
          <w:tcPr>
            <w:tcW w:type="dxa" w:w="15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Various</w:t>
            </w:r>
          </w:p>
        </w:tc>
        <w:tc>
          <w:tcPr>
            <w:tcW w:type="dxa" w:w="12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N/A</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N/A</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N/A</w:t>
            </w:r>
          </w:p>
        </w:tc>
        <w:tc>
          <w:tcPr>
            <w:tcW w:type="dxa" w:w="11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Extreme</w:t>
            </w:r>
          </w:p>
        </w:tc>
      </w:tr>
    </w:tbl>
    <w:p>
      <w:pPr>
        <w:spacing w:before="30" w:after="80"/>
        <w:jc w:val="left"/>
      </w:pPr>
      <w:r>
        <w:rPr>
          <w:rFonts w:ascii="Arial" w:cs="Arial" w:eastAsia="Arial" w:hAnsi="Arial"/>
          <w:b w:val="false"/>
          <w:bCs w:val="false"/>
          <w:i/>
          <w:iCs/>
          <w:color w:val="718096"/>
          <w:sz w:val="17"/>
          <w:szCs w:val="17"/>
        </w:rPr>
        <w:t xml:space="preserve">Source: Portfolio C targets carry extremely wide confidence intervals. Treat as directional scenarios, not forecasts. Some will be zero.</w:t>
      </w:r>
    </w:p>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7B2222"/>
          <w:sz w:val="21"/>
          <w:szCs w:val="21"/>
        </w:rPr>
        <w:t xml:space="preserve">C1. OKLO — Oklo Inc.</w:t>
      </w:r>
    </w:p>
    <w:p>
      <w:pPr>
        <w:spacing w:before="40" w:after="80"/>
        <w:jc w:val="left"/>
      </w:pPr>
      <w:r>
        <w:rPr>
          <w:rFonts w:ascii="Arial" w:cs="Arial" w:eastAsia="Arial" w:hAnsi="Arial"/>
          <w:b w:val="false"/>
          <w:bCs w:val="false"/>
          <w:i w:val="false"/>
          <w:iCs w:val="false"/>
          <w:color w:val="718096"/>
          <w:sz w:val="19"/>
          <w:szCs w:val="19"/>
        </w:rPr>
        <w:t xml:space="preserve">NYSE  ·  Current price: US$61.00  ·  </w:t>
      </w:r>
      <w:r>
        <w:rPr>
          <w:rFonts w:ascii="Arial" w:cs="Arial" w:eastAsia="Arial" w:hAnsi="Arial"/>
          <w:b/>
          <w:bCs/>
          <w:i w:val="false"/>
          <w:iCs w:val="false"/>
          <w:color w:val="7B2222"/>
          <w:sz w:val="19"/>
          <w:szCs w:val="19"/>
        </w:rPr>
        <w:t xml:space="preserve">Risk: Very High  ·  </w:t>
      </w:r>
      <w:r>
        <w:rPr>
          <w:rFonts w:ascii="Arial" w:cs="Arial" w:eastAsia="Arial" w:hAnsi="Arial"/>
          <w:b w:val="false"/>
          <w:bCs w:val="false"/>
          <w:i w:val="false"/>
          <w:iCs w:val="false"/>
          <w:color w:val="718096"/>
          <w:sz w:val="19"/>
          <w:szCs w:val="19"/>
        </w:rPr>
        <w:t xml:space="preserve">Analyst consensus 12-month target: US$98.93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US$76–175</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+25–187%</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NRC licensing milestone achieved for first Aurora powerhouse; HALEU JV with Centrus operational</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US$120–250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+97–310% (potential)</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First Aurora reactor at Idaho delivers power; revenue recognition begins; institutional coverage expands</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US$180–500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+195–720% (potential)</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Commercial fleet of 10+ reactors operating; Oklo becomes the standard AI microreactor provider</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Oklo is the most compelling speculative nuclear play — a first-mover in commercial microreactor technology. As of March 18, 2026, Oklo has a Meta Platforms partnership for AI data centre power supply, an Idaho National Laboratory flagship project, and a joint venture with Centrus Energy for HALEU (High-Assay Low-Enriched Uranium) fuel production. The stock peaked at $194 in late 2025, fell to current levels, and now sits 69% below peak. Analyst consensus is Buy with a target of $98.93 (MarketBeat, March 2026) and bulls target $175. The company has NO current revenue and will not generate meaningful power revenue until late 2027 or 2028 at earliest. Market cap of $9.7B is 600x projected 2027 sales. This is a pre-revenue speculation on a technology thesis, not a valuation-grounded investment.</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Regulatory risk — NRC licensing process can be delayed indefinitely; no commercial nuclear project in the US has been completed on its original timeline in decades.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OKLO price $61 from FinancialContent March 18, 2026. Peak $194 from same source. MarketBeat consensus Buy target $98.93. Meta partnership, INL project from intellectia.ai OKLO analysis March 2026. Revenue not expected until late 2027 at earliest — explicitly stated. Market cap $9.7B at 600x 2027 sales — verified from intellectia.ai. VERY HIGH risk designation confirmed by auditor.</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7B2222"/>
          <w:sz w:val="21"/>
          <w:szCs w:val="21"/>
        </w:rPr>
        <w:t xml:space="preserve">C2. SOUN — SoundHound AI</w:t>
      </w:r>
    </w:p>
    <w:p>
      <w:pPr>
        <w:spacing w:before="40" w:after="80"/>
        <w:jc w:val="left"/>
      </w:pPr>
      <w:r>
        <w:rPr>
          <w:rFonts w:ascii="Arial" w:cs="Arial" w:eastAsia="Arial" w:hAnsi="Arial"/>
          <w:b w:val="false"/>
          <w:bCs w:val="false"/>
          <w:i w:val="false"/>
          <w:iCs w:val="false"/>
          <w:color w:val="718096"/>
          <w:sz w:val="19"/>
          <w:szCs w:val="19"/>
        </w:rPr>
        <w:t xml:space="preserve">NASDAQ  ·  Current price: US$~8  ·  </w:t>
      </w:r>
      <w:r>
        <w:rPr>
          <w:rFonts w:ascii="Arial" w:cs="Arial" w:eastAsia="Arial" w:hAnsi="Arial"/>
          <w:b/>
          <w:bCs/>
          <w:i w:val="false"/>
          <w:iCs w:val="false"/>
          <w:color w:val="7B2222"/>
          <w:sz w:val="19"/>
          <w:szCs w:val="19"/>
        </w:rPr>
        <w:t xml:space="preserve">Risk: Very High  ·  </w:t>
      </w:r>
      <w:r>
        <w:rPr>
          <w:rFonts w:ascii="Arial" w:cs="Arial" w:eastAsia="Arial" w:hAnsi="Arial"/>
          <w:b w:val="false"/>
          <w:bCs w:val="false"/>
          <w:i w:val="false"/>
          <w:iCs w:val="false"/>
          <w:color w:val="718096"/>
          <w:sz w:val="19"/>
          <w:szCs w:val="19"/>
        </w:rPr>
        <w:t xml:space="preserve">Analyst consensus 12-month target: US$13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US$10–15</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+25–88%</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Path to profitability confirmed; major automotive deployment at scale announced</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US$18–35</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+125–338% (potential)</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Restaurant/QSR AI adoption drives ARR above $200M; EBITDA positive achieved</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US$28–65</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+250–713% (potential)</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Voice AI becomes $40B+ market; SoundHound captures 15–20% as the specialised alternative to Big Tech</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SoundHound's voice AI is finding traction in restaurant drive-throughs, automotive, and contact centres. Revenue growing 30% annually (Motley Fool consensus January 2026). The bull case: 75% of new contact centres will be powered by generative AI by 2028 (Geodesic Capital) and SoundHound's voice-first AI is best-positioned for this wave. The bear case: SoundHound is still unprofitable, burns cash, and competes against Google, Amazon, and Apple in voice AI. The stock has been massively volatile — down 65% from its all-time high. This is a genuine venture-style risk in a public market wrapper. The 2026 path to profitability is the only credible near-term catalyst. Without it, further dilution is likely.</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Unprofitable, cash-burning, and competing against Google and Amazon in voice AI — odds of failure are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SoundHound price ~$8 (down 65% from all-time high per Motley Fool February 2026). Revenue CAGR 30% from analyst consensus per Motley Fool January 2026. Path to profitability in 2027 from analyst estimates. VERY HIGH risk confirmed — this is a venture-style position.</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7B2222"/>
          <w:sz w:val="21"/>
          <w:szCs w:val="21"/>
        </w:rPr>
        <w:t xml:space="preserve">C3. APLD — Applied Digital Corp</w:t>
      </w:r>
    </w:p>
    <w:p>
      <w:pPr>
        <w:spacing w:before="40" w:after="80"/>
        <w:jc w:val="left"/>
      </w:pPr>
      <w:r>
        <w:rPr>
          <w:rFonts w:ascii="Arial" w:cs="Arial" w:eastAsia="Arial" w:hAnsi="Arial"/>
          <w:b w:val="false"/>
          <w:bCs w:val="false"/>
          <w:i w:val="false"/>
          <w:iCs w:val="false"/>
          <w:color w:val="718096"/>
          <w:sz w:val="19"/>
          <w:szCs w:val="19"/>
        </w:rPr>
        <w:t xml:space="preserve">NASDAQ  ·  Current price: US$~12  ·  </w:t>
      </w:r>
      <w:r>
        <w:rPr>
          <w:rFonts w:ascii="Arial" w:cs="Arial" w:eastAsia="Arial" w:hAnsi="Arial"/>
          <w:b/>
          <w:bCs/>
          <w:i w:val="false"/>
          <w:iCs w:val="false"/>
          <w:color w:val="7B2222"/>
          <w:sz w:val="19"/>
          <w:szCs w:val="19"/>
        </w:rPr>
        <w:t xml:space="preserve">Risk: Very High  ·  </w:t>
      </w:r>
      <w:r>
        <w:rPr>
          <w:rFonts w:ascii="Arial" w:cs="Arial" w:eastAsia="Arial" w:hAnsi="Arial"/>
          <w:b w:val="false"/>
          <w:bCs w:val="false"/>
          <w:i w:val="false"/>
          <w:iCs w:val="false"/>
          <w:color w:val="718096"/>
          <w:sz w:val="19"/>
          <w:szCs w:val="19"/>
        </w:rPr>
        <w:t xml:space="preserve">Analyst consensus 12-month target: US$20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US$18–25</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+50–108%</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New hyperscaler contract announced; North Dakota campus expansion confirmed</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US$30–50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+150–317% (potential)</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Second campus region operational; $11B 15-year pipeline converts to billings</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US$45–85</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+275–608% (potential)</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Applied Digital establishes as a top-5 AI data centre developer in the US</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Applied Digital builds AI data centres — it is a smaller, faster-growing version of CoreWeave from a real estate and infrastructure angle. Q2 FY2026 (ended November 2025) revenue was $127M, +250% YoY — far exceeding the $88M analyst consensus. The company has signed 15-year lease revenue pipeline of $11B with CoreWeave as the anchor tenant. Revenue recognition from 100 MW of CoreWeave capacity has begun. Applied Digital is in advanced talks with another hyperscaler for multiple US regions — if signed, this would be the most significant catalyst in its history. The stock already gained ~50% in 2026 (Motley Fool, January 2026). The risk: CoreWeave is the primary tenant — concentration risk that mirrors CoreWeave's own customer concentration in Microsoft.</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CoreWeave tenant concentration — if CoreWeave struggles financially, Applied Digital's cashflow is at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Applied Digital Q2 FY2026 revenue $127M vs estimate $88M from Motley Fool January 2026. $11B 15-year pipeline from same source. 50% gain in 2026 from Motley Fool. CoreWeave as anchor tenant confirmed. Current price ~$12 estimated (APLD has been volatile; verify on purchase date).</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92400E"/>
          <w:sz w:val="21"/>
          <w:szCs w:val="21"/>
        </w:rPr>
        <w:t xml:space="preserve">C4. NBIS — Nebius Group</w:t>
      </w:r>
    </w:p>
    <w:p>
      <w:pPr>
        <w:spacing w:before="40" w:after="80"/>
        <w:jc w:val="left"/>
      </w:pPr>
      <w:r>
        <w:rPr>
          <w:rFonts w:ascii="Arial" w:cs="Arial" w:eastAsia="Arial" w:hAnsi="Arial"/>
          <w:b w:val="false"/>
          <w:bCs w:val="false"/>
          <w:i w:val="false"/>
          <w:iCs w:val="false"/>
          <w:color w:val="718096"/>
          <w:sz w:val="19"/>
          <w:szCs w:val="19"/>
        </w:rPr>
        <w:t xml:space="preserve">NASDAQ  ·  Current price: US$~28  ·  </w:t>
      </w:r>
      <w:r>
        <w:rPr>
          <w:rFonts w:ascii="Arial" w:cs="Arial" w:eastAsia="Arial" w:hAnsi="Arial"/>
          <w:b/>
          <w:bCs/>
          <w:i w:val="false"/>
          <w:iCs w:val="false"/>
          <w:color w:val="92400E"/>
          <w:sz w:val="19"/>
          <w:szCs w:val="19"/>
        </w:rPr>
        <w:t xml:space="preserve">Risk: High  ·  </w:t>
      </w:r>
      <w:r>
        <w:rPr>
          <w:rFonts w:ascii="Arial" w:cs="Arial" w:eastAsia="Arial" w:hAnsi="Arial"/>
          <w:b w:val="false"/>
          <w:bCs w:val="false"/>
          <w:i w:val="false"/>
          <w:iCs w:val="false"/>
          <w:color w:val="718096"/>
          <w:sz w:val="19"/>
          <w:szCs w:val="19"/>
        </w:rPr>
        <w:t xml:space="preserve">Analyst consensus 12-month target: US$48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US$42–55</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+50–96%</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Nvidia $2B investment operational; European GPU capacity fills rapidly</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US$65–100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+132–257% (potential)</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European AI sovereignty regulation drives demand for non-US AI cloud providers</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US$100–180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+257–543% (potential)</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Nebius becomes the dominant European AI infrastructure platform; US expansion completes</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Nebius is the European alternative to CoreWeave — a full-stack AI cloud provider with large-scale GPU clusters deployed across Europe and the US. It received a $2 billion Nvidia investment in 2026 (StockAnalysis), which is one of the most significant endorsements possible in the AI infrastructure space. Nvidia does not invest $2 billion in companies it does not believe will be critical infrastructure. This single fact changes the risk profile relative to most speculative investments. Wall Street consensus rating is cautiously bullish, with TipRanks noting it as a 'Strong Buy' at year-end 2025. Unlike CoreWeave, Nebius has European geographic diversification and lower US customer concentration risk.</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Pre-profitability, high capex requirements — Nebius needs sustained capital markets access to fund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Nvidia $2B investment in Nebius from StockAnalysis NBIS news, March 2026. TipRanks bullish consensus from TipRanks PLTR vs NBIS vs CRWV comparison, December 2025. Current price ~$28 estimated (NBIS has been volatile). HIGH risk confirmed.</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7B2222"/>
          <w:sz w:val="21"/>
          <w:szCs w:val="21"/>
        </w:rPr>
        <w:t xml:space="preserve">C5. NNE — Nano Nuclear Energy</w:t>
      </w:r>
    </w:p>
    <w:p>
      <w:pPr>
        <w:spacing w:before="40" w:after="80"/>
        <w:jc w:val="left"/>
      </w:pPr>
      <w:r>
        <w:rPr>
          <w:rFonts w:ascii="Arial" w:cs="Arial" w:eastAsia="Arial" w:hAnsi="Arial"/>
          <w:b w:val="false"/>
          <w:bCs w:val="false"/>
          <w:i w:val="false"/>
          <w:iCs w:val="false"/>
          <w:color w:val="718096"/>
          <w:sz w:val="19"/>
          <w:szCs w:val="19"/>
        </w:rPr>
        <w:t xml:space="preserve">NASDAQ  ·  Current price: US$~18  ·  </w:t>
      </w:r>
      <w:r>
        <w:rPr>
          <w:rFonts w:ascii="Arial" w:cs="Arial" w:eastAsia="Arial" w:hAnsi="Arial"/>
          <w:b/>
          <w:bCs/>
          <w:i w:val="false"/>
          <w:iCs w:val="false"/>
          <w:color w:val="7B2222"/>
          <w:sz w:val="19"/>
          <w:szCs w:val="19"/>
        </w:rPr>
        <w:t xml:space="preserve">Risk: Very High  ·  </w:t>
      </w:r>
      <w:r>
        <w:rPr>
          <w:rFonts w:ascii="Arial" w:cs="Arial" w:eastAsia="Arial" w:hAnsi="Arial"/>
          <w:b w:val="false"/>
          <w:bCs w:val="false"/>
          <w:i w:val="false"/>
          <w:iCs w:val="false"/>
          <w:color w:val="718096"/>
          <w:sz w:val="19"/>
          <w:szCs w:val="19"/>
        </w:rPr>
        <w:t xml:space="preserve">Analyst consensus 12-month target: US$30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US$25–40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+39–122%</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NRC pre-application review begins; military interest formalised</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US$45–80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+150–344% (potential)</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First commercial contract signed for remote mining or military deployment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US$65–160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+261–789% (potential)</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Regulatory approval received; first Nano reactor deployed commercially</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Nano Nuclear Energy operates in the microreactor space (sub-10 MW), targeting remote mining sites, military installations, and off-grid data centres. This is the most speculative nuclear play — smaller than Oklo, less capitalized, with no commercial contracts. The thesis: off-grid AI data centres (particularly in regions with grid constraints like parts of Texas) could deploy microreactors as self-contained power sources. The US military's interest in portable nuclear power is a potential non-commercial revenue stream. At current prices, the market is buying a very early-stage option on a technology that may or may not receive NRC approval within the investment horizon. Consider this a lottery ticket with informed odds.</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Pre-revenue, pre-approval — this company has no revenue and may never achieve commercial deployment within 5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Nano Nuclear Energy operates in microreactor space, below 10 MW per intellectual analysis and company website. Market cap and financial data not verified to Tier 1 source. VERY HIGH risk. Price ~$18 estimated. This is the most speculative position in Portfolio C — size accordingly at 0.5% maximum.</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7B2222"/>
          <w:sz w:val="21"/>
          <w:szCs w:val="21"/>
        </w:rPr>
        <w:t xml:space="preserve">C6. SMCI — Super Micro Computer (Speculative sizing)</w:t>
      </w:r>
    </w:p>
    <w:p>
      <w:pPr>
        <w:spacing w:before="40" w:after="80"/>
        <w:jc w:val="left"/>
      </w:pPr>
      <w:r>
        <w:rPr>
          <w:rFonts w:ascii="Arial" w:cs="Arial" w:eastAsia="Arial" w:hAnsi="Arial"/>
          <w:b w:val="false"/>
          <w:bCs w:val="false"/>
          <w:i w:val="false"/>
          <w:iCs w:val="false"/>
          <w:color w:val="718096"/>
          <w:sz w:val="19"/>
          <w:szCs w:val="19"/>
        </w:rPr>
        <w:t xml:space="preserve">NASDAQ  ·  Current price: US$~42  ·  </w:t>
      </w:r>
      <w:r>
        <w:rPr>
          <w:rFonts w:ascii="Arial" w:cs="Arial" w:eastAsia="Arial" w:hAnsi="Arial"/>
          <w:b/>
          <w:bCs/>
          <w:i w:val="false"/>
          <w:iCs w:val="false"/>
          <w:color w:val="7B2222"/>
          <w:sz w:val="19"/>
          <w:szCs w:val="19"/>
        </w:rPr>
        <w:t xml:space="preserve">Risk: Very High  ·  </w:t>
      </w:r>
      <w:r>
        <w:rPr>
          <w:rFonts w:ascii="Arial" w:cs="Arial" w:eastAsia="Arial" w:hAnsi="Arial"/>
          <w:b w:val="false"/>
          <w:bCs w:val="false"/>
          <w:i w:val="false"/>
          <w:iCs w:val="false"/>
          <w:color w:val="718096"/>
          <w:sz w:val="19"/>
          <w:szCs w:val="19"/>
        </w:rPr>
        <w:t xml:space="preserve">Analyst consensus 12-month target: US$75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US$55–90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+31–114%</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Q2 FY2026 revenue catch-up delivered; gross margin guidance improved</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US$100–160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+138–281% (potential)</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B300 systems ramp; margin recovery to 15%+ confirmed; institutional buyers return</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US$150–280</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+257–567% (potential)</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SMCI becomes the standard AI server manufacturer at competitive margins</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Repeated from Portfolio B but sized at maximum 1% of portfolio rather than 2–3%. The speculative case for SMCI is more aggressive — if gross margins recover to 15–17% on new B300/Rubin systems and revenue doubles to $16B+ in FY2027, the current 10x forward P/E re-rates to 20–25x, implying $100–130 stock price within 18 months. Bank of America disagrees (Underperform, $34 target). Goldman Sachs disagrees (Sell). This is a genuine value trap vs. turnaround debate. The speculative positioning treats it as a deep value play on AI infrastructure — not the core thesis.</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Goldman Sachs Sell ($34 target) and Bank of America Underperform ($34 target) represent the institutional bear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Goldman Sachs Sell/$34 and Bank of America Underperform/$34 both confirmed from Yahoo Finance January 2026. Bull case 10x forward P/E is JPAM modelling. This stock is in Portfolio C as a speculative position only.</w:t>
            </w:r>
          </w:p>
        </w:tc>
      </w:tr>
    </w:tbl>
    <w:p>
      <w:pPr>
        <w:spacing w:before="100" w:after="0"/>
      </w:pPr>
      <w:r>
        <w:rPr>
          <w:rFonts w:ascii="Arial" w:cs="Arial" w:eastAsia="Arial" w:hAnsi="Arial"/>
          <w:b w:val="false"/>
          <w:bCs w:val="false"/>
          <w:i w:val="false"/>
          <w:iCs w:val="false"/>
          <w:color w:val="2D3748"/>
          <w:sz w:val="20"/>
          <w:szCs w:val="20"/>
        </w:rPr>
        <w:t xml:space="preserve"/>
      </w:r>
    </w:p>
    <w:p>
      <w:pPr>
        <w:pStyle w:val="Heading3"/>
        <w:spacing w:before="160" w:after="60"/>
      </w:pPr>
      <w:r>
        <w:rPr>
          <w:rFonts w:ascii="Arial" w:cs="Arial" w:eastAsia="Arial" w:hAnsi="Arial"/>
          <w:b/>
          <w:bCs/>
          <w:i w:val="false"/>
          <w:iCs w:val="false"/>
          <w:color w:val="7B2222"/>
          <w:sz w:val="21"/>
          <w:szCs w:val="21"/>
        </w:rPr>
        <w:t xml:space="preserve">C7. ASX:BOE — Boss Energy</w:t>
      </w:r>
    </w:p>
    <w:p>
      <w:pPr>
        <w:spacing w:before="40" w:after="80"/>
        <w:jc w:val="left"/>
      </w:pPr>
      <w:r>
        <w:rPr>
          <w:rFonts w:ascii="Arial" w:cs="Arial" w:eastAsia="Arial" w:hAnsi="Arial"/>
          <w:b w:val="false"/>
          <w:bCs w:val="false"/>
          <w:i w:val="false"/>
          <w:iCs w:val="false"/>
          <w:color w:val="718096"/>
          <w:sz w:val="19"/>
          <w:szCs w:val="19"/>
        </w:rPr>
        <w:t xml:space="preserve">ASX (uranium miner)  ·  Current price: A$~3.00  ·  </w:t>
      </w:r>
      <w:r>
        <w:rPr>
          <w:rFonts w:ascii="Arial" w:cs="Arial" w:eastAsia="Arial" w:hAnsi="Arial"/>
          <w:b/>
          <w:bCs/>
          <w:i w:val="false"/>
          <w:iCs w:val="false"/>
          <w:color w:val="7B2222"/>
          <w:sz w:val="19"/>
          <w:szCs w:val="19"/>
        </w:rPr>
        <w:t xml:space="preserve">Risk: Very High  ·  </w:t>
      </w:r>
      <w:r>
        <w:rPr>
          <w:rFonts w:ascii="Arial" w:cs="Arial" w:eastAsia="Arial" w:hAnsi="Arial"/>
          <w:b w:val="false"/>
          <w:bCs w:val="false"/>
          <w:i w:val="false"/>
          <w:iCs w:val="false"/>
          <w:color w:val="718096"/>
          <w:sz w:val="19"/>
          <w:szCs w:val="19"/>
        </w:rPr>
        <w:t xml:space="preserve">Analyst consensus 12-month target: A$4.50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960"/>
      </w:tblGrid>
      <w:tr>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Target</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Return</w:t>
            </w:r>
          </w:p>
        </w:tc>
        <w:tc>
          <w:tcPr>
            <w:tcW w:type="dxa" w:w="49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(Mar 2027)</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A$4–6</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+33–100%</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Uranium price above $85/lb sustained; Honeymoon production ramp confirms nameplate capacity</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(Mar 2029)</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A$6–10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+100–233% (potential)</w:t>
            </w:r>
          </w:p>
        </w:tc>
        <w:tc>
          <w:tcPr>
            <w:tcW w:type="dxa" w:w="49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Production increases to 2.45M lbs/year at full capacity; uranium at $100/lb</w:t>
            </w:r>
          </w:p>
        </w:tc>
      </w:tr>
      <w:tr>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(Mar 2031)</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A$9–18</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+200–500% (potential)</w:t>
            </w:r>
          </w:p>
        </w:tc>
        <w:tc>
          <w:tcPr>
            <w:tcW w:type="dxa" w:w="49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Long-term offtake contracts signed with Japanese or Korean utilities; production doubles</w:t>
            </w:r>
          </w:p>
        </w:tc>
      </w:tr>
    </w:tbl>
    <w:p>
      <w:pPr>
        <w:spacing w:before="8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Boss Energy is an ASX-listed uranium miner that recently brought its Honeymoon uranium mine in South Australia back into production. It is one of the only producing uranium mines in Australia and has direct leverage to uranium price appreciation. The nuclear renaissance driven by AI energy demand has pushed uranium prices higher — and Boss Energy is one of the few ASX investors can access with direct uranium production exposure. The risk: uranium price is volatile and Boss Energy's single-asset concentration at Honeymoon creates operational risk. For Australian investors who want speculative uranium exposure without US currency risk, BOE is the most direct instrument.</w:t>
      </w:r>
    </w:p>
    <w:p>
      <w:pPr>
        <w:spacing w:before="60" w:after="0"/>
      </w:pPr>
      <w:r>
        <w:rPr>
          <w:rFonts w:ascii="Arial" w:cs="Arial" w:eastAsia="Arial" w:hAnsi="Arial"/>
          <w:b w:val="false"/>
          <w:bCs w:val="false"/>
          <w:i w:val="false"/>
          <w:iCs w:val="false"/>
          <w:color w:val="2D3748"/>
          <w:sz w:val="20"/>
          <w:szCs w:val="20"/>
        </w:rPr>
        <w:t xml:space="preserve"/>
      </w:r>
    </w:p>
    <w:p>
      <w:pPr>
        <w:spacing w:before="80" w:after="40"/>
        <w:jc w:val="left"/>
      </w:pPr>
      <w:r>
        <w:rPr>
          <w:rFonts w:ascii="Arial" w:cs="Arial" w:eastAsia="Arial" w:hAnsi="Arial"/>
          <w:b/>
          <w:bCs/>
          <w:i w:val="false"/>
          <w:iCs w:val="false"/>
          <w:color w:val="7B2222"/>
          <w:sz w:val="20"/>
          <w:szCs w:val="20"/>
        </w:rPr>
        <w:t xml:space="preserve">Key risk: </w:t>
      </w:r>
      <w:r>
        <w:rPr>
          <w:rFonts w:ascii="Arial" w:cs="Arial" w:eastAsia="Arial" w:hAnsi="Arial"/>
          <w:b w:val="false"/>
          <w:bCs w:val="false"/>
          <w:i w:val="false"/>
          <w:iCs w:val="false"/>
          <w:color w:val="718096"/>
          <w:sz w:val="20"/>
          <w:szCs w:val="20"/>
        </w:rPr>
        <w:t xml:space="preserve">Single-asset miner — Honeymoon operational issues would significantly impair the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8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534AB7"/>
                <w:sz w:val="19"/>
                <w:szCs w:val="19"/>
              </w:rPr>
              <w:t xml:space="preserve">AUDIT NOTE</w:t>
            </w:r>
          </w:p>
          <w:p>
            <w:pPr>
              <w:spacing w:before="80" w:after="80"/>
              <w:jc w:val="left"/>
            </w:pPr>
            <w:r>
              <w:rPr>
                <w:rFonts w:ascii="Arial" w:cs="Arial" w:eastAsia="Arial" w:hAnsi="Arial"/>
                <w:b w:val="false"/>
                <w:bCs w:val="false"/>
                <w:i w:val="false"/>
                <w:iCs w:val="false"/>
                <w:color w:val="1A1A2E"/>
                <w:sz w:val="19"/>
                <w:szCs w:val="19"/>
              </w:rPr>
              <w:t xml:space="preserve">CONFIRMED: Boss Energy is ASX-listed uranium miner with Honeymoon mine in production as of 2024 (ASX announcements). Current price ~A$3.00 estimated (BOE has been volatile; verify on ASX). Uranium price impact on ASX uranium miners is well-established. 1/3/5-year targets are JPAM modelling based on uranium price scenarios.</w:t>
            </w:r>
          </w:p>
        </w:tc>
      </w:tr>
    </w:tbl>
    <w:p>
      <w:pPr>
        <w:spacing w:before="100" w:after="0"/>
      </w:pPr>
      <w:r>
        <w:rPr>
          <w:rFonts w:ascii="Arial" w:cs="Arial" w:eastAsia="Arial" w:hAnsi="Arial"/>
          <w:b w:val="false"/>
          <w:bCs w:val="false"/>
          <w:i w:val="false"/>
          <w:iCs w:val="false"/>
          <w:color w:val="2D3748"/>
          <w:sz w:val="20"/>
          <w:szCs w:val="20"/>
        </w:rPr>
        <w:t xml:space="preserve"/>
      </w:r>
    </w:p>
    <w:p>
      <w:pPr>
        <w:spacing w:before="6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B2222"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CEBEB"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7B2222"/>
                <w:sz w:val="19"/>
                <w:szCs w:val="19"/>
              </w:rPr>
              <w:t xml:space="preserve">PORTFOLIO C POSITIONS C8, C9, C10 — AUDITOR FLAG</w:t>
            </w:r>
          </w:p>
          <w:p>
            <w:pPr>
              <w:spacing w:before="80" w:after="80"/>
              <w:jc w:val="left"/>
            </w:pPr>
            <w:r>
              <w:rPr>
                <w:rFonts w:ascii="Arial" w:cs="Arial" w:eastAsia="Arial" w:hAnsi="Arial"/>
                <w:b w:val="false"/>
                <w:bCs w:val="false"/>
                <w:i w:val="false"/>
                <w:iCs w:val="false"/>
                <w:color w:val="1A1A2E"/>
                <w:sz w:val="19"/>
                <w:szCs w:val="19"/>
              </w:rPr>
              <w:t xml:space="preserve">Positions C8 (Ampere.ai), C9 (Recursion Pharma AI bio), and C10 (AI infrastructure SPACs/pre-IPO) were flagged by the Veracity Auditor as insufficiently verifiable for institutional inclusion in a research document at this time. C8 and C10 may not be publicly listed or may have insufficient trading history. C9 (Recursion Pharmaceuticals, RXRX, ~$5) is a legitimate listed company applying AI to drug discovery but the investment thesis is too speculative and sector-distant from AI infrastructure to belong in this framework without dedicated biotech research. If you have interest in these areas, they require separate due diligence outside the scope of this document.</w:t>
            </w:r>
          </w:p>
        </w:tc>
      </w:tr>
    </w:tbl>
    <w:p>
      <w:pPr>
        <w:spacing w:before="80" w:after="0"/>
      </w:pPr>
      <w:r>
        <w:rPr>
          <w:rFonts w:ascii="Arial" w:cs="Arial" w:eastAsia="Arial" w:hAnsi="Arial"/>
          <w:b w:val="false"/>
          <w:bCs w:val="false"/>
          <w:i w:val="false"/>
          <w:iCs w:val="false"/>
          <w:color w:val="2D3748"/>
          <w:sz w:val="21"/>
          <w:szCs w:val="21"/>
        </w:rPr>
        <w:t xml:space="preserve"/>
      </w:r>
      <w:r>
        <w:br w:type="page"/>
      </w:r>
    </w:p>
    <w:p>
      <w:pPr>
        <w:pStyle w:val="Heading1"/>
        <w:pBdr>
          <w:bottom w:val="single" w:color="003087" w:sz="10" w:space="5"/>
        </w:pBdr>
        <w:spacing w:before="300" w:after="100"/>
      </w:pPr>
      <w:r>
        <w:rPr>
          <w:rFonts w:ascii="Arial" w:cs="Arial" w:eastAsia="Arial" w:hAnsi="Arial"/>
          <w:b/>
          <w:bCs/>
          <w:i w:val="false"/>
          <w:iCs w:val="false"/>
          <w:color w:val="003087"/>
          <w:sz w:val="30"/>
          <w:szCs w:val="30"/>
        </w:rPr>
        <w:t xml:space="preserve">VERACITY AUDIT SUMMARY</w:t>
      </w:r>
    </w:p>
    <w:p>
      <w:pPr>
        <w:spacing w:before="60" w:after="0"/>
      </w:pPr>
      <w:r>
        <w:rPr>
          <w:rFonts w:ascii="Arial" w:cs="Arial" w:eastAsia="Arial" w:hAnsi="Arial"/>
          <w:b w:val="false"/>
          <w:bCs w:val="false"/>
          <w:i w:val="false"/>
          <w:iCs w:val="false"/>
          <w:color w:val="2D3748"/>
          <w:sz w:val="20"/>
          <w:szCs w:val="20"/>
        </w:rPr>
        <w:t xml:space="preserve"/>
      </w:r>
    </w:p>
    <w:p>
      <w:pPr>
        <w:spacing w:before="80" w:after="80"/>
        <w:jc w:val="left"/>
      </w:pPr>
      <w:r>
        <w:rPr>
          <w:rFonts w:ascii="Arial" w:cs="Arial" w:eastAsia="Arial" w:hAnsi="Arial"/>
          <w:b w:val="false"/>
          <w:bCs w:val="false"/>
          <w:i w:val="false"/>
          <w:iCs w:val="false"/>
          <w:color w:val="2D3748"/>
          <w:sz w:val="21"/>
          <w:szCs w:val="21"/>
        </w:rPr>
        <w:t xml:space="preserve">The following audit was conducted before the final document was produced. These findings shaped what was included, what was excluded, and how confidence was expressed throughout.</w:t>
      </w:r>
    </w:p>
    <w:p>
      <w:pPr>
        <w:spacing w:before="100" w:after="0"/>
      </w:pPr>
      <w:r>
        <w:rPr>
          <w:rFonts w:ascii="Arial" w:cs="Arial" w:eastAsia="Arial" w:hAnsi="Arial"/>
          <w:b w:val="false"/>
          <w:bCs w:val="false"/>
          <w:i w:val="false"/>
          <w:iCs w:val="false"/>
          <w:color w:val="2D3748"/>
          <w:sz w:val="20"/>
          <w:szCs w:val="20"/>
        </w:rPr>
        <w:t xml:space="preserve"/>
      </w:r>
    </w:p>
    <w:p>
      <w:pPr>
        <w:pStyle w:val="Heading2"/>
        <w:spacing w:before="220" w:after="80"/>
      </w:pPr>
      <w:r>
        <w:rPr>
          <w:rFonts w:ascii="Arial" w:cs="Arial" w:eastAsia="Arial" w:hAnsi="Arial"/>
          <w:b/>
          <w:bCs/>
          <w:i w:val="false"/>
          <w:iCs w:val="false"/>
          <w:color w:val="1A1A2E"/>
          <w:sz w:val="24"/>
          <w:szCs w:val="24"/>
        </w:rPr>
        <w:t xml:space="preserve">Critical Findings — Resolved</w:t>
      </w:r>
    </w:p>
    <w:p>
      <w:pPr>
        <w:pStyle w:val="ListParagraph"/>
        <w:numPr>
          <w:ilvl w:val="0"/>
          <w:numId w:val="2"/>
        </w:numPr>
        <w:spacing w:before="50" w:after="50"/>
      </w:pPr>
      <w:r>
        <w:rPr>
          <w:rFonts w:ascii="Arial" w:cs="Arial" w:eastAsia="Arial" w:hAnsi="Arial"/>
          <w:b/>
          <w:bCs/>
          <w:i w:val="false"/>
          <w:iCs w:val="false"/>
          <w:color w:val="1A1A2E"/>
          <w:sz w:val="20"/>
          <w:szCs w:val="20"/>
        </w:rPr>
        <w:t xml:space="preserve">RESOLVED: </w:t>
      </w:r>
      <w:r>
        <w:rPr>
          <w:rFonts w:ascii="Arial" w:cs="Arial" w:eastAsia="Arial" w:hAnsi="Arial"/>
          <w:b w:val="false"/>
          <w:bCs w:val="false"/>
          <w:i w:val="false"/>
          <w:iCs w:val="false"/>
          <w:color w:val="718096"/>
          <w:sz w:val="20"/>
          <w:szCs w:val="20"/>
        </w:rPr>
        <w:t xml:space="preserve">All 1-year price targets in Portfolio A and B are sourced from named analyst consensus publications (MarketBeat, TipRanks, StockAnalysis, TradingView) dated within 90 days of 19 March 2026. Each is marked as 'analyst consensus' rather than presented as fact.</w:t>
      </w:r>
    </w:p>
    <w:p>
      <w:pPr>
        <w:pStyle w:val="ListParagraph"/>
        <w:numPr>
          <w:ilvl w:val="0"/>
          <w:numId w:val="2"/>
        </w:numPr>
        <w:spacing w:before="50" w:after="50"/>
      </w:pPr>
      <w:r>
        <w:rPr>
          <w:rFonts w:ascii="Arial" w:cs="Arial" w:eastAsia="Arial" w:hAnsi="Arial"/>
          <w:b/>
          <w:bCs/>
          <w:i w:val="false"/>
          <w:iCs w:val="false"/>
          <w:color w:val="1A1A2E"/>
          <w:sz w:val="20"/>
          <w:szCs w:val="20"/>
        </w:rPr>
        <w:t xml:space="preserve">RESOLVED: </w:t>
      </w:r>
      <w:r>
        <w:rPr>
          <w:rFonts w:ascii="Arial" w:cs="Arial" w:eastAsia="Arial" w:hAnsi="Arial"/>
          <w:b w:val="false"/>
          <w:bCs w:val="false"/>
          <w:i w:val="false"/>
          <w:iCs w:val="false"/>
          <w:color w:val="718096"/>
          <w:sz w:val="20"/>
          <w:szCs w:val="20"/>
        </w:rPr>
        <w:t xml:space="preserve">All 3 and 5-year price targets are labelled as 'JPAM modelling' — not analyst consensus. The methodology (forward earnings × sector multiple) is disclosed.</w:t>
      </w:r>
    </w:p>
    <w:p>
      <w:pPr>
        <w:pStyle w:val="ListParagraph"/>
        <w:numPr>
          <w:ilvl w:val="0"/>
          <w:numId w:val="2"/>
        </w:numPr>
        <w:spacing w:before="50" w:after="50"/>
      </w:pPr>
      <w:r>
        <w:rPr>
          <w:rFonts w:ascii="Arial" w:cs="Arial" w:eastAsia="Arial" w:hAnsi="Arial"/>
          <w:b/>
          <w:bCs/>
          <w:i w:val="false"/>
          <w:iCs w:val="false"/>
          <w:color w:val="1A1A2E"/>
          <w:sz w:val="20"/>
          <w:szCs w:val="20"/>
        </w:rPr>
        <w:t xml:space="preserve">RESOLVED: </w:t>
      </w:r>
      <w:r>
        <w:rPr>
          <w:rFonts w:ascii="Arial" w:cs="Arial" w:eastAsia="Arial" w:hAnsi="Arial"/>
          <w:b w:val="false"/>
          <w:bCs w:val="false"/>
          <w:i w:val="false"/>
          <w:iCs w:val="false"/>
          <w:color w:val="718096"/>
          <w:sz w:val="20"/>
          <w:szCs w:val="20"/>
        </w:rPr>
        <w:t xml:space="preserve">Portfolio C positions are explicitly labelled Very High / Extreme risk with a maximum allocation guideline of 0.5–1% per position.</w:t>
      </w:r>
    </w:p>
    <w:p>
      <w:pPr>
        <w:pStyle w:val="ListParagraph"/>
        <w:numPr>
          <w:ilvl w:val="0"/>
          <w:numId w:val="2"/>
        </w:numPr>
        <w:spacing w:before="50" w:after="50"/>
      </w:pPr>
      <w:r>
        <w:rPr>
          <w:rFonts w:ascii="Arial" w:cs="Arial" w:eastAsia="Arial" w:hAnsi="Arial"/>
          <w:b/>
          <w:bCs/>
          <w:i w:val="false"/>
          <w:iCs w:val="false"/>
          <w:color w:val="1A1A2E"/>
          <w:sz w:val="20"/>
          <w:szCs w:val="20"/>
        </w:rPr>
        <w:t xml:space="preserve">RESOLVED: </w:t>
      </w:r>
      <w:r>
        <w:rPr>
          <w:rFonts w:ascii="Arial" w:cs="Arial" w:eastAsia="Arial" w:hAnsi="Arial"/>
          <w:b w:val="false"/>
          <w:bCs w:val="false"/>
          <w:i w:val="false"/>
          <w:iCs w:val="false"/>
          <w:color w:val="718096"/>
          <w:sz w:val="20"/>
          <w:szCs w:val="20"/>
        </w:rPr>
        <w:t xml:space="preserve">Three Portfolio C positions (C8, C9, C10) were removed from substantive coverage after the auditor flagged insufficient verifiability. This is disclosed.</w:t>
      </w:r>
    </w:p>
    <w:p>
      <w:pPr>
        <w:pStyle w:val="ListParagraph"/>
        <w:numPr>
          <w:ilvl w:val="0"/>
          <w:numId w:val="2"/>
        </w:numPr>
        <w:spacing w:before="50" w:after="50"/>
      </w:pPr>
      <w:r>
        <w:rPr>
          <w:rFonts w:ascii="Arial" w:cs="Arial" w:eastAsia="Arial" w:hAnsi="Arial"/>
          <w:b/>
          <w:bCs/>
          <w:i w:val="false"/>
          <w:iCs w:val="false"/>
          <w:color w:val="1A1A2E"/>
          <w:sz w:val="20"/>
          <w:szCs w:val="20"/>
        </w:rPr>
        <w:t xml:space="preserve">RESOLVED: </w:t>
      </w:r>
      <w:r>
        <w:rPr>
          <w:rFonts w:ascii="Arial" w:cs="Arial" w:eastAsia="Arial" w:hAnsi="Arial"/>
          <w:b w:val="false"/>
          <w:bCs w:val="false"/>
          <w:i w:val="false"/>
          <w:iCs w:val="false"/>
          <w:color w:val="718096"/>
          <w:sz w:val="20"/>
          <w:szCs w:val="20"/>
        </w:rPr>
        <w:t xml:space="preserve">All price data is labelled 'as of 19 March 2026' with the instruction to verify before deploying capital.</w:t>
      </w:r>
    </w:p>
    <w:p>
      <w:pPr>
        <w:spacing w:before="100" w:after="0"/>
      </w:pPr>
      <w:r>
        <w:rPr>
          <w:rFonts w:ascii="Arial" w:cs="Arial" w:eastAsia="Arial" w:hAnsi="Arial"/>
          <w:b w:val="false"/>
          <w:bCs w:val="false"/>
          <w:i w:val="false"/>
          <w:iCs w:val="false"/>
          <w:color w:val="2D3748"/>
          <w:sz w:val="20"/>
          <w:szCs w:val="20"/>
        </w:rPr>
        <w:t xml:space="preserve"/>
      </w:r>
    </w:p>
    <w:p>
      <w:pPr>
        <w:pStyle w:val="Heading2"/>
        <w:spacing w:before="220" w:after="80"/>
      </w:pPr>
      <w:r>
        <w:rPr>
          <w:rFonts w:ascii="Arial" w:cs="Arial" w:eastAsia="Arial" w:hAnsi="Arial"/>
          <w:b/>
          <w:bCs/>
          <w:i w:val="false"/>
          <w:iCs w:val="false"/>
          <w:color w:val="1A1A2E"/>
          <w:sz w:val="24"/>
          <w:szCs w:val="24"/>
        </w:rPr>
        <w:t xml:space="preserve">Data Currency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c>
          <w:tcPr>
            <w:tcW w:type="dxa" w:w="2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Data Category</w:t>
            </w:r>
          </w:p>
        </w:tc>
        <w:tc>
          <w:tcPr>
            <w:tcW w:type="dxa" w:w="2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Source</w:t>
            </w:r>
          </w:p>
        </w:tc>
        <w:tc>
          <w:tcPr>
            <w:tcW w:type="dxa" w:w="18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Date</w:t>
            </w:r>
          </w:p>
        </w:tc>
        <w:tc>
          <w:tcPr>
            <w:tcW w:type="dxa" w:w="27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Recency Status</w:t>
            </w:r>
          </w:p>
        </w:tc>
      </w:tr>
      <w:tr>
        <w:tc>
          <w:tcPr>
            <w:tcW w:type="dxa" w:w="2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IEA data centre power demand forecast</w:t>
            </w:r>
          </w:p>
        </w:tc>
        <w:tc>
          <w:tcPr>
            <w:tcW w:type="dxa" w:w="2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IEA 'Energy and AI' special report</w:t>
            </w:r>
          </w:p>
        </w:tc>
        <w:tc>
          <w:tcPr>
            <w:tcW w:type="dxa" w:w="18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April 10, 2025</w:t>
            </w:r>
          </w:p>
        </w:tc>
        <w:tc>
          <w:tcPr>
            <w:tcW w:type="dxa" w:w="27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CURRENT — within 18-month threshold</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CEG Calpine acquisition</w:t>
            </w:r>
          </w:p>
        </w:tc>
        <w:tc>
          <w:tcPr>
            <w:tcW w:type="dxa" w:w="2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CEG 8-K filing, SEC EDGAR</w:t>
            </w:r>
          </w:p>
        </w:tc>
        <w:tc>
          <w:tcPr>
            <w:tcW w:type="dxa" w:w="18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January 7, 2026</w:t>
            </w:r>
          </w:p>
        </w:tc>
        <w:tc>
          <w:tcPr>
            <w:tcW w:type="dxa" w:w="27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CURRENT</w:t>
            </w:r>
          </w:p>
        </w:tc>
      </w:tr>
      <w:tr>
        <w:tc>
          <w:tcPr>
            <w:tcW w:type="dxa" w:w="2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NextDC 1HFY26 financials</w:t>
            </w:r>
          </w:p>
        </w:tc>
        <w:tc>
          <w:tcPr>
            <w:tcW w:type="dxa" w:w="2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NXT ASX announcement</w:t>
            </w:r>
          </w:p>
        </w:tc>
        <w:tc>
          <w:tcPr>
            <w:tcW w:type="dxa" w:w="18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February 26, 2026</w:t>
            </w:r>
          </w:p>
        </w:tc>
        <w:tc>
          <w:tcPr>
            <w:tcW w:type="dxa" w:w="27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CURRENT</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Broadcom Q1 FY2026 earnings</w:t>
            </w:r>
          </w:p>
        </w:tc>
        <w:tc>
          <w:tcPr>
            <w:tcW w:type="dxa" w:w="2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AVGO earnings release</w:t>
            </w:r>
          </w:p>
        </w:tc>
        <w:tc>
          <w:tcPr>
            <w:tcW w:type="dxa" w:w="18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March 6, 2026</w:t>
            </w:r>
          </w:p>
        </w:tc>
        <w:tc>
          <w:tcPr>
            <w:tcW w:type="dxa" w:w="27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CURRENT</w:t>
            </w:r>
          </w:p>
        </w:tc>
      </w:tr>
      <w:tr>
        <w:tc>
          <w:tcPr>
            <w:tcW w:type="dxa" w:w="2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S&amp;P Global copper deficit study</w:t>
            </w:r>
          </w:p>
        </w:tc>
        <w:tc>
          <w:tcPr>
            <w:tcW w:type="dxa" w:w="2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S&amp;P Global press release</w:t>
            </w:r>
          </w:p>
        </w:tc>
        <w:tc>
          <w:tcPr>
            <w:tcW w:type="dxa" w:w="18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January 8, 2026</w:t>
            </w:r>
          </w:p>
        </w:tc>
        <w:tc>
          <w:tcPr>
            <w:tcW w:type="dxa" w:w="27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CURRENT</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OKLO stock price and analyst targets</w:t>
            </w:r>
          </w:p>
        </w:tc>
        <w:tc>
          <w:tcPr>
            <w:tcW w:type="dxa" w:w="2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FinancialContent, MarketBeat</w:t>
            </w:r>
          </w:p>
        </w:tc>
        <w:tc>
          <w:tcPr>
            <w:tcW w:type="dxa" w:w="18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March 18, 2026</w:t>
            </w:r>
          </w:p>
        </w:tc>
        <w:tc>
          <w:tcPr>
            <w:tcW w:type="dxa" w:w="27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CURRENT</w:t>
            </w:r>
          </w:p>
        </w:tc>
      </w:tr>
      <w:tr>
        <w:tc>
          <w:tcPr>
            <w:tcW w:type="dxa" w:w="2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Nvidia GTC 2026 demand signal</w:t>
            </w:r>
          </w:p>
        </w:tc>
        <w:tc>
          <w:tcPr>
            <w:tcW w:type="dxa" w:w="2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CNBC coverage of Jensen keynote</w:t>
            </w:r>
          </w:p>
        </w:tc>
        <w:tc>
          <w:tcPr>
            <w:tcW w:type="dxa" w:w="18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March 18, 2026</w:t>
            </w:r>
          </w:p>
        </w:tc>
        <w:tc>
          <w:tcPr>
            <w:tcW w:type="dxa" w:w="27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CURRENT</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NLR 52-week range and price</w:t>
            </w:r>
          </w:p>
        </w:tc>
        <w:tc>
          <w:tcPr>
            <w:tcW w:type="dxa" w:w="2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Investing.com, Robinhood</w:t>
            </w:r>
          </w:p>
        </w:tc>
        <w:tc>
          <w:tcPr>
            <w:tcW w:type="dxa" w:w="18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March 18, 2026</w:t>
            </w:r>
          </w:p>
        </w:tc>
        <w:tc>
          <w:tcPr>
            <w:tcW w:type="dxa" w:w="27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CURRENT</w:t>
            </w:r>
          </w:p>
        </w:tc>
      </w:tr>
      <w:tr>
        <w:tc>
          <w:tcPr>
            <w:tcW w:type="dxa" w:w="2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PLTR Q4 2025 revenue</w:t>
            </w:r>
          </w:p>
        </w:tc>
        <w:tc>
          <w:tcPr>
            <w:tcW w:type="dxa" w:w="2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TradingView earnings data</w:t>
            </w:r>
          </w:p>
        </w:tc>
        <w:tc>
          <w:tcPr>
            <w:tcW w:type="dxa" w:w="18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Q4 2025 report</w:t>
            </w:r>
          </w:p>
        </w:tc>
        <w:tc>
          <w:tcPr>
            <w:tcW w:type="dxa" w:w="27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CURRENT</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FCX all-time high and Q4 2025 EPS</w:t>
            </w:r>
          </w:p>
        </w:tc>
        <w:tc>
          <w:tcPr>
            <w:tcW w:type="dxa" w:w="2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FCX investor relations, TradingView</w:t>
            </w:r>
          </w:p>
        </w:tc>
        <w:tc>
          <w:tcPr>
            <w:tcW w:type="dxa" w:w="18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February–March 2026</w:t>
            </w:r>
          </w:p>
        </w:tc>
        <w:tc>
          <w:tcPr>
            <w:tcW w:type="dxa" w:w="27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CURRENT</w:t>
            </w:r>
          </w:p>
        </w:tc>
      </w:tr>
    </w:tbl>
    <w:p>
      <w:pPr>
        <w:spacing w:before="6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308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EB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003087"/>
                <w:sz w:val="19"/>
                <w:szCs w:val="19"/>
              </w:rPr>
              <w:t xml:space="preserve">RECENCY STANDARD APPLIED</w:t>
            </w:r>
          </w:p>
          <w:p>
            <w:pPr>
              <w:spacing w:before="80" w:after="80"/>
              <w:jc w:val="left"/>
            </w:pPr>
            <w:r>
              <w:rPr>
                <w:rFonts w:ascii="Arial" w:cs="Arial" w:eastAsia="Arial" w:hAnsi="Arial"/>
                <w:b w:val="false"/>
                <w:bCs w:val="false"/>
                <w:i w:val="false"/>
                <w:iCs w:val="false"/>
                <w:color w:val="1A1A2E"/>
                <w:sz w:val="19"/>
                <w:szCs w:val="19"/>
              </w:rPr>
              <w:t xml:space="preserve">For dynamic market data (stock prices, earnings, analyst targets), the recency threshold applied was 90 days. All key statistics in Portfolio A and B meet this standard. Portfolio C contains some estimates where precise current pricing was not verified to Tier 1 — these are clearly marked as 'estimated' or 'approximate.' Always verify Portfolio C prices on the day of investment.</w:t>
            </w:r>
          </w:p>
        </w:tc>
      </w:tr>
    </w:tbl>
    <w:p>
      <w:pPr>
        <w:spacing w:before="80" w:after="0"/>
      </w:pPr>
      <w:r>
        <w:rPr>
          <w:rFonts w:ascii="Arial" w:cs="Arial" w:eastAsia="Arial" w:hAnsi="Arial"/>
          <w:b w:val="false"/>
          <w:bCs w:val="false"/>
          <w:i w:val="false"/>
          <w:iCs w:val="false"/>
          <w:color w:val="2D3748"/>
          <w:sz w:val="21"/>
          <w:szCs w:val="21"/>
        </w:rPr>
        <w:t xml:space="preserve"/>
      </w:r>
      <w:r>
        <w:br w:type="page"/>
      </w:r>
    </w:p>
    <w:p>
      <w:pPr>
        <w:pStyle w:val="Heading1"/>
        <w:pBdr>
          <w:bottom w:val="single" w:color="003087" w:sz="10" w:space="5"/>
        </w:pBdr>
        <w:spacing w:before="300" w:after="100"/>
      </w:pPr>
      <w:r>
        <w:rPr>
          <w:rFonts w:ascii="Arial" w:cs="Arial" w:eastAsia="Arial" w:hAnsi="Arial"/>
          <w:b/>
          <w:bCs/>
          <w:i w:val="false"/>
          <w:iCs w:val="false"/>
          <w:color w:val="003087"/>
          <w:sz w:val="30"/>
          <w:szCs w:val="30"/>
        </w:rPr>
        <w:t xml:space="preserve">THE FINAL 10 — THE BEST BALANCED PORTFOLIO</w:t>
      </w:r>
    </w:p>
    <w:p>
      <w:pPr>
        <w:spacing w:before="40" w:after="80"/>
        <w:jc w:val="left"/>
      </w:pPr>
      <w:r>
        <w:rPr>
          <w:rFonts w:ascii="Arial" w:cs="Arial" w:eastAsia="Arial" w:hAnsi="Arial"/>
          <w:b w:val="false"/>
          <w:bCs w:val="false"/>
          <w:i/>
          <w:iCs/>
          <w:color w:val="718096"/>
          <w:sz w:val="20"/>
          <w:szCs w:val="20"/>
        </w:rPr>
        <w:t xml:space="preserve">After three stages of analysis — analyst research, forensic audit, and portfolio synthesis — these are the 10 investments the Portfolio Manager would put in front of a client today. They are not the 10 with the highest potential returns. They are the 10 with the best risk-adjusted returns: returns that are defensible, grounded in verified data, and sized to survive a 30–40% correction without catastrophic loss.</w:t>
      </w:r>
    </w:p>
    <w:p>
      <w:pPr>
        <w:spacing w:before="8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76749"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EAF3DE"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276749"/>
                <w:sz w:val="19"/>
                <w:szCs w:val="19"/>
              </w:rPr>
              <w:t xml:space="preserve">THE SELECTION PRINCIPLE</w:t>
            </w:r>
          </w:p>
          <w:p>
            <w:pPr>
              <w:spacing w:before="80" w:after="80"/>
              <w:jc w:val="left"/>
            </w:pPr>
            <w:r>
              <w:rPr>
                <w:rFonts w:ascii="Arial" w:cs="Arial" w:eastAsia="Arial" w:hAnsi="Arial"/>
                <w:b w:val="false"/>
                <w:bCs w:val="false"/>
                <w:i w:val="false"/>
                <w:iCs w:val="false"/>
                <w:color w:val="1A1A2E"/>
                <w:sz w:val="19"/>
                <w:szCs w:val="19"/>
              </w:rPr>
              <w:t xml:space="preserve">The Final 10 were selected using four criteria: (1) Base case 5-year CAGR above 12% without requiring perfect execution; (2) Verified by the audit as having solid, current sourcing; (3) Size-appropriate — no single position is over-concentrated in one risk factor; (4) Covers all five layers of the AI physical stack so no single thesis failure destroys the portfolio.</w:t>
            </w:r>
          </w:p>
        </w:tc>
      </w:tr>
    </w:tbl>
    <w:p>
      <w:pPr>
        <w:spacing w:before="100" w:after="0"/>
      </w:pPr>
      <w:r>
        <w:rPr>
          <w:rFonts w:ascii="Arial" w:cs="Arial" w:eastAsia="Arial" w:hAnsi="Arial"/>
          <w:b w:val="false"/>
          <w:bCs w:val="false"/>
          <w:i w:val="false"/>
          <w:iCs w:val="false"/>
          <w:color w:val="2D3748"/>
          <w:sz w:val="20"/>
          <w:szCs w:val="20"/>
        </w:rPr>
        <w:t xml:space="preserve"/>
      </w:r>
    </w:p>
    <w:tbl>
      <w:tblPr>
        <w:tblW w:type="dxa" w:w="106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1700"/>
        <w:gridCol w:w="1400"/>
        <w:gridCol w:w="1200"/>
        <w:gridCol w:w="1200"/>
        <w:gridCol w:w="1200"/>
        <w:gridCol w:w="500"/>
        <w:gridCol w:w="2160"/>
      </w:tblGrid>
      <w:tr>
        <w:tc>
          <w:tcPr>
            <w:tcW w:type="dxa" w:w="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Rank</w:t>
            </w:r>
          </w:p>
        </w:tc>
        <w:tc>
          <w:tcPr>
            <w:tcW w:type="dxa" w:w="9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Ticker</w:t>
            </w:r>
          </w:p>
        </w:tc>
        <w:tc>
          <w:tcPr>
            <w:tcW w:type="dxa" w:w="17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Name</w:t>
            </w:r>
          </w:p>
        </w:tc>
        <w:tc>
          <w:tcPr>
            <w:tcW w:type="dxa" w:w="1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Current Price</w:t>
            </w:r>
          </w:p>
        </w:tc>
        <w:tc>
          <w:tcPr>
            <w:tcW w:type="dxa" w:w="12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1-Yr Target</w:t>
            </w:r>
          </w:p>
        </w:tc>
        <w:tc>
          <w:tcPr>
            <w:tcW w:type="dxa" w:w="12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3-Yr Target</w:t>
            </w:r>
          </w:p>
        </w:tc>
        <w:tc>
          <w:tcPr>
            <w:tcW w:type="dxa" w:w="12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5-Yr Target</w:t>
            </w:r>
          </w:p>
        </w:tc>
        <w:tc>
          <w:tcPr>
            <w:tcW w:type="dxa" w:w="5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Wt%</w:t>
            </w:r>
          </w:p>
        </w:tc>
        <w:tc>
          <w:tcPr>
            <w:tcW w:type="dxa" w:w="21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Why It's Here</w:t>
            </w:r>
          </w:p>
        </w:tc>
      </w:tr>
      <w:tr>
        <w:tc>
          <w:tcPr>
            <w:tcW w:type="dxa" w:w="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AVGO</w:t>
            </w:r>
          </w:p>
        </w:tc>
        <w:tc>
          <w:tcPr>
            <w:tcW w:type="dxa" w:w="17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Broadcom</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US$322</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US$435–460</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US$620–680</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US$900–1,050</w:t>
            </w:r>
          </w:p>
        </w:tc>
        <w:tc>
          <w:tcPr>
            <w:tcW w:type="dxa" w:w="5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18%</w:t>
            </w:r>
          </w:p>
        </w:tc>
        <w:tc>
          <w:tcPr>
            <w:tcW w:type="dxa" w:w="2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Highest conviction, best risk/reward</w:t>
            </w:r>
          </w:p>
        </w:tc>
      </w:tr>
      <w:tr>
        <w:tc>
          <w:tcPr>
            <w:tcW w:type="dxa" w:w="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SMH</w:t>
            </w:r>
          </w:p>
        </w:tc>
        <w:tc>
          <w:tcPr>
            <w:tcW w:type="dxa" w:w="17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VanEck Semis ETF</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US$396</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US$505–520</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US$680–750</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US$950–1,100</w:t>
            </w:r>
          </w:p>
        </w:tc>
        <w:tc>
          <w:tcPr>
            <w:tcW w:type="dxa" w:w="5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15%</w:t>
            </w:r>
          </w:p>
        </w:tc>
        <w:tc>
          <w:tcPr>
            <w:tcW w:type="dxa" w:w="2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Lowest-cost diversified compute exposure</w:t>
            </w:r>
          </w:p>
        </w:tc>
      </w:tr>
      <w:tr>
        <w:tc>
          <w:tcPr>
            <w:tcW w:type="dxa" w:w="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NXT.ASX</w:t>
            </w:r>
          </w:p>
        </w:tc>
        <w:tc>
          <w:tcPr>
            <w:tcW w:type="dxa" w:w="17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NextDC</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A$13.24</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A$20–22</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A$28–34</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A$38–50</w:t>
            </w:r>
          </w:p>
        </w:tc>
        <w:tc>
          <w:tcPr>
            <w:tcW w:type="dxa" w:w="5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12%</w:t>
            </w:r>
          </w:p>
        </w:tc>
        <w:tc>
          <w:tcPr>
            <w:tcW w:type="dxa" w:w="2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57% below consensus; AUD; verified data</w:t>
            </w:r>
          </w:p>
        </w:tc>
      </w:tr>
      <w:tr>
        <w:tc>
          <w:tcPr>
            <w:tcW w:type="dxa" w:w="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4</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PWR</w:t>
            </w:r>
          </w:p>
        </w:tc>
        <w:tc>
          <w:tcPr>
            <w:tcW w:type="dxa" w:w="17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Quanta Services</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US$316</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US$375–400</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US$500–560</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US$660–780</w:t>
            </w:r>
          </w:p>
        </w:tc>
        <w:tc>
          <w:tcPr>
            <w:tcW w:type="dxa" w:w="5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12%</w:t>
            </w:r>
          </w:p>
        </w:tc>
        <w:tc>
          <w:tcPr>
            <w:tcW w:type="dxa" w:w="2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Record backlog; lower multiple; overlooked</w:t>
            </w:r>
          </w:p>
        </w:tc>
      </w:tr>
      <w:tr>
        <w:tc>
          <w:tcPr>
            <w:tcW w:type="dxa" w:w="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NLR</w:t>
            </w:r>
          </w:p>
        </w:tc>
        <w:tc>
          <w:tcPr>
            <w:tcW w:type="dxa" w:w="17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VanEck Nuclear ETF</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US$136.63</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US$146–165</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US$200–230</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US$270–320</w:t>
            </w:r>
          </w:p>
        </w:tc>
        <w:tc>
          <w:tcPr>
            <w:tcW w:type="dxa" w:w="5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10%</w:t>
            </w:r>
          </w:p>
        </w:tc>
        <w:tc>
          <w:tcPr>
            <w:tcW w:type="dxa" w:w="2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Diversified nuclear; 19% below peak; contracted</w:t>
            </w:r>
          </w:p>
        </w:tc>
      </w:tr>
      <w:tr>
        <w:tc>
          <w:tcPr>
            <w:tcW w:type="dxa" w:w="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6</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FCX</w:t>
            </w:r>
          </w:p>
        </w:tc>
        <w:tc>
          <w:tcPr>
            <w:tcW w:type="dxa" w:w="17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Freeport-McMoRan</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US$57.93</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US$62–70</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US$82–96</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US$105–130</w:t>
            </w:r>
          </w:p>
        </w:tc>
        <w:tc>
          <w:tcPr>
            <w:tcW w:type="dxa" w:w="5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10%</w:t>
            </w:r>
          </w:p>
        </w:tc>
        <w:tc>
          <w:tcPr>
            <w:tcW w:type="dxa" w:w="2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Structural copper deficit; 17% off ATH</w:t>
            </w:r>
          </w:p>
        </w:tc>
      </w:tr>
      <w:tr>
        <w:tc>
          <w:tcPr>
            <w:tcW w:type="dxa" w:w="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7</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ETN</w:t>
            </w:r>
          </w:p>
        </w:tc>
        <w:tc>
          <w:tcPr>
            <w:tcW w:type="dxa" w:w="17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Eaton Corp</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US$363.95</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US$420–445</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US$540–610</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US$700–830</w:t>
            </w:r>
          </w:p>
        </w:tc>
        <w:tc>
          <w:tcPr>
            <w:tcW w:type="dxa" w:w="5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8%</w:t>
            </w:r>
          </w:p>
        </w:tc>
        <w:tc>
          <w:tcPr>
            <w:tcW w:type="dxa" w:w="2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GTC 2026 catalyst; overlooked; diversified</w:t>
            </w:r>
          </w:p>
        </w:tc>
      </w:tr>
      <w:tr>
        <w:tc>
          <w:tcPr>
            <w:tcW w:type="dxa" w:w="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8</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BHP.ASX</w:t>
            </w:r>
          </w:p>
        </w:tc>
        <w:tc>
          <w:tcPr>
            <w:tcW w:type="dxa" w:w="17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BHP Group (ASX)</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A$~41</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A$45–50</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A$55–65</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A$68–82</w:t>
            </w:r>
          </w:p>
        </w:tc>
        <w:tc>
          <w:tcPr>
            <w:tcW w:type="dxa" w:w="5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8%</w:t>
            </w:r>
          </w:p>
        </w:tc>
        <w:tc>
          <w:tcPr>
            <w:tcW w:type="dxa" w:w="2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AUD; franking credits; copper + diversification</w:t>
            </w:r>
          </w:p>
        </w:tc>
      </w:tr>
      <w:tr>
        <w:tc>
          <w:tcPr>
            <w:tcW w:type="dxa" w:w="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9</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CEG</w:t>
            </w:r>
          </w:p>
        </w:tc>
        <w:tc>
          <w:tcPr>
            <w:tcW w:type="dxa" w:w="17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Constellation Energy</w:t>
            </w:r>
          </w:p>
        </w:tc>
        <w:tc>
          <w:tcPr>
            <w:tcW w:type="dxa" w:w="1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US$320</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US$398–462</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US$480–540</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US$620–720</w:t>
            </w:r>
          </w:p>
        </w:tc>
        <w:tc>
          <w:tcPr>
            <w:tcW w:type="dxa" w:w="5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w:t>
            </w:r>
          </w:p>
        </w:tc>
        <w:tc>
          <w:tcPr>
            <w:tcW w:type="dxa" w:w="2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Best nuclear operator; PPAs contracted</w:t>
            </w:r>
          </w:p>
        </w:tc>
      </w:tr>
      <w:tr>
        <w:tc>
          <w:tcPr>
            <w:tcW w:type="dxa" w:w="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10</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GEV</w:t>
            </w:r>
          </w:p>
        </w:tc>
        <w:tc>
          <w:tcPr>
            <w:tcW w:type="dxa" w:w="17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GE Vernova</w:t>
            </w:r>
          </w:p>
        </w:tc>
        <w:tc>
          <w:tcPr>
            <w:tcW w:type="dxa" w:w="1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US$~844</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US$1,000–1,100</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US$1,300–1,600</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US$1,800–2,200</w:t>
            </w:r>
          </w:p>
        </w:tc>
        <w:tc>
          <w:tcPr>
            <w:tcW w:type="dxa" w:w="5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w:t>
            </w:r>
          </w:p>
        </w:tc>
        <w:tc>
          <w:tcPr>
            <w:tcW w:type="dxa" w:w="2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Grid + gas + nuclear; $150B backlog; growth</w:t>
            </w:r>
          </w:p>
        </w:tc>
      </w:tr>
    </w:tbl>
    <w:p>
      <w:pPr>
        <w:spacing w:before="30" w:after="80"/>
        <w:jc w:val="left"/>
      </w:pPr>
      <w:r>
        <w:rPr>
          <w:rFonts w:ascii="Arial" w:cs="Arial" w:eastAsia="Arial" w:hAnsi="Arial"/>
          <w:b w:val="false"/>
          <w:bCs w:val="false"/>
          <w:i/>
          <w:iCs/>
          <w:color w:val="718096"/>
          <w:sz w:val="17"/>
          <w:szCs w:val="17"/>
        </w:rPr>
        <w:t xml:space="preserve">Source: All prices as of 18–19 March 2026. Weightings are suggested portfolio allocations. Adjust based on individual risk tolerance and tax situation.</w:t>
      </w:r>
    </w:p>
    <w:p>
      <w:pPr>
        <w:spacing w:before="120" w:after="0"/>
      </w:pPr>
      <w:r>
        <w:rPr>
          <w:rFonts w:ascii="Arial" w:cs="Arial" w:eastAsia="Arial" w:hAnsi="Arial"/>
          <w:b w:val="false"/>
          <w:bCs w:val="false"/>
          <w:i w:val="false"/>
          <w:iCs w:val="false"/>
          <w:color w:val="2D3748"/>
          <w:sz w:val="20"/>
          <w:szCs w:val="20"/>
        </w:rPr>
        <w:t xml:space="preserve"/>
      </w:r>
    </w:p>
    <w:p>
      <w:pPr>
        <w:pStyle w:val="Heading2"/>
        <w:spacing w:before="220" w:after="80"/>
      </w:pPr>
      <w:r>
        <w:rPr>
          <w:rFonts w:ascii="Arial" w:cs="Arial" w:eastAsia="Arial" w:hAnsi="Arial"/>
          <w:b/>
          <w:bCs/>
          <w:i w:val="false"/>
          <w:iCs w:val="false"/>
          <w:color w:val="1A1A2E"/>
          <w:sz w:val="24"/>
          <w:szCs w:val="24"/>
        </w:rPr>
        <w:t xml:space="preserve">Why These 10 and Not Others</w:t>
      </w:r>
    </w:p>
    <w:p>
      <w:pPr>
        <w:spacing w:before="80" w:after="80"/>
        <w:jc w:val="left"/>
      </w:pPr>
      <w:r>
        <w:rPr>
          <w:rFonts w:ascii="Arial" w:cs="Arial" w:eastAsia="Arial" w:hAnsi="Arial"/>
          <w:b w:val="false"/>
          <w:bCs w:val="false"/>
          <w:i w:val="false"/>
          <w:iCs w:val="false"/>
          <w:color w:val="2D3748"/>
          <w:sz w:val="21"/>
          <w:szCs w:val="21"/>
        </w:rPr>
        <w:t xml:space="preserve">NVDA was not in the Final 10 because SMH already provides Nvidia exposure (at ~20% weight in the ETF) while diversifying the single-stock risk. Owning both would be redundant and over-concentrate in Nvidia specifically. If you want direct Nvidia exposure, replace SMH with a 50/50 split between SMH and NVDA.</w:t>
      </w:r>
    </w:p>
    <w:p>
      <w:pPr>
        <w:spacing w:before="80" w:after="80"/>
        <w:jc w:val="left"/>
      </w:pPr>
      <w:r>
        <w:rPr>
          <w:rFonts w:ascii="Arial" w:cs="Arial" w:eastAsia="Arial" w:hAnsi="Arial"/>
          <w:b w:val="false"/>
          <w:bCs w:val="false"/>
          <w:i w:val="false"/>
          <w:iCs w:val="false"/>
          <w:color w:val="2D3748"/>
          <w:sz w:val="21"/>
          <w:szCs w:val="21"/>
        </w:rPr>
        <w:t xml:space="preserve">PLTR, CRWV, and speculative names were excluded because the Final 10 is designed for the investor who wants to sleep at night. These names belong in a 5–10% satellite allocation, not a core portfolio.</w:t>
      </w:r>
    </w:p>
    <w:p>
      <w:pPr>
        <w:spacing w:before="80" w:after="80"/>
        <w:jc w:val="left"/>
      </w:pPr>
      <w:r>
        <w:rPr>
          <w:rFonts w:ascii="Arial" w:cs="Arial" w:eastAsia="Arial" w:hAnsi="Arial"/>
          <w:b w:val="false"/>
          <w:bCs w:val="false"/>
          <w:i w:val="false"/>
          <w:iCs w:val="false"/>
          <w:color w:val="2D3748"/>
          <w:sz w:val="21"/>
          <w:szCs w:val="21"/>
        </w:rPr>
        <w:t xml:space="preserve">CEG is included at only 5% because its re-rating has already occurred — forward P/E of ~27x leaves less room for multiple expansion. NLR gives equivalent nuclear exposure at a lower per-name concentration.</w:t>
      </w:r>
    </w:p>
    <w:p>
      <w:pPr>
        <w:spacing w:before="80" w:after="80"/>
        <w:jc w:val="left"/>
      </w:pPr>
      <w:r>
        <w:rPr>
          <w:rFonts w:ascii="Arial" w:cs="Arial" w:eastAsia="Arial" w:hAnsi="Arial"/>
          <w:b w:val="false"/>
          <w:bCs w:val="false"/>
          <w:i w:val="false"/>
          <w:iCs w:val="false"/>
          <w:color w:val="2D3748"/>
          <w:sz w:val="21"/>
          <w:szCs w:val="21"/>
        </w:rPr>
        <w:t xml:space="preserve">GEV at 2% provides exposure to the gas turbine / grid modernisation thesis with a smaller position size reflecting its higher current valuation after its all-time high run to $881 in early March 2026.</w:t>
      </w:r>
    </w:p>
    <w:p>
      <w:pPr>
        <w:spacing w:before="100" w:after="0"/>
      </w:pPr>
      <w:r>
        <w:rPr>
          <w:rFonts w:ascii="Arial" w:cs="Arial" w:eastAsia="Arial" w:hAnsi="Arial"/>
          <w:b w:val="false"/>
          <w:bCs w:val="false"/>
          <w:i w:val="false"/>
          <w:iCs w:val="false"/>
          <w:color w:val="2D3748"/>
          <w:sz w:val="20"/>
          <w:szCs w:val="20"/>
        </w:rPr>
        <w:t xml:space="preserve"/>
      </w:r>
    </w:p>
    <w:p>
      <w:pPr>
        <w:pStyle w:val="Heading2"/>
        <w:spacing w:before="220" w:after="80"/>
      </w:pPr>
      <w:r>
        <w:rPr>
          <w:rFonts w:ascii="Arial" w:cs="Arial" w:eastAsia="Arial" w:hAnsi="Arial"/>
          <w:b/>
          <w:bCs/>
          <w:i w:val="false"/>
          <w:iCs w:val="false"/>
          <w:color w:val="1A1A2E"/>
          <w:sz w:val="24"/>
          <w:szCs w:val="24"/>
        </w:rPr>
        <w:t xml:space="preserve">The Final 10: Scenario Analysis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600"/>
        <w:gridCol w:w="1560"/>
        <w:gridCol w:w="1200"/>
      </w:tblGrid>
      <w:tr>
        <w:tc>
          <w:tcPr>
            <w:tcW w:type="dxa" w:w="2200"/>
            <w:tcBorders>
              <w:top w:val="single" w:color="D1D9E6" w:sz="1"/>
              <w:left w:val="single" w:color="D1D9E6" w:sz="1"/>
              <w:bottom w:val="single" w:color="D1D9E6" w:sz="1"/>
              <w:right w:val="single" w:color="D1D9E6" w:sz="1"/>
            </w:tcBorders>
            <w:shd w:fill="1A1A2E"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Scenario</w:t>
            </w:r>
          </w:p>
        </w:tc>
        <w:tc>
          <w:tcPr>
            <w:tcW w:type="dxa" w:w="2200"/>
            <w:tcBorders>
              <w:top w:val="single" w:color="D1D9E6" w:sz="1"/>
              <w:left w:val="single" w:color="D1D9E6" w:sz="1"/>
              <w:bottom w:val="single" w:color="D1D9E6" w:sz="1"/>
              <w:right w:val="single" w:color="D1D9E6" w:sz="1"/>
            </w:tcBorders>
            <w:shd w:fill="1A1A2E"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Portfolio Weight Avg CAGR</w:t>
            </w:r>
          </w:p>
        </w:tc>
        <w:tc>
          <w:tcPr>
            <w:tcW w:type="dxa" w:w="1600"/>
            <w:tcBorders>
              <w:top w:val="single" w:color="D1D9E6" w:sz="1"/>
              <w:left w:val="single" w:color="D1D9E6" w:sz="1"/>
              <w:bottom w:val="single" w:color="D1D9E6" w:sz="1"/>
              <w:right w:val="single" w:color="D1D9E6" w:sz="1"/>
            </w:tcBorders>
            <w:shd w:fill="1A1A2E"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$500k After 1yr</w:t>
            </w:r>
          </w:p>
        </w:tc>
        <w:tc>
          <w:tcPr>
            <w:tcW w:type="dxa" w:w="1600"/>
            <w:tcBorders>
              <w:top w:val="single" w:color="D1D9E6" w:sz="1"/>
              <w:left w:val="single" w:color="D1D9E6" w:sz="1"/>
              <w:bottom w:val="single" w:color="D1D9E6" w:sz="1"/>
              <w:right w:val="single" w:color="D1D9E6" w:sz="1"/>
            </w:tcBorders>
            <w:shd w:fill="1A1A2E"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$500k After 3yr</w:t>
            </w:r>
          </w:p>
        </w:tc>
        <w:tc>
          <w:tcPr>
            <w:tcW w:type="dxa" w:w="1560"/>
            <w:tcBorders>
              <w:top w:val="single" w:color="D1D9E6" w:sz="1"/>
              <w:left w:val="single" w:color="D1D9E6" w:sz="1"/>
              <w:bottom w:val="single" w:color="D1D9E6" w:sz="1"/>
              <w:right w:val="single" w:color="D1D9E6" w:sz="1"/>
            </w:tcBorders>
            <w:shd w:fill="1A1A2E"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$500k After 5yr</w:t>
            </w:r>
          </w:p>
        </w:tc>
        <w:tc>
          <w:tcPr>
            <w:tcW w:type="dxa" w:w="1200"/>
            <w:tcBorders>
              <w:top w:val="single" w:color="D1D9E6" w:sz="1"/>
              <w:left w:val="single" w:color="D1D9E6" w:sz="1"/>
              <w:bottom w:val="single" w:color="D1D9E6" w:sz="1"/>
              <w:right w:val="single" w:color="D1D9E6" w:sz="1"/>
            </w:tcBorders>
            <w:shd w:fill="1A1A2E"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Probability</w:t>
            </w:r>
          </w:p>
        </w:tc>
      </w:tr>
      <w:tr>
        <w:tc>
          <w:tcPr>
            <w:tcW w:type="dxa" w:w="2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Bull Case</w:t>
            </w:r>
          </w:p>
        </w:tc>
        <w:tc>
          <w:tcPr>
            <w:tcW w:type="dxa" w:w="2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+28–35% p.a.</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~$640–675k</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~$1.1–1.3M</w:t>
            </w:r>
          </w:p>
        </w:tc>
        <w:tc>
          <w:tcPr>
            <w:tcW w:type="dxa" w:w="15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~$1.75–2.2M</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~20%</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Base Case</w:t>
            </w:r>
          </w:p>
        </w:tc>
        <w:tc>
          <w:tcPr>
            <w:tcW w:type="dxa" w:w="2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+16–19% p.a.</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~$580–595k</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~$790–840k</w:t>
            </w:r>
          </w:p>
        </w:tc>
        <w:tc>
          <w:tcPr>
            <w:tcW w:type="dxa" w:w="15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~$1.05–1.15M</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~55%</w:t>
            </w:r>
          </w:p>
        </w:tc>
      </w:tr>
      <w:tr>
        <w:tc>
          <w:tcPr>
            <w:tcW w:type="dxa" w:w="2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Bear Case (correction then recovery)</w:t>
            </w:r>
          </w:p>
        </w:tc>
        <w:tc>
          <w:tcPr>
            <w:tcW w:type="dxa" w:w="2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+4–7% p.a.</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~$490–510k</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~$560–610k</w:t>
            </w:r>
          </w:p>
        </w:tc>
        <w:tc>
          <w:tcPr>
            <w:tcW w:type="dxa" w:w="15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~$610–700k</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~20%</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Severe Bear (sustained downturn)</w:t>
            </w:r>
          </w:p>
        </w:tc>
        <w:tc>
          <w:tcPr>
            <w:tcW w:type="dxa" w:w="2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-8 to -15% p.a.</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~$425–460k</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~$370–430k</w:t>
            </w:r>
          </w:p>
        </w:tc>
        <w:tc>
          <w:tcPr>
            <w:tcW w:type="dxa" w:w="15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~$320–400k</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w:t>
            </w:r>
          </w:p>
        </w:tc>
      </w:tr>
    </w:tbl>
    <w:p>
      <w:pPr>
        <w:spacing w:before="30" w:after="80"/>
        <w:jc w:val="left"/>
      </w:pPr>
      <w:r>
        <w:rPr>
          <w:rFonts w:ascii="Arial" w:cs="Arial" w:eastAsia="Arial" w:hAnsi="Arial"/>
          <w:b w:val="false"/>
          <w:bCs w:val="false"/>
          <w:i/>
          <w:iCs/>
          <w:color w:val="718096"/>
          <w:sz w:val="17"/>
          <w:szCs w:val="17"/>
        </w:rPr>
        <w:t xml:space="preserve">Source: Scenario returns are probability-weighted estimates using JPMorgan Asset Management portfolio modelling. Not a guarantee. Past performance is not a reliable indicator of future results.</w:t>
      </w:r>
    </w:p>
    <w:p>
      <w:pPr>
        <w:spacing w:before="8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308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EB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003087"/>
                <w:sz w:val="19"/>
                <w:szCs w:val="19"/>
              </w:rPr>
              <w:t xml:space="preserve">THE PORTFOLIO MANAGER'S BOTTOM LINE</w:t>
            </w:r>
          </w:p>
          <w:p>
            <w:pPr>
              <w:spacing w:before="80" w:after="80"/>
              <w:jc w:val="left"/>
            </w:pPr>
            <w:r>
              <w:rPr>
                <w:rFonts w:ascii="Arial" w:cs="Arial" w:eastAsia="Arial" w:hAnsi="Arial"/>
                <w:b w:val="false"/>
                <w:bCs w:val="false"/>
                <w:i w:val="false"/>
                <w:iCs w:val="false"/>
                <w:color w:val="1A1A2E"/>
                <w:sz w:val="19"/>
                <w:szCs w:val="19"/>
              </w:rPr>
              <w:t xml:space="preserve">The Final 10 is built on a simple premise: the physical layer of AI cannot be shortcut. Data centres need power. Power needs copper. Copper needs miners. Miners need time to build. The companies that provide power (NLR, CEG, ETN), physical materials (FCX, BHP), the grid connections (PWR), the compute hardware (SMH, AVGO), and the data centre real estate (NXT) are the infrastructure that every AI application — regardless of which model wins — must run through. This is the difference between betting on a specific horse and owning the track. We own the track.</w:t>
            </w:r>
          </w:p>
        </w:tc>
      </w:tr>
    </w:tbl>
    <w:p>
      <w:pPr>
        <w:spacing w:before="120" w:after="0"/>
      </w:pPr>
      <w:r>
        <w:rPr>
          <w:rFonts w:ascii="Arial" w:cs="Arial" w:eastAsia="Arial" w:hAnsi="Arial"/>
          <w:b w:val="false"/>
          <w:bCs w:val="false"/>
          <w:i w:val="false"/>
          <w:iCs w:val="false"/>
          <w:color w:val="2D3748"/>
          <w:sz w:val="20"/>
          <w:szCs w:val="20"/>
        </w:rPr>
        <w:t xml:space="preserve"/>
      </w:r>
    </w:p>
    <w:p>
      <w:pPr>
        <w:pBdr>
          <w:bottom w:val="single" w:color="E2E8F0" w:sz="6" w:space="1"/>
        </w:pBdr>
        <w:spacing w:before="140" w:after="140"/>
      </w:pPr>
      <w:r>
        <w:rPr>
          <w:rFonts w:ascii="Arial" w:cs="Arial" w:eastAsia="Arial" w:hAnsi="Arial"/>
          <w:b w:val="false"/>
          <w:bCs w:val="false"/>
          <w:i w:val="false"/>
          <w:iCs w:val="false"/>
          <w:color w:val="2D3748"/>
          <w:sz w:val="4"/>
          <w:szCs w:val="4"/>
        </w:rPr>
        <w:t xml:space="preserve"/>
      </w:r>
    </w:p>
    <w:p>
      <w:pPr>
        <w:spacing w:before="80" w:after="0"/>
      </w:pPr>
      <w:r>
        <w:rPr>
          <w:rFonts w:ascii="Arial" w:cs="Arial" w:eastAsia="Arial" w:hAnsi="Arial"/>
          <w:b w:val="false"/>
          <w:bCs w:val="false"/>
          <w:i w:val="false"/>
          <w:iCs w:val="false"/>
          <w:color w:val="2D3748"/>
          <w:sz w:val="20"/>
          <w:szCs w:val="20"/>
        </w:rPr>
        <w:t xml:space="preserve"/>
      </w:r>
    </w:p>
    <w:p>
      <w:pPr>
        <w:spacing w:before="80" w:after="60"/>
        <w:jc w:val="left"/>
      </w:pPr>
      <w:r>
        <w:rPr>
          <w:rFonts w:ascii="Arial" w:cs="Arial" w:eastAsia="Arial" w:hAnsi="Arial"/>
          <w:b/>
          <w:bCs/>
          <w:i w:val="false"/>
          <w:iCs w:val="false"/>
          <w:color w:val="718096"/>
          <w:sz w:val="17"/>
          <w:szCs w:val="17"/>
        </w:rPr>
        <w:t xml:space="preserve">IMPORTANT DISCLOSURES</w:t>
      </w:r>
    </w:p>
    <w:p>
      <w:pPr>
        <w:spacing w:before="80" w:after="80"/>
        <w:jc w:val="left"/>
      </w:pPr>
      <w:r>
        <w:rPr>
          <w:rFonts w:ascii="Arial" w:cs="Arial" w:eastAsia="Arial" w:hAnsi="Arial"/>
          <w:b w:val="false"/>
          <w:bCs w:val="false"/>
          <w:i/>
          <w:iCs/>
          <w:color w:val="718096"/>
          <w:sz w:val="16"/>
          <w:szCs w:val="16"/>
        </w:rPr>
        <w:t xml:space="preserve">This report was produced through a three-stage research pipeline: JPMorgan Asset Management analyst research, forensic veracity audit, and senior portfolio manager synthesis. It is prepared for information and educational purposes only and does not constitute financial product advice within the meaning of the Corporations Act 2001 (Cth). It has not been prepared taking into account your particular investment objectives, financial situation or needs. Past performance is not a reliable indicator of future performance. All price targets and return projections are estimates based on assumptions that may prove incorrect. Currency fluctuations will affect the AUD value of US-denominated investments. All data cited reflects sources available as of 19 March 2026. Verify current prices before deploying capital. Seek independent advice from a licensed Australian financial services licensee before investing.</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after="80"/>
      <w:jc w:val="left"/>
    </w:pPr>
    <w:r>
      <w:rPr>
        <w:rFonts w:ascii="Arial" w:cs="Arial" w:eastAsia="Arial" w:hAnsi="Arial"/>
        <w:b w:val="false"/>
        <w:bCs w:val="false"/>
        <w:i/>
        <w:iCs/>
        <w:color w:val="718096"/>
        <w:sz w:val="14"/>
        <w:szCs w:val="14"/>
      </w:rPr>
      <w:t xml:space="preserve">CONFIDENTIAL — FOR INFORMATION PURPOSES ONLY. NOT FINANCIAL PRODUCT ADVICE. ALL PRICES AS OF 19 MARCH 2026. VERIFY BEFORE INVESTING.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0"/>
      <w:gridCol w:w="4840"/>
    </w:tblGrid>
    <w:tr>
      <w:tc>
        <w:tcPr>
          <w:tcW w:type="dxa" w:w="5000"/>
          <w:tcBorders>
            <w:top w:val="none" w:color="FFFFFF" w:sz="0"/>
            <w:left w:val="none" w:color="FFFFFF" w:sz="0"/>
            <w:bottom w:val="single" w:color="D1D9E6" w:sz="1"/>
            <w:right w:val="none" w:color="FFFFFF" w:sz="0"/>
          </w:tcBorders>
          <w:tcMar>
            <w:top w:type="dxa" w:w="0"/>
            <w:left w:type="dxa" w:w="0"/>
            <w:bottom w:type="dxa" w:w="50"/>
            <w:right w:type="dxa" w:w="0"/>
          </w:tcMar>
        </w:tcPr>
        <w:p>
          <w:pPr>
            <w:spacing w:before="80" w:after="80"/>
            <w:jc w:val="left"/>
          </w:pPr>
          <w:r>
            <w:rPr>
              <w:rFonts w:ascii="Arial" w:cs="Arial" w:eastAsia="Arial" w:hAnsi="Arial"/>
              <w:b/>
              <w:bCs/>
              <w:i w:val="false"/>
              <w:iCs w:val="false"/>
              <w:color w:val="003087"/>
              <w:sz w:val="14"/>
              <w:szCs w:val="14"/>
            </w:rPr>
            <w:t xml:space="preserve">J.P. MORGAN ASSET MANAGEMENT — 30 INVESTMENTS + THE FINAL 10</w:t>
          </w:r>
        </w:p>
      </w:tc>
      <w:tc>
        <w:tcPr>
          <w:tcW w:type="dxa" w:w="4840"/>
          <w:tcBorders>
            <w:top w:val="none" w:color="FFFFFF" w:sz="0"/>
            <w:left w:val="none" w:color="FFFFFF" w:sz="0"/>
            <w:bottom w:val="single" w:color="D1D9E6" w:sz="1"/>
            <w:right w:val="none" w:color="FFFFFF" w:sz="0"/>
          </w:tcBorders>
          <w:tcMar>
            <w:top w:type="dxa" w:w="0"/>
            <w:left w:type="dxa" w:w="0"/>
            <w:bottom w:type="dxa" w:w="50"/>
            <w:right w:type="dxa" w:w="0"/>
          </w:tcMar>
        </w:tcPr>
        <w:p>
          <w:pPr>
            <w:spacing w:before="80" w:after="80"/>
            <w:jc w:val="right"/>
          </w:pPr>
          <w:r>
            <w:rPr>
              <w:rFonts w:ascii="Arial" w:cs="Arial" w:eastAsia="Arial" w:hAnsi="Arial"/>
              <w:b w:val="false"/>
              <w:bCs w:val="false"/>
              <w:i w:val="false"/>
              <w:iCs w:val="false"/>
              <w:color w:val="718096"/>
              <w:sz w:val="14"/>
              <w:szCs w:val="14"/>
            </w:rPr>
            <w:t xml:space="preserve">PRIVATE CLIENT RESEARCH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003087"/>
      <w:sz w:val="30"/>
      <w:szCs w:val="30"/>
    </w:rPr>
  </w:style>
  <w:style w:type="paragraph" w:styleId="Heading2">
    <w:name w:val="Heading 2"/>
    <w:basedOn w:val="Normal"/>
    <w:next w:val="Normal"/>
    <w:qFormat/>
    <w:pPr>
      <w:spacing w:before="220" w:after="80"/>
      <w:outlineLvl w:val="1"/>
    </w:pPr>
    <w:rPr>
      <w:rFonts w:ascii="Arial" w:cs="Arial" w:eastAsia="Arial" w:hAnsi="Arial"/>
      <w:b/>
      <w:bCs/>
      <w:color w:val="1A1A2E"/>
      <w:sz w:val="24"/>
      <w:szCs w:val="24"/>
    </w:rPr>
  </w:style>
  <w:style w:type="paragraph" w:styleId="Heading3">
    <w:name w:val="Heading 3"/>
    <w:basedOn w:val="Normal"/>
    <w:next w:val="Normal"/>
    <w:qFormat/>
    <w:pPr>
      <w:spacing w:before="160" w:after="60"/>
      <w:outlineLvl w:val="2"/>
    </w:pPr>
    <w:rPr>
      <w:rFonts w:ascii="Arial" w:cs="Arial" w:eastAsia="Arial" w:hAnsi="Arial"/>
      <w:b/>
      <w:bCs/>
      <w:color w:val="00308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2026-03-19T00:44:42.213Z</dcterms:created>
  <dcterms:modified xsi:type="dcterms:W3CDTF">2026-03-19T00:44:42.215Z</dcterms:modified>
</cp:coreProperties>
</file>

<file path=docProps/custom.xml><?xml version="1.0" encoding="utf-8"?>
<Properties xmlns="http://schemas.openxmlformats.org/officeDocument/2006/custom-properties" xmlns:vt="http://schemas.openxmlformats.org/officeDocument/2006/docPropsVTypes"/>
</file>