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rPr>
          <w:rFonts w:ascii="Arial" w:cs="Arial" w:eastAsia="Arial" w:hAnsi="Arial"/>
          <w:b w:val="false"/>
          <w:bCs w:val="false"/>
          <w:i w:val="false"/>
          <w:iCs w:val="false"/>
          <w:color w:val="2D3748"/>
          <w:sz w:val="20"/>
          <w:szCs w:val="20"/>
        </w:rPr>
        <w:t xml:space="preserve"/>
      </w:r>
    </w:p>
    <w:p>
      <w:pPr>
        <w:spacing w:before="70" w:after="40"/>
        <w:jc w:val="left"/>
      </w:pPr>
      <w:r>
        <w:rPr>
          <w:rFonts w:ascii="Arial" w:cs="Arial" w:eastAsia="Arial" w:hAnsi="Arial"/>
          <w:b/>
          <w:bCs/>
          <w:i w:val="false"/>
          <w:iCs w:val="false"/>
          <w:color w:val="64748B"/>
          <w:sz w:val="17"/>
          <w:szCs w:val="17"/>
        </w:rPr>
        <w:t xml:space="preserve">PRIVATE CLIENT RESEARCH NOTE — VERSION 5.0</w:t>
      </w:r>
    </w:p>
    <w:p>
      <w:pPr>
        <w:spacing w:before="70" w:after="140"/>
        <w:jc w:val="left"/>
      </w:pPr>
      <w:r>
        <w:rPr>
          <w:rFonts w:ascii="Arial" w:cs="Arial" w:eastAsia="Arial" w:hAnsi="Arial"/>
          <w:b w:val="false"/>
          <w:bCs w:val="false"/>
          <w:i w:val="false"/>
          <w:iCs w:val="false"/>
          <w:color w:val="64748B"/>
          <w:sz w:val="14"/>
          <w:szCs w:val="14"/>
        </w:rPr>
        <w:t xml:space="preserve">8-STAGE PIPELINE  ·  19 MARCH 2026  ·  NOT FOR REDISTRIBUTION</w:t>
      </w:r>
    </w:p>
    <w:p>
      <w:pPr>
        <w:pBdr>
          <w:bottom w:val="single" w:color="1A2E4A" w:sz="16" w:space="10"/>
        </w:pBdr>
        <w:spacing w:before="0" w:after="40"/>
      </w:pPr>
      <w:r>
        <w:rPr>
          <w:rFonts w:ascii="Arial" w:cs="Arial" w:eastAsia="Arial" w:hAnsi="Arial"/>
          <w:b/>
          <w:bCs/>
          <w:i w:val="false"/>
          <w:iCs w:val="false"/>
          <w:color w:val="1A2E4A"/>
          <w:sz w:val="40"/>
          <w:szCs w:val="40"/>
        </w:rPr>
        <w:t xml:space="preserve">AI INFRASTRUCTURE: 15-STOCK RESEARCH FRAMEWORK</w:t>
      </w:r>
    </w:p>
    <w:p>
      <w:pPr>
        <w:spacing w:before="60" w:after="0"/>
      </w:pPr>
      <w:r>
        <w:rPr>
          <w:rFonts w:ascii="Arial" w:cs="Arial" w:eastAsia="Arial" w:hAnsi="Arial"/>
          <w:b w:val="false"/>
          <w:bCs w:val="false"/>
          <w:i w:val="false"/>
          <w:iCs w:val="false"/>
          <w:color w:val="2D3748"/>
          <w:sz w:val="20"/>
          <w:szCs w:val="20"/>
        </w:rPr>
        <w:t xml:space="preserve"/>
      </w:r>
    </w:p>
    <w:p>
      <w:pPr>
        <w:spacing w:before="70" w:after="80"/>
        <w:jc w:val="left"/>
      </w:pPr>
      <w:r>
        <w:rPr>
          <w:rFonts w:ascii="Arial" w:cs="Arial" w:eastAsia="Arial" w:hAnsi="Arial"/>
          <w:b/>
          <w:bCs/>
          <w:i w:val="false"/>
          <w:iCs w:val="false"/>
          <w:color w:val="2D3748"/>
          <w:sz w:val="22"/>
          <w:szCs w:val="22"/>
        </w:rPr>
        <w:t xml:space="preserve">First research document built on the full 8-role pipeline</w:t>
      </w:r>
    </w:p>
    <w:p>
      <w:pPr>
        <w:spacing w:before="60" w:after="60"/>
        <w:jc w:val="left"/>
      </w:pPr>
      <w:r>
        <w:rPr>
          <w:rFonts w:ascii="Arial" w:cs="Arial" w:eastAsia="Arial" w:hAnsi="Arial"/>
          <w:b w:val="false"/>
          <w:bCs w:val="false"/>
          <w:i w:val="false"/>
          <w:iCs w:val="false"/>
          <w:color w:val="2D3748"/>
          <w:sz w:val="19"/>
          <w:szCs w:val="19"/>
        </w:rPr>
        <w:t xml:space="preserve">This version introduces a genuine team structure: three sector analysts covering distinct layers of the AI stack, a dedicated valuation analyst who is the only person setting price targets, a red team analyst whose sole job is adversarial challenge, an evidence librarian who builds the claim ledger before any narrative is written, an associate reviewer who enforces the publication gate, and a portfolio manager who constructs the final allocation under hard constraints. No single role tries to do more than one job.</w:t>
      </w:r>
    </w:p>
    <w:p>
      <w:pPr>
        <w:spacing w:before="8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3660"/>
      </w:tblGrid>
      <w:tr>
        <w:tc>
          <w:tcPr>
            <w:tcW w:type="dxa" w:w="1800"/>
            <w:tcBorders>
              <w:top w:val="single" w:color="CBD5E1" w:sz="1"/>
              <w:left w:val="single" w:color="CBD5E1" w:sz="1"/>
              <w:bottom w:val="single" w:color="CBD5E1" w:sz="1"/>
              <w:right w:val="single" w:color="CBD5E1" w:sz="1"/>
            </w:tcBorders>
            <w:shd w:fill="1A2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Pipeline stage</w:t>
            </w:r>
          </w:p>
        </w:tc>
        <w:tc>
          <w:tcPr>
            <w:tcW w:type="dxa" w:w="1800"/>
            <w:tcBorders>
              <w:top w:val="single" w:color="CBD5E1" w:sz="1"/>
              <w:left w:val="single" w:color="CBD5E1" w:sz="1"/>
              <w:bottom w:val="single" w:color="CBD5E1" w:sz="1"/>
              <w:right w:val="single" w:color="CBD5E1" w:sz="1"/>
            </w:tcBorders>
            <w:shd w:fill="1A2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Role</w:t>
            </w:r>
          </w:p>
        </w:tc>
        <w:tc>
          <w:tcPr>
            <w:tcW w:type="dxa" w:w="2100"/>
            <w:tcBorders>
              <w:top w:val="single" w:color="CBD5E1" w:sz="1"/>
              <w:left w:val="single" w:color="CBD5E1" w:sz="1"/>
              <w:bottom w:val="single" w:color="CBD5E1" w:sz="1"/>
              <w:right w:val="single" w:color="CBD5E1" w:sz="1"/>
            </w:tcBorders>
            <w:shd w:fill="1A2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Skill</w:t>
            </w:r>
          </w:p>
        </w:tc>
        <w:tc>
          <w:tcPr>
            <w:tcW w:type="dxa" w:w="3660"/>
            <w:tcBorders>
              <w:top w:val="single" w:color="CBD5E1" w:sz="1"/>
              <w:left w:val="single" w:color="CBD5E1" w:sz="1"/>
              <w:bottom w:val="single" w:color="CBD5E1" w:sz="1"/>
              <w:right w:val="single" w:color="CBD5E1" w:sz="1"/>
            </w:tcBorders>
            <w:shd w:fill="1A2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Gate condition</w:t>
            </w:r>
          </w:p>
        </w:tc>
      </w:tr>
      <w:tr>
        <w:tc>
          <w:tcPr>
            <w:tcW w:type="dxa" w:w="1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 — Claim Scoping</w:t>
            </w:r>
          </w:p>
        </w:tc>
        <w:tc>
          <w:tcPr>
            <w:tcW w:type="dxa" w:w="1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Evidence Librarian</w:t>
            </w:r>
          </w:p>
        </w:tc>
        <w:tc>
          <w:tcPr>
            <w:tcW w:type="dxa" w:w="21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evidence-librarian</w:t>
            </w:r>
          </w:p>
        </w:tc>
        <w:tc>
          <w:tcPr>
            <w:tcW w:type="dxa" w:w="36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0 FAIL claims to proceed</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 — Sector Analysis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 Analysts in parallel</w:t>
            </w:r>
          </w:p>
        </w:tc>
        <w:tc>
          <w:tcPr>
            <w:tcW w:type="dxa" w:w="21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sector-analyst-[compute|power|infra]</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All four-box outputs submitted</w:t>
            </w:r>
          </w:p>
        </w:tc>
      </w:tr>
      <w:tr>
        <w:tc>
          <w:tcPr>
            <w:tcW w:type="dxa" w:w="1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 — Valuation</w:t>
            </w:r>
          </w:p>
        </w:tc>
        <w:tc>
          <w:tcPr>
            <w:tcW w:type="dxa" w:w="1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Valuation Analyst</w:t>
            </w:r>
          </w:p>
        </w:tc>
        <w:tc>
          <w:tcPr>
            <w:tcW w:type="dxa" w:w="21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valuation-analyst</w:t>
            </w:r>
          </w:p>
        </w:tc>
        <w:tc>
          <w:tcPr>
            <w:tcW w:type="dxa" w:w="36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All stocks have driver decomposition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 — Red Team</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Red Team Analyst</w:t>
            </w:r>
          </w:p>
        </w:tc>
        <w:tc>
          <w:tcPr>
            <w:tcW w:type="dxa" w:w="21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red-team-analyst</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All integrity scores complete</w:t>
            </w:r>
          </w:p>
        </w:tc>
      </w:tr>
      <w:tr>
        <w:tc>
          <w:tcPr>
            <w:tcW w:type="dxa" w:w="1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 — Gate &amp; Integration</w:t>
            </w:r>
          </w:p>
        </w:tc>
        <w:tc>
          <w:tcPr>
            <w:tcW w:type="dxa" w:w="1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Associate Reviewer</w:t>
            </w:r>
          </w:p>
        </w:tc>
        <w:tc>
          <w:tcPr>
            <w:tcW w:type="dxa" w:w="21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associate-reviewer</w:t>
            </w:r>
          </w:p>
        </w:tc>
        <w:tc>
          <w:tcPr>
            <w:tcW w:type="dxa" w:w="36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Publication gate PASSED</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6 — Final Document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Portfolio Manager</w:t>
            </w:r>
          </w:p>
        </w:tc>
        <w:tc>
          <w:tcPr>
            <w:tcW w:type="dxa" w:w="21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portfolio-manager</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Plain language + [HOUSE VIEW] labels</w:t>
            </w:r>
          </w:p>
        </w:tc>
      </w:tr>
    </w:tbl>
    <w:p>
      <w:pPr>
        <w:spacing w:before="120" w:after="0"/>
      </w:pPr>
      <w:r>
        <w:rPr>
          <w:rFonts w:ascii="Arial" w:cs="Arial" w:eastAsia="Arial" w:hAnsi="Arial"/>
          <w:b w:val="false"/>
          <w:bCs w:val="false"/>
          <w:i w:val="false"/>
          <w:iCs w:val="false"/>
          <w:color w:val="2D3748"/>
          <w:sz w:val="20"/>
          <w:szCs w:val="20"/>
        </w:rPr>
        <w:t xml:space="preserve"/>
      </w:r>
    </w:p>
    <w:p>
      <w:pPr>
        <w:spacing w:before="60" w:after="60"/>
        <w:jc w:val="left"/>
      </w:pPr>
      <w:r>
        <w:rPr>
          <w:rFonts w:ascii="Arial" w:cs="Arial" w:eastAsia="Arial" w:hAnsi="Arial"/>
          <w:b w:val="false"/>
          <w:bCs w:val="false"/>
          <w:i w:val="false"/>
          <w:iCs w:val="false"/>
          <w:color w:val="2D3748"/>
          <w:sz w:val="19"/>
          <w:szCs w:val="19"/>
        </w:rPr>
        <w:t xml:space="preserve">Data limitation disclosure: This research uses exclusively public-source data. Without Bloomberg, FactSet, LSEG, or Visible Alpha access, this document cannot provide consensus estimate revision history, broker-by-broker coverage, or terminal-grade historical multiple analysis. Independent review estimates this pipeline's ceiling at approximately 8.4–8.8/10 on a 10-point quality scale. True terminal-grade research (9.1–9.3/10) is not achievable without licensed data. This ceiling is disclosed rather than obscured.</w:t>
      </w:r>
    </w:p>
    <w:p>
      <w:pPr>
        <w:spacing w:before="60" w:after="0"/>
      </w:pPr>
      <w:r>
        <w:rPr>
          <w:rFonts w:ascii="Arial" w:cs="Arial" w:eastAsia="Arial" w:hAnsi="Arial"/>
          <w:b w:val="false"/>
          <w:bCs w:val="false"/>
          <w:i w:val="false"/>
          <w:iCs w:val="false"/>
          <w:color w:val="2D3748"/>
          <w:sz w:val="20"/>
          <w:szCs w:val="20"/>
        </w:rPr>
        <w:t xml:space="preserve"/>
      </w:r>
    </w:p>
    <w:p>
      <w:pPr>
        <w:spacing w:before="30" w:after="30"/>
        <w:jc w:val="left"/>
      </w:pPr>
      <w:r>
        <w:rPr>
          <w:rFonts w:ascii="Arial" w:cs="Arial" w:eastAsia="Arial" w:hAnsi="Arial"/>
          <w:b w:val="false"/>
          <w:bCs w:val="false"/>
          <w:i/>
          <w:iCs/>
          <w:color w:val="64748B"/>
          <w:sz w:val="17"/>
          <w:szCs w:val="17"/>
        </w:rPr>
        <w:t xml:space="preserve">Not financial product advice. Not produced by or affiliated with any regulated financial institution. For educational and informational purposes. Past performance is not a reliable indicator of future performance. Verify all prices before acting.</w:t>
      </w:r>
    </w:p>
    <w:p>
      <w:pPr>
        <w:spacing w:before="60" w:after="0"/>
      </w:pPr>
      <w:r>
        <w:rPr>
          <w:rFonts w:ascii="Arial" w:cs="Arial" w:eastAsia="Arial" w:hAnsi="Arial"/>
          <w:b w:val="false"/>
          <w:bCs w:val="false"/>
          <w:i w:val="false"/>
          <w:iCs w:val="false"/>
          <w:color w:val="2D3748"/>
          <w:sz w:val="20"/>
          <w:szCs w:val="20"/>
        </w:rPr>
        <w:t xml:space="preserve"/>
      </w:r>
      <w:r>
        <w:br w:type="page"/>
      </w:r>
    </w:p>
    <w:p>
      <w:pPr>
        <w:spacing w:before="100" w:after="0"/>
      </w:pPr>
      <w:r>
        <w:rPr>
          <w:rFonts w:ascii="Arial" w:cs="Arial" w:eastAsia="Arial" w:hAnsi="Arial"/>
          <w:b w:val="false"/>
          <w:bCs w:val="false"/>
          <w:i w:val="false"/>
          <w:iCs w:val="false"/>
          <w:color w:val="2D3748"/>
          <w:sz w:val="20"/>
          <w:szCs w:val="20"/>
        </w:rPr>
        <w:t xml:space="preserve"/>
      </w:r>
    </w:p>
    <w:p>
      <w:pPr>
        <w:pBdr>
          <w:top w:val="single" w:color="134E4A" w:sz="4" w:space="8"/>
          <w:bottom w:val="single" w:color="134E4A" w:sz="12" w:space="8"/>
        </w:pBdr>
        <w:spacing w:before="0" w:after="60"/>
      </w:pPr>
      <w:r>
        <w:rPr>
          <w:rFonts w:ascii="Arial" w:cs="Arial" w:eastAsia="Arial" w:hAnsi="Arial"/>
          <w:b/>
          <w:bCs/>
          <w:i w:val="false"/>
          <w:iCs w:val="false"/>
          <w:color w:val="64748B"/>
          <w:sz w:val="22"/>
          <w:szCs w:val="22"/>
        </w:rPr>
        <w:t xml:space="preserve">STAGE 1  ·  </w:t>
      </w:r>
      <w:r>
        <w:rPr>
          <w:rFonts w:ascii="Arial" w:cs="Arial" w:eastAsia="Arial" w:hAnsi="Arial"/>
          <w:b/>
          <w:bCs/>
          <w:i w:val="false"/>
          <w:iCs w:val="false"/>
          <w:color w:val="134E4A"/>
          <w:sz w:val="26"/>
          <w:szCs w:val="26"/>
        </w:rPr>
        <w:t xml:space="preserve">EVIDENCE LIBRARIAN</w:t>
      </w:r>
      <w:r>
        <w:rPr>
          <w:rFonts w:ascii="Arial" w:cs="Arial" w:eastAsia="Arial" w:hAnsi="Arial"/>
          <w:b w:val="false"/>
          <w:bCs w:val="false"/>
          <w:i w:val="false"/>
          <w:iCs w:val="false"/>
          <w:color w:val="64748B"/>
          <w:sz w:val="18"/>
          <w:szCs w:val="18"/>
        </w:rPr>
        <w:t xml:space="preserve">  ·  Claim Scoping Pass</w:t>
      </w:r>
    </w:p>
    <w:p>
      <w:pPr>
        <w:spacing w:before="60" w:after="0"/>
      </w:pPr>
      <w:r>
        <w:rPr>
          <w:rFonts w:ascii="Arial" w:cs="Arial" w:eastAsia="Arial" w:hAnsi="Arial"/>
          <w:b w:val="false"/>
          <w:bCs w:val="false"/>
          <w:i w:val="false"/>
          <w:iCs w:val="false"/>
          <w:color w:val="2D3748"/>
          <w:sz w:val="20"/>
          <w:szCs w:val="20"/>
        </w:rPr>
        <w:t xml:space="preserve"/>
      </w:r>
    </w:p>
    <w:p>
      <w:pPr>
        <w:spacing w:before="60" w:after="60"/>
        <w:jc w:val="left"/>
      </w:pPr>
      <w:r>
        <w:rPr>
          <w:rFonts w:ascii="Arial" w:cs="Arial" w:eastAsia="Arial" w:hAnsi="Arial"/>
          <w:b w:val="false"/>
          <w:bCs w:val="false"/>
          <w:i w:val="false"/>
          <w:iCs w:val="false"/>
          <w:color w:val="2D3748"/>
          <w:sz w:val="19"/>
          <w:szCs w:val="19"/>
        </w:rPr>
        <w:t xml:space="preserve">The Evidence Librarian runs before any sector analyst writes a word. The function of this stage is to identify every material claim that will appear in the document and tag it with a source requirement. FAIL-status claims are returned to analysts before narrative writing begins.</w:t>
      </w:r>
    </w:p>
    <w:p>
      <w:pPr>
        <w:spacing w:before="6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34E4A" w:val="clear"/>
            <w:tcMar>
              <w:top w:type="dxa" w:w="0"/>
              <w:left w:type="dxa" w:w="0"/>
              <w:bottom w:type="dxa" w:w="0"/>
              <w:right w:type="dxa" w:w="0"/>
            </w:tcMar>
          </w:tcPr>
          <w:p>
            <w:pPr>
              <w:spacing w:before="70" w:after="70"/>
              <w:jc w:val="center"/>
            </w:pPr>
            <w:r>
              <w:rPr>
                <w:rFonts w:ascii="Arial" w:cs="Arial" w:eastAsia="Arial" w:hAnsi="Arial"/>
                <w:b/>
                <w:bCs/>
                <w:i w:val="false"/>
                <w:iCs w:val="false"/>
                <w:color w:val="FFFFFF"/>
                <w:sz w:val="15"/>
                <w:szCs w:val="15"/>
              </w:rPr>
              <w:t xml:space="preserve">GATE RESULT</w:t>
            </w:r>
          </w:p>
        </w:tc>
        <w:tc>
          <w:tcPr>
            <w:tcW w:type="dxa" w:w="9080"/>
            <w:tcBorders>
              <w:top w:val="none" w:color="FFFFFF" w:sz="0"/>
              <w:left w:val="none" w:color="FFFFFF" w:sz="0"/>
              <w:bottom w:val="none" w:color="FFFFFF" w:sz="0"/>
              <w:right w:val="none" w:color="FFFFFF" w:sz="0"/>
            </w:tcBorders>
            <w:shd w:fill="CCFBF1" w:val="clear"/>
            <w:tcMar>
              <w:top w:type="dxa" w:w="90"/>
              <w:left w:type="dxa" w:w="150"/>
              <w:bottom w:type="dxa" w:w="90"/>
              <w:right w:type="dxa" w:w="150"/>
            </w:tcMar>
          </w:tcPr>
          <w:p>
            <w:pPr>
              <w:spacing w:before="70" w:after="70"/>
              <w:jc w:val="left"/>
            </w:pPr>
            <w:r>
              <w:rPr>
                <w:rFonts w:ascii="Arial" w:cs="Arial" w:eastAsia="Arial" w:hAnsi="Arial"/>
                <w:b/>
                <w:bCs/>
                <w:i w:val="false"/>
                <w:iCs w:val="false"/>
                <w:color w:val="134E4A"/>
                <w:sz w:val="20"/>
                <w:szCs w:val="20"/>
              </w:rPr>
              <w:t xml:space="preserve">Stage 1 gate: PASSED — 0 FAIL claims. 5 CAVEAT claims identified and forwarded to relevant analysts with labelling instructions.</w:t>
            </w:r>
          </w:p>
        </w:tc>
      </w:tr>
    </w:tbl>
    <w:p>
      <w:pPr>
        <w:spacing w:before="80" w:after="0"/>
      </w:pPr>
      <w:r>
        <w:rPr>
          <w:rFonts w:ascii="Arial" w:cs="Arial" w:eastAsia="Arial" w:hAnsi="Arial"/>
          <w:b w:val="false"/>
          <w:bCs w:val="false"/>
          <w:i w:val="false"/>
          <w:iCs w:val="false"/>
          <w:color w:val="2D3748"/>
          <w:sz w:val="20"/>
          <w:szCs w:val="20"/>
        </w:rPr>
        <w:t xml:space="preserve"/>
      </w:r>
    </w:p>
    <w:p>
      <w:pPr>
        <w:pStyle w:val="Heading3"/>
        <w:spacing w:before="160" w:after="50"/>
      </w:pPr>
      <w:r>
        <w:rPr>
          <w:rFonts w:ascii="Arial" w:cs="Arial" w:eastAsia="Arial" w:hAnsi="Arial"/>
          <w:b/>
          <w:bCs/>
          <w:i w:val="false"/>
          <w:iCs w:val="false"/>
          <w:color w:val="134E4A"/>
          <w:sz w:val="19"/>
          <w:szCs w:val="19"/>
        </w:rPr>
        <w:t xml:space="preserve">Claim Ledger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2200"/>
        <w:gridCol w:w="1600"/>
        <w:gridCol w:w="700"/>
        <w:gridCol w:w="3660"/>
      </w:tblGrid>
      <w:tr>
        <w:tc>
          <w:tcPr>
            <w:tcW w:type="dxa" w:w="5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ID</w:t>
            </w:r>
          </w:p>
        </w:tc>
        <w:tc>
          <w:tcPr>
            <w:tcW w:type="dxa" w:w="7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Ticker</w:t>
            </w:r>
          </w:p>
        </w:tc>
        <w:tc>
          <w:tcPr>
            <w:tcW w:type="dxa" w:w="22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Claim type</w:t>
            </w:r>
          </w:p>
        </w:tc>
        <w:tc>
          <w:tcPr>
            <w:tcW w:type="dxa" w:w="16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Source tier</w:t>
            </w:r>
          </w:p>
        </w:tc>
        <w:tc>
          <w:tcPr>
            <w:tcW w:type="dxa" w:w="7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Status</w:t>
            </w:r>
          </w:p>
        </w:tc>
        <w:tc>
          <w:tcPr>
            <w:tcW w:type="dxa" w:w="366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Note</w:t>
            </w:r>
          </w:p>
        </w:tc>
      </w:tr>
      <w:tr>
        <w:tc>
          <w:tcPr>
            <w:tcW w:type="dxa" w:w="5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N1</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NVDA</w:t>
            </w:r>
          </w:p>
        </w:tc>
        <w:tc>
          <w:tcPr>
            <w:tcW w:type="dxa" w:w="2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MGMT GUIDANCE — $1T GTC forecast</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T2 (CNBC/Axios/Fortune)</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PASS</w:t>
            </w:r>
          </w:p>
        </w:tc>
        <w:tc>
          <w:tcPr>
            <w:tcW w:type="dxa" w:w="36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Multiple T2 sources consistent. Labelled forecast throughout, not contracted backlog.</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N2</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NVDA</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PRIMARY FACT — FY2026 $215.9B revenue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T1 (Nvidia results)</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PASS</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Fortune confirms citing Nvidia primary release.</w:t>
            </w:r>
          </w:p>
        </w:tc>
      </w:tr>
      <w:tr>
        <w:tc>
          <w:tcPr>
            <w:tcW w:type="dxa" w:w="5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A1</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AVGO</w:t>
            </w:r>
          </w:p>
        </w:tc>
        <w:tc>
          <w:tcPr>
            <w:tcW w:type="dxa" w:w="2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PRIMARY FACT — Q1 FY2026 $19.3B revenue, AI +106%</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T1 (Broadcom release)</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PASS</w:t>
            </w:r>
          </w:p>
        </w:tc>
        <w:tc>
          <w:tcPr>
            <w:tcW w:type="dxa" w:w="36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March 4, 2026 earnings release, independently reported.</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A2</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AVGO</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MGMT GUIDANCE — $100B+ FY2027 AI revenue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T1 (earnings call)</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PASS</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Management outlook, not contracted. Labelled GUIDANCE.</w:t>
            </w:r>
          </w:p>
        </w:tc>
      </w:tr>
      <w:tr>
        <w:tc>
          <w:tcPr>
            <w:tcW w:type="dxa" w:w="5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T1</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TSM</w:t>
            </w:r>
          </w:p>
        </w:tc>
        <w:tc>
          <w:tcPr>
            <w:tcW w:type="dxa" w:w="2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PRIMARY FACT — $52–56B capex, ~30% revenue growth</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T1 (4Q25 call)</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PASS</w:t>
            </w:r>
          </w:p>
        </w:tc>
        <w:tc>
          <w:tcPr>
            <w:tcW w:type="dxa" w:w="36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January 15, 2026 earnings call transcript.</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T2</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TSM</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MGMT GUIDANCE — AI CAGR 'mid-50s%' 2024–2029</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T1 (4Q25 call)</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CAVEAT</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Exact phrasing not pinned to transcript. Use 'mid-50s' as approximation, not precise range.</w:t>
            </w:r>
          </w:p>
        </w:tc>
      </w:tr>
      <w:tr>
        <w:tc>
          <w:tcPr>
            <w:tcW w:type="dxa" w:w="5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NL1</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NLR/CEG</w:t>
            </w:r>
          </w:p>
        </w:tc>
        <w:tc>
          <w:tcPr>
            <w:tcW w:type="dxa" w:w="2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PRIMARY FACT — Three Mile Island PPA/DOE loan</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T1 (CEG 8-K, DOE)</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PASS</w:t>
            </w:r>
          </w:p>
        </w:tc>
        <w:tc>
          <w:tcPr>
            <w:tcW w:type="dxa" w:w="36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CEG 8-K January 7, 2026. DOE press release.</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NL2</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NLR</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PRIMARY FACT — Meta nuclear multi-party arrangements</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T1/T2</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CAVEAT</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Meta Jan 2026 arrangements were multi-party, multi-plant. Do not reduce to single MW figure.</w:t>
            </w:r>
          </w:p>
        </w:tc>
      </w:tr>
      <w:tr>
        <w:tc>
          <w:tcPr>
            <w:tcW w:type="dxa" w:w="5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E1</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ETN</w:t>
            </w:r>
          </w:p>
        </w:tc>
        <w:tc>
          <w:tcPr>
            <w:tcW w:type="dxa" w:w="2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PRIMARY FACT — One of 13 DSX contributors</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T1 (NVIDIA/Eaton releases)</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PASS</w:t>
            </w:r>
          </w:p>
        </w:tc>
        <w:tc>
          <w:tcPr>
            <w:tcW w:type="dxa" w:w="36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Both primary releases confirmed March 16, 2026. Language: 'contributing' and 'integrated with'.</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P1</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PWR</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PRIMARY FACT — Q4 2025 revenue $7.84B; ATH $576.86</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T1 (Quanta release) + T3</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PASS</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Earnings T1. ATH from TradingView T3. Consensus BELOW current price — disclosed.</w:t>
            </w:r>
          </w:p>
        </w:tc>
      </w:tr>
      <w:tr>
        <w:tc>
          <w:tcPr>
            <w:tcW w:type="dxa" w:w="5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G2</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GEV</w:t>
            </w:r>
          </w:p>
        </w:tc>
        <w:tc>
          <w:tcPr>
            <w:tcW w:type="dxa" w:w="2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MGMT GUIDANCE — '$150B backlog' — exact disclosure pending</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T1 pending</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CAVEAT</w:t>
            </w:r>
          </w:p>
        </w:tc>
        <w:tc>
          <w:tcPr>
            <w:tcW w:type="dxa" w:w="36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Prior reports cited this figure. Primary transcript wording was 'very large backlog growth'. Label GUIDANCE until exact source confirmed.</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F1</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FCX</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PRIMARY FACT — 10Mt copper deficit by 2040</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T1 (S&amp;P Global Jan 2026)</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PASS</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S&amp;P Global study January 8, 2026, co-authored BHP/Freeport/Google.</w:t>
            </w:r>
          </w:p>
        </w:tc>
      </w:tr>
      <w:tr>
        <w:tc>
          <w:tcPr>
            <w:tcW w:type="dxa" w:w="5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FX2</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FIX</w:t>
            </w:r>
          </w:p>
        </w:tc>
        <w:tc>
          <w:tcPr>
            <w:tcW w:type="dxa" w:w="2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MGMT GUIDANCE — '45% technology revenue FY2025'</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T2 (TIKR citing CEO call)</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CAVEAT</w:t>
            </w:r>
          </w:p>
        </w:tc>
        <w:tc>
          <w:tcPr>
            <w:tcW w:type="dxa" w:w="36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CEO earnings call commentary per TIKR. Not verified from primary transcript. Label GUIDANCE.</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NX1</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NXT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PRIMARY FACT — 1HFY26 416.6 MW, $231.8M revenue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T1 (ASX announcement)</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PASS</w:t>
            </w:r>
          </w:p>
        </w:tc>
        <w:tc>
          <w:tcPr>
            <w:tcW w:type="dxa" w:w="3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February 26, 2026 ASX legal disclosure.</w:t>
            </w:r>
          </w:p>
        </w:tc>
      </w:tr>
      <w:tr>
        <w:tc>
          <w:tcPr>
            <w:tcW w:type="dxa" w:w="5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V1</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VST</w:t>
            </w:r>
          </w:p>
        </w:tc>
        <w:tc>
          <w:tcPr>
            <w:tcW w:type="dxa" w:w="2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CONSENSUS — 18 Buy ratings, $234.50 median target</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T3 (3 consistent sources)</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PASS</w:t>
            </w:r>
          </w:p>
        </w:tc>
        <w:tc>
          <w:tcPr>
            <w:tcW w:type="dxa" w:w="36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StockAnalysis, TickerNerd, MarketBeat consistent. Acceptable for consensus snapshot.</w:t>
            </w:r>
          </w:p>
        </w:tc>
      </w:tr>
    </w:tbl>
    <w:p>
      <w:pPr>
        <w:spacing w:before="15" w:after="55"/>
        <w:jc w:val="left"/>
      </w:pPr>
      <w:r>
        <w:rPr>
          <w:rFonts w:ascii="Arial" w:cs="Arial" w:eastAsia="Arial" w:hAnsi="Arial"/>
          <w:b w:val="false"/>
          <w:bCs w:val="false"/>
          <w:i/>
          <w:iCs/>
          <w:color w:val="64748B"/>
          <w:sz w:val="16"/>
          <w:szCs w:val="16"/>
        </w:rPr>
        <w:t xml:space="preserve">Source: Evidence Librarian — 19 March 2026</w:t>
      </w:r>
    </w:p>
    <w:p>
      <w:pPr>
        <w:spacing w:before="60" w:after="0"/>
      </w:pPr>
      <w:r>
        <w:rPr>
          <w:rFonts w:ascii="Arial" w:cs="Arial" w:eastAsia="Arial" w:hAnsi="Arial"/>
          <w:b w:val="false"/>
          <w:bCs w:val="false"/>
          <w:i w:val="false"/>
          <w:iCs w:val="false"/>
          <w:color w:val="2D3748"/>
          <w:sz w:val="20"/>
          <w:szCs w:val="20"/>
        </w:rPr>
        <w:t xml:space="preserve"/>
      </w:r>
      <w:r>
        <w:br w:type="page"/>
      </w:r>
    </w:p>
    <w:p>
      <w:pPr>
        <w:spacing w:before="100" w:after="0"/>
      </w:pPr>
      <w:r>
        <w:rPr>
          <w:rFonts w:ascii="Arial" w:cs="Arial" w:eastAsia="Arial" w:hAnsi="Arial"/>
          <w:b w:val="false"/>
          <w:bCs w:val="false"/>
          <w:i w:val="false"/>
          <w:iCs w:val="false"/>
          <w:color w:val="2D3748"/>
          <w:sz w:val="20"/>
          <w:szCs w:val="20"/>
        </w:rPr>
        <w:t xml:space="preserve"/>
      </w:r>
    </w:p>
    <w:p>
      <w:pPr>
        <w:pBdr>
          <w:top w:val="single" w:color="1E3A5F" w:sz="4" w:space="8"/>
          <w:bottom w:val="single" w:color="1E3A5F" w:sz="12" w:space="8"/>
        </w:pBdr>
        <w:spacing w:before="0" w:after="60"/>
      </w:pPr>
      <w:r>
        <w:rPr>
          <w:rFonts w:ascii="Arial" w:cs="Arial" w:eastAsia="Arial" w:hAnsi="Arial"/>
          <w:b/>
          <w:bCs/>
          <w:i w:val="false"/>
          <w:iCs w:val="false"/>
          <w:color w:val="64748B"/>
          <w:sz w:val="22"/>
          <w:szCs w:val="22"/>
        </w:rPr>
        <w:t xml:space="preserve">STAGE 2  ·  </w:t>
      </w:r>
      <w:r>
        <w:rPr>
          <w:rFonts w:ascii="Arial" w:cs="Arial" w:eastAsia="Arial" w:hAnsi="Arial"/>
          <w:b/>
          <w:bCs/>
          <w:i w:val="false"/>
          <w:iCs w:val="false"/>
          <w:color w:val="1E3A5F"/>
          <w:sz w:val="26"/>
          <w:szCs w:val="26"/>
        </w:rPr>
        <w:t xml:space="preserve">COMPUTE ANALYST</w:t>
      </w:r>
      <w:r>
        <w:rPr>
          <w:rFonts w:ascii="Arial" w:cs="Arial" w:eastAsia="Arial" w:hAnsi="Arial"/>
          <w:b w:val="false"/>
          <w:bCs w:val="false"/>
          <w:i w:val="false"/>
          <w:iCs w:val="false"/>
          <w:color w:val="64748B"/>
          <w:sz w:val="18"/>
          <w:szCs w:val="18"/>
        </w:rPr>
        <w:t xml:space="preserve">  ·  sector-analyst-compute</w:t>
      </w:r>
    </w:p>
    <w:p>
      <w:pPr>
        <w:spacing w:before="60" w:after="0"/>
      </w:pPr>
      <w:r>
        <w:rPr>
          <w:rFonts w:ascii="Arial" w:cs="Arial" w:eastAsia="Arial" w:hAnsi="Arial"/>
          <w:b w:val="false"/>
          <w:bCs w:val="false"/>
          <w:i w:val="false"/>
          <w:iCs w:val="false"/>
          <w:color w:val="2D3748"/>
          <w:sz w:val="20"/>
          <w:szCs w:val="20"/>
        </w:rPr>
        <w:t xml:space="preserve"/>
      </w:r>
    </w:p>
    <w:p>
      <w:pPr>
        <w:spacing w:before="60" w:after="60"/>
        <w:jc w:val="left"/>
      </w:pPr>
      <w:r>
        <w:rPr>
          <w:rFonts w:ascii="Arial" w:cs="Arial" w:eastAsia="Arial" w:hAnsi="Arial"/>
          <w:b w:val="false"/>
          <w:bCs w:val="false"/>
          <w:i w:val="false"/>
          <w:iCs w:val="false"/>
          <w:color w:val="2D3748"/>
          <w:sz w:val="19"/>
          <w:szCs w:val="19"/>
        </w:rPr>
        <w:t xml:space="preserve">Coverage: NVDA, AVGO, TSM. Four-box structure. No price targets — those go to the Valuation Analyst.</w:t>
      </w:r>
    </w:p>
    <w:p>
      <w:pPr>
        <w:pBdr>
          <w:bottom w:val="single" w:color="1E3A5F" w:sz="4" w:space="1"/>
        </w:pBdr>
        <w:spacing w:before="110" w:after="110"/>
      </w:pPr>
      <w:r>
        <w:rPr>
          <w:rFonts w:ascii="Arial" w:cs="Arial" w:eastAsia="Arial" w:hAnsi="Arial"/>
          <w:b w:val="false"/>
          <w:bCs w:val="false"/>
          <w:i w:val="false"/>
          <w:iCs w:val="false"/>
          <w:color w:val="2D3748"/>
          <w:sz w:val="4"/>
          <w:szCs w:val="4"/>
        </w:rPr>
        <w:t xml:space="preserve"/>
      </w:r>
    </w:p>
    <w:p>
      <w:pPr>
        <w:spacing w:before="40" w:after="0"/>
      </w:pPr>
      <w:r>
        <w:rPr>
          <w:rFonts w:ascii="Arial" w:cs="Arial" w:eastAsia="Arial" w:hAnsi="Arial"/>
          <w:b w:val="false"/>
          <w:bCs w:val="false"/>
          <w:i w:val="false"/>
          <w:iCs w:val="false"/>
          <w:color w:val="2D3748"/>
          <w:sz w:val="20"/>
          <w:szCs w:val="20"/>
        </w:rPr>
        <w:t xml:space="preserve"/>
      </w:r>
    </w:p>
    <w:p>
      <w:pPr>
        <w:pStyle w:val="Heading3"/>
        <w:spacing w:before="160" w:after="50"/>
      </w:pPr>
      <w:r>
        <w:rPr>
          <w:rFonts w:ascii="Arial" w:cs="Arial" w:eastAsia="Arial" w:hAnsi="Arial"/>
          <w:b/>
          <w:bCs/>
          <w:i w:val="false"/>
          <w:iCs w:val="false"/>
          <w:color w:val="2D3748"/>
          <w:sz w:val="19"/>
          <w:szCs w:val="19"/>
        </w:rPr>
        <w:t xml:space="preserve">NVDA — Nvidia Corporation</w:t>
      </w:r>
    </w:p>
    <w:p>
      <w:pPr>
        <w:spacing w:before="70" w:after="70"/>
        <w:jc w:val="left"/>
      </w:pPr>
      <w:r>
        <w:rPr>
          <w:rFonts w:ascii="Arial" w:cs="Arial" w:eastAsia="Arial" w:hAnsi="Arial"/>
          <w:b w:val="false"/>
          <w:bCs w:val="false"/>
          <w:i/>
          <w:iCs/>
          <w:color w:val="64748B"/>
          <w:sz w:val="16"/>
          <w:szCs w:val="16"/>
        </w:rPr>
        <w:t xml:space="preserve">Covered by: Sector Analyst — Compute &amp; Silicon  ·  Date: 19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4532D"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1: VERIFIED FACTS [T1/T2 ONLY]</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FY2026 annual revenue: $215.9 billion, up 65% YoY. Data centre revenue: $62.3 billion, up 75% YoY. (Nvidia FY2026 results, Feb 2026)</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Blackwell GPU architecture in full production. Vera Rubin system announced at GTC 2026, March 16–19 — includes 7 chips and 5 rack types.</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[T2] At GTC 2026, CEO Jensen Huang stated he expects purchase orders for Blackwell and Vera Rubin to reach 'at least $1 trillion' through 2027. This is a CEO demand projection; Moor Insights notes it is 'more of a demand projection than a firm revenue forecast.' (CNBC, Axios, Fortune — March 16–17, 2026)</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Nvidia acquired core Groq assets for $20B (December 2025) — Groq 3 LPU unveiled at GTC 2026 for inference acceleration.</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713F12"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2: MANAGEMENT GUIDANCE [GUIDANCE — not independently verified revenue]</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Management expects demand to exceed $1 trillion — CEO explicitly added: 'I am certain computing demand will be much higher than that.' Directional signal, not a contracted order book.</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Vera Rubin system shipping to customers in 2026; Kyber architecture (next generation) teased for 2027–2028 timeframe.</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Nvidia positioning from 'chip company' to 'AI infrastructure and factory operator' — Jensen Huang's framing at GTC 2026.</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3: CONSENSUS / MARKET VIEW [Tier 3 snapshot — not revisions history]</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12-month consensus target: approximately $265–274 (Wells Fargo overweight $265; MarketBeat consensus ~$274). Wells Fargo: 'Demand is measurably stronger than even the highest expectations.' (March 17, 2026)</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Current price: $181.93. Stock is down approximately 4% in 2026 despite record fundamentals — market interpreting $1T figure as partially already priced. Wedbush: Nvidia 'at the top of the AI demand curve for 2026 and beyond.'</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Rating distribution: Predominantly Buy. Stock closed only 1.7% higher on GTC keynote day — suggesting market viewed $1T figure as in-line with elevated expectations, not a significant upside surprise.</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4A1D6B"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4: ANALYST JUDGMENT [House view — see valuation analyst for price targets]</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Business quality: Exceptional. The CUDA software ecosystem is the real moat — it takes years of developer re-training to migrate away, meaning hardware alternatives can ship chips but not the ecosystem. Revenue growth at this scale is nearly without precedent.</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Variant versus consensus: The debate is not whether Nvidia will grow — it is whether growth can continue fast enough to justify 44x trailing P/E. At that multiple, even a 10% earnings guidance miss produces a 20–30% stock reaction. The thesis requires execution, not just continuation.</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AI factory architecture shift: Nvidia's DSX reference design changes the competitive dynamic. By specifying the full infrastructure stack, Nvidia extends its moat into power, cooling, and networking — and gives its ecosystem partners a defined adoption runway. This is structurally positive.</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Key risk to business quality: Export controls on China restrict a segment that previously represented double-digit revenue. The Groq 3 inference chip also enters a space where Google TPU, Amazon Trainium, and AMD MI300 are competing. Inference TAM is large; Nvidia's share is not guaranteed.</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4532D" w:val="clear"/>
            <w:tcMar>
              <w:top w:type="dxa" w:w="0"/>
              <w:left w:type="dxa" w:w="0"/>
              <w:bottom w:type="dxa" w:w="0"/>
              <w:right w:type="dxa" w:w="0"/>
            </w:tcMar>
          </w:tcPr>
          <w:p>
            <w:pPr>
              <w:spacing w:before="70" w:after="70"/>
              <w:jc w:val="left"/>
            </w:pPr>
            <w:r>
              <w:rPr>
                <w:rFonts w:ascii="Arial" w:cs="Arial" w:eastAsia="Arial" w:hAnsi="Arial"/>
                <w:b w:val="false"/>
                <w:bCs w:val="false"/>
                <w:i w:val="false"/>
                <w:iCs w:val="false"/>
                <w:color w:val="2D3748"/>
                <w:sz w:val="20"/>
                <w:szCs w:val="20"/>
              </w:rPr>
              <w:t xml:space="preserve"/>
            </w:r>
          </w:p>
        </w:tc>
        <w:tc>
          <w:tcPr>
            <w:tcW w:type="dxa" w:w="9180"/>
            <w:tcBorders>
              <w:top w:val="none" w:color="FFFFFF" w:sz="0"/>
              <w:left w:val="none" w:color="FFFFFF" w:sz="0"/>
              <w:bottom w:val="none" w:color="FFFFFF" w:sz="0"/>
              <w:right w:val="none" w:color="FFFFFF" w:sz="0"/>
            </w:tcBorders>
            <w:shd w:fill="DCFCE7" w:val="clear"/>
            <w:tcMar>
              <w:top w:type="dxa" w:w="70"/>
              <w:left w:type="dxa" w:w="130"/>
              <w:bottom w:type="dxa" w:w="70"/>
              <w:right w:type="dxa" w:w="130"/>
            </w:tcMar>
          </w:tcPr>
          <w:p>
            <w:pPr>
              <w:spacing w:before="70" w:after="70"/>
              <w:jc w:val="left"/>
            </w:pPr>
            <w:r>
              <w:rPr>
                <w:rFonts w:ascii="Arial" w:cs="Arial" w:eastAsia="Arial" w:hAnsi="Arial"/>
                <w:b/>
                <w:bCs/>
                <w:i w:val="false"/>
                <w:iCs w:val="false"/>
                <w:color w:val="14532D"/>
                <w:sz w:val="17"/>
                <w:szCs w:val="17"/>
              </w:rPr>
              <w:t xml:space="preserve">Audit: </w:t>
            </w:r>
            <w:r>
              <w:rPr>
                <w:rFonts w:ascii="Arial" w:cs="Arial" w:eastAsia="Arial" w:hAnsi="Arial"/>
                <w:b/>
                <w:bCs/>
                <w:i w:val="false"/>
                <w:iCs w:val="false"/>
                <w:color w:val="14532D"/>
                <w:sz w:val="17"/>
                <w:szCs w:val="17"/>
              </w:rPr>
              <w:t xml:space="preserve">PASS</w:t>
            </w:r>
            <w:r>
              <w:rPr>
                <w:rFonts w:ascii="Arial" w:cs="Arial" w:eastAsia="Arial" w:hAnsi="Arial"/>
                <w:b w:val="false"/>
                <w:bCs w:val="false"/>
                <w:i w:val="false"/>
                <w:iCs w:val="false"/>
                <w:color w:val="2D3748"/>
                <w:sz w:val="17"/>
                <w:szCs w:val="17"/>
              </w:rPr>
              <w:t xml:space="preserve">  Claim N1 labelled correctly as management forecast. N2 confirmed T1.</w:t>
            </w:r>
          </w:p>
        </w:tc>
      </w:tr>
    </w:tbl>
    <w:p>
      <w:pPr>
        <w:spacing w:before="15" w:after="55"/>
        <w:jc w:val="left"/>
      </w:pPr>
      <w:r>
        <w:rPr>
          <w:rFonts w:ascii="Arial" w:cs="Arial" w:eastAsia="Arial" w:hAnsi="Arial"/>
          <w:b w:val="false"/>
          <w:bCs w:val="false"/>
          <w:i/>
          <w:iCs/>
          <w:color w:val="64748B"/>
          <w:sz w:val="16"/>
          <w:szCs w:val="16"/>
        </w:rPr>
        <w:t xml:space="preserve">Source: Nvidia FY2026 results (T1, Feb 2026); CNBC/Axios/Fortune GTC coverage (T2, Mar 16–17, 2026); Wells Fargo/Wedbush via Stocktwits (T3)</w:t>
      </w:r>
    </w:p>
    <w:p>
      <w:pPr>
        <w:spacing w:before="80" w:after="0"/>
      </w:pPr>
      <w:r>
        <w:rPr>
          <w:rFonts w:ascii="Arial" w:cs="Arial" w:eastAsia="Arial" w:hAnsi="Arial"/>
          <w:b w:val="false"/>
          <w:bCs w:val="false"/>
          <w:i w:val="false"/>
          <w:iCs w:val="false"/>
          <w:color w:val="2D3748"/>
          <w:sz w:val="20"/>
          <w:szCs w:val="20"/>
        </w:rPr>
        <w:t xml:space="preserve"/>
      </w:r>
    </w:p>
    <w:p>
      <w:pPr>
        <w:pStyle w:val="Heading3"/>
        <w:spacing w:before="160" w:after="50"/>
      </w:pPr>
      <w:r>
        <w:rPr>
          <w:rFonts w:ascii="Arial" w:cs="Arial" w:eastAsia="Arial" w:hAnsi="Arial"/>
          <w:b/>
          <w:bCs/>
          <w:i w:val="false"/>
          <w:iCs w:val="false"/>
          <w:color w:val="2D3748"/>
          <w:sz w:val="19"/>
          <w:szCs w:val="19"/>
        </w:rPr>
        <w:t xml:space="preserve">AVGO — Broadcom Inc.</w:t>
      </w:r>
    </w:p>
    <w:p>
      <w:pPr>
        <w:spacing w:before="70" w:after="70"/>
        <w:jc w:val="left"/>
      </w:pPr>
      <w:r>
        <w:rPr>
          <w:rFonts w:ascii="Arial" w:cs="Arial" w:eastAsia="Arial" w:hAnsi="Arial"/>
          <w:b w:val="false"/>
          <w:bCs w:val="false"/>
          <w:i/>
          <w:iCs/>
          <w:color w:val="64748B"/>
          <w:sz w:val="16"/>
          <w:szCs w:val="16"/>
        </w:rPr>
        <w:t xml:space="preserve">Covered by: Sector Analyst — Compute &amp; Silicon  ·  Date: 19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4532D"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1: VERIFIED FACTS [T1/T2 ONLY]</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Q1 FY2026 revenue: $19.3 billion, +29% YoY. AI chip revenue: +106% YoY. (Broadcom earnings release, March 4, 2026)</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Gross margins approximately 77% — industry-leading for a company of this scale and product breadth.</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[T2] JPMorgan equity desk raised Broadcom price target to approximately $500 in March 2026. (TipRanks citing JPMorgan note)</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713F12"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2: MANAGEMENT GUIDANCE [GUIDANCE — not independently verified revenue]</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Management guided AI chip revenue of $100 billion+ for FY2027. This is pipeline-based management outlook, not executed contract revenue. Exact phrasing from earnings call — 'visibility into' this level, not signed contracts.</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Infrastructure Software segment guided to recover in H2 FY2026 after Q1 underperformance versus consensus.</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Custom ASIC relationships with Google, Meta, Apple cited as multi-year in management commentary — individual contract terms are not publicly disclosed.</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3: CONSENSUS / MARKET VIEW [Tier 3 snapshot — not revisions history]</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12-month consensus target: $430–470 (StockAnalysis/MarketBeat, March 2026). Current price: $322. Stock is 22% below December 2025 peak.</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Rating distribution: Predominantly Strong Buy — one of the highest-conviction names in analyst coverage.</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4A1D6B"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4: ANALYST JUDGMENT [House view — see valuation analyst for price targets]</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Business quality: Very high. Broadcom's combination of custom ASIC revenue (locked in by multi-year exclusive designs) and Infrastructure Software (now the largest software revenue stream in the non-hyperscaler sector after CA Technologies and Symantec acquisitions) creates exceptional cash flow durability.</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The custom silicon thesis in full: Google TPU, Meta MTIA, Apple Neural Engine — Broadcom designs all of them. The 'risk' that hyperscalers build around Nvidia is simultaneously Broadcom's opportunity. This is a genuinely differentiated insight that is not widely reflected in retail coverage.</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Customer concentration: Google accounts for an estimated 40% of AI chip revenue. This is the primary single-company risk. Any shift in Google's architectural direction — including moving to alternative ASIC design partners — would materially affect the FY2027 guidance.</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The 22% pullback from peak on unchanged fundamentals is the entry opportunity. At $322 versus a consensus target of $430–470, the gap reflects sentiment, not earnings revision.</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4532D" w:val="clear"/>
            <w:tcMar>
              <w:top w:type="dxa" w:w="0"/>
              <w:left w:type="dxa" w:w="0"/>
              <w:bottom w:type="dxa" w:w="0"/>
              <w:right w:type="dxa" w:w="0"/>
            </w:tcMar>
          </w:tcPr>
          <w:p>
            <w:pPr>
              <w:spacing w:before="70" w:after="70"/>
              <w:jc w:val="left"/>
            </w:pPr>
            <w:r>
              <w:rPr>
                <w:rFonts w:ascii="Arial" w:cs="Arial" w:eastAsia="Arial" w:hAnsi="Arial"/>
                <w:b w:val="false"/>
                <w:bCs w:val="false"/>
                <w:i w:val="false"/>
                <w:iCs w:val="false"/>
                <w:color w:val="2D3748"/>
                <w:sz w:val="20"/>
                <w:szCs w:val="20"/>
              </w:rPr>
              <w:t xml:space="preserve"/>
            </w:r>
          </w:p>
        </w:tc>
        <w:tc>
          <w:tcPr>
            <w:tcW w:type="dxa" w:w="9180"/>
            <w:tcBorders>
              <w:top w:val="none" w:color="FFFFFF" w:sz="0"/>
              <w:left w:val="none" w:color="FFFFFF" w:sz="0"/>
              <w:bottom w:val="none" w:color="FFFFFF" w:sz="0"/>
              <w:right w:val="none" w:color="FFFFFF" w:sz="0"/>
            </w:tcBorders>
            <w:shd w:fill="DCFCE7" w:val="clear"/>
            <w:tcMar>
              <w:top w:type="dxa" w:w="70"/>
              <w:left w:type="dxa" w:w="130"/>
              <w:bottom w:type="dxa" w:w="70"/>
              <w:right w:type="dxa" w:w="130"/>
            </w:tcMar>
          </w:tcPr>
          <w:p>
            <w:pPr>
              <w:spacing w:before="70" w:after="70"/>
              <w:jc w:val="left"/>
            </w:pPr>
            <w:r>
              <w:rPr>
                <w:rFonts w:ascii="Arial" w:cs="Arial" w:eastAsia="Arial" w:hAnsi="Arial"/>
                <w:b/>
                <w:bCs/>
                <w:i w:val="false"/>
                <w:iCs w:val="false"/>
                <w:color w:val="14532D"/>
                <w:sz w:val="17"/>
                <w:szCs w:val="17"/>
              </w:rPr>
              <w:t xml:space="preserve">Audit: </w:t>
            </w:r>
            <w:r>
              <w:rPr>
                <w:rFonts w:ascii="Arial" w:cs="Arial" w:eastAsia="Arial" w:hAnsi="Arial"/>
                <w:b/>
                <w:bCs/>
                <w:i w:val="false"/>
                <w:iCs w:val="false"/>
                <w:color w:val="14532D"/>
                <w:sz w:val="17"/>
                <w:szCs w:val="17"/>
              </w:rPr>
              <w:t xml:space="preserve">PASS</w:t>
            </w:r>
            <w:r>
              <w:rPr>
                <w:rFonts w:ascii="Arial" w:cs="Arial" w:eastAsia="Arial" w:hAnsi="Arial"/>
                <w:b w:val="false"/>
                <w:bCs w:val="false"/>
                <w:i w:val="false"/>
                <w:iCs w:val="false"/>
                <w:color w:val="2D3748"/>
                <w:sz w:val="17"/>
                <w:szCs w:val="17"/>
              </w:rPr>
              <w:t xml:space="preserve">  A1 T1 confirmed. A2 correctly labelled GUIDANCE.</w:t>
            </w:r>
          </w:p>
        </w:tc>
      </w:tr>
    </w:tbl>
    <w:p>
      <w:pPr>
        <w:spacing w:before="15" w:after="55"/>
        <w:jc w:val="left"/>
      </w:pPr>
      <w:r>
        <w:rPr>
          <w:rFonts w:ascii="Arial" w:cs="Arial" w:eastAsia="Arial" w:hAnsi="Arial"/>
          <w:b w:val="false"/>
          <w:bCs w:val="false"/>
          <w:i/>
          <w:iCs/>
          <w:color w:val="64748B"/>
          <w:sz w:val="16"/>
          <w:szCs w:val="16"/>
        </w:rPr>
        <w:t xml:space="preserve">Source: Broadcom Q1 FY2026 earnings release, March 4, 2026 (T1); JPMorgan target via TipRanks (T3)</w:t>
      </w:r>
    </w:p>
    <w:p>
      <w:pPr>
        <w:spacing w:before="80" w:after="0"/>
      </w:pPr>
      <w:r>
        <w:rPr>
          <w:rFonts w:ascii="Arial" w:cs="Arial" w:eastAsia="Arial" w:hAnsi="Arial"/>
          <w:b w:val="false"/>
          <w:bCs w:val="false"/>
          <w:i w:val="false"/>
          <w:iCs w:val="false"/>
          <w:color w:val="2D3748"/>
          <w:sz w:val="20"/>
          <w:szCs w:val="20"/>
        </w:rPr>
        <w:t xml:space="preserve"/>
      </w:r>
    </w:p>
    <w:p>
      <w:pPr>
        <w:pStyle w:val="Heading3"/>
        <w:spacing w:before="160" w:after="50"/>
      </w:pPr>
      <w:r>
        <w:rPr>
          <w:rFonts w:ascii="Arial" w:cs="Arial" w:eastAsia="Arial" w:hAnsi="Arial"/>
          <w:b/>
          <w:bCs/>
          <w:i w:val="false"/>
          <w:iCs w:val="false"/>
          <w:color w:val="2D3748"/>
          <w:sz w:val="19"/>
          <w:szCs w:val="19"/>
        </w:rPr>
        <w:t xml:space="preserve">TSM — Taiwan Semiconductor Manufacturing Co.</w:t>
      </w:r>
    </w:p>
    <w:p>
      <w:pPr>
        <w:spacing w:before="70" w:after="70"/>
        <w:jc w:val="left"/>
      </w:pPr>
      <w:r>
        <w:rPr>
          <w:rFonts w:ascii="Arial" w:cs="Arial" w:eastAsia="Arial" w:hAnsi="Arial"/>
          <w:b w:val="false"/>
          <w:bCs w:val="false"/>
          <w:i/>
          <w:iCs/>
          <w:color w:val="64748B"/>
          <w:sz w:val="16"/>
          <w:szCs w:val="16"/>
        </w:rPr>
        <w:t xml:space="preserve">Covered by: Sector Analyst — Compute &amp; Silicon  ·  Date: 19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4532D"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1: VERIFIED FACTS [T1/T2 ONLY]</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4Q25 earnings call (January 15, 2026): guided close to 30% revenue growth in 2026; capex of $52–56 billion. (TSMC 4Q25 earnings transcript)</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[T2] Goldman Sachs raised ADR target to approximately $370–375 in January 2026, citing 30% sales growth and margin expansion. (TheStreet, January 2026)</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[T2] Bernstein estimates CoWoS advanced packaging capacity reaches 125,000 wafers/month by end-2026, up ~66% from current levels. (Multiple T2 outlets consistent)</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713F12"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2: MANAGEMENT GUIDANCE [GUIDANCE — not independently verified revenue]</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Management provided long-range AI accelerator revenue CAGR in the mid-50s percent range from 2024–2029. Exact transcript wording not pinned — use 'mid-50s' as approximation. See Claim Register T2 caveat.</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TSMC expects to be a central participant in the upcoming US-Taiwan trade arrangement, with potential total US investment reaching $165 billion across the period. (CEO commentary, 4Q25 call)</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3: CONSENSUS / MARKET VIEW [Tier 3 snapshot — not revisions history]</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12-month consensus target: $355–375 (Goldman Sachs $370–375; MarketBeat/StockAnalysis consensus $355). Current price: $339.57. Consensus upside: 4–11%.</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P/E approximately 30x trailing — materially lower than NVDA (~44x) or AVGO (~32x). Relative value argument within the compute layer.</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4A1D6B"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4: ANALYST JUDGMENT [House view — see valuation analyst for price targets]</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Manufacturing monopoly: The insight that matters most is not the earnings model — it is that there is no credible alternative to TSMC for leading-edge AI silicon at 3nm or below. Intel Foundry is years behind on yield and customer relationships. Samsung has yield challenges. Every chip in this portfolio — Nvidia's Blackwell, Broadcom's ASICs, AMD's MI300 — runs through TSMC. Owning NVDA and AVGO without TSM is an incomplete expression of the thesis.</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The geopolitical discount: TSMC trades at a lower P/E than peers partly because the market is pricing a Taiwan geopolitical risk premium. This is not irrational. Any Strait escalation creates operational risk (key fabs are in Taiwan) and investor risk (capital would flee Taiwan-exposed names simultaneously). Investors must make an explicit decision about whether they accept this risk — not assume it will not happen.</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The relative value argument is real but limited: at 30x P/E, TSMC is not cheap in absolute terms. The 1-year consensus upside of 4–11% is modest. The 3 and 5-year thesis depends on AI silicon demand compounding at management-guided rates — which, if correct, drives material earnings growth and justifies the position despite the modest near-term consensus.</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7F1D1D" w:val="clear"/>
            <w:tcMar>
              <w:top w:type="dxa" w:w="0"/>
              <w:left w:type="dxa" w:w="0"/>
              <w:bottom w:type="dxa" w:w="0"/>
              <w:right w:type="dxa" w:w="0"/>
            </w:tcMar>
          </w:tcPr>
          <w:p>
            <w:pPr>
              <w:spacing w:before="70" w:after="70"/>
              <w:jc w:val="left"/>
            </w:pPr>
            <w:r>
              <w:rPr>
                <w:rFonts w:ascii="Arial" w:cs="Arial" w:eastAsia="Arial" w:hAnsi="Arial"/>
                <w:b w:val="false"/>
                <w:bCs w:val="false"/>
                <w:i w:val="false"/>
                <w:iCs w:val="false"/>
                <w:color w:val="2D3748"/>
                <w:sz w:val="20"/>
                <w:szCs w:val="20"/>
              </w:rPr>
              <w:t xml:space="preserve"/>
            </w:r>
          </w:p>
        </w:tc>
        <w:tc>
          <w:tcPr>
            <w:tcW w:type="dxa" w:w="9180"/>
            <w:tcBorders>
              <w:top w:val="none" w:color="FFFFFF" w:sz="0"/>
              <w:left w:val="none" w:color="FFFFFF" w:sz="0"/>
              <w:bottom w:val="none" w:color="FFFFFF" w:sz="0"/>
              <w:right w:val="none" w:color="FFFFFF" w:sz="0"/>
            </w:tcBorders>
            <w:shd w:fill="FEE2E2" w:val="clear"/>
            <w:tcMar>
              <w:top w:type="dxa" w:w="70"/>
              <w:left w:type="dxa" w:w="130"/>
              <w:bottom w:type="dxa" w:w="70"/>
              <w:right w:type="dxa" w:w="130"/>
            </w:tcMar>
          </w:tcPr>
          <w:p>
            <w:pPr>
              <w:spacing w:before="70" w:after="70"/>
              <w:jc w:val="left"/>
            </w:pPr>
            <w:r>
              <w:rPr>
                <w:rFonts w:ascii="Arial" w:cs="Arial" w:eastAsia="Arial" w:hAnsi="Arial"/>
                <w:b/>
                <w:bCs/>
                <w:i w:val="false"/>
                <w:iCs w:val="false"/>
                <w:color w:val="7F1D1D"/>
                <w:sz w:val="17"/>
                <w:szCs w:val="17"/>
              </w:rPr>
              <w:t xml:space="preserve">Audit: </w:t>
            </w:r>
            <w:r>
              <w:rPr>
                <w:rFonts w:ascii="Arial" w:cs="Arial" w:eastAsia="Arial" w:hAnsi="Arial"/>
                <w:b/>
                <w:bCs/>
                <w:i w:val="false"/>
                <w:iCs w:val="false"/>
                <w:color w:val="7F1D1D"/>
                <w:sz w:val="17"/>
                <w:szCs w:val="17"/>
              </w:rPr>
              <w:t xml:space="preserve">PASS (1 CAVEAT)</w:t>
            </w:r>
            <w:r>
              <w:rPr>
                <w:rFonts w:ascii="Arial" w:cs="Arial" w:eastAsia="Arial" w:hAnsi="Arial"/>
                <w:b w:val="false"/>
                <w:bCs w:val="false"/>
                <w:i w:val="false"/>
                <w:iCs w:val="false"/>
                <w:color w:val="2D3748"/>
                <w:sz w:val="17"/>
                <w:szCs w:val="17"/>
              </w:rPr>
              <w:t xml:space="preserve">  CAVEAT T2 applies: AI CAGR phrasing is approximation. Labelled 'mid-50s' throughout — not stated as precise range.</w:t>
            </w:r>
          </w:p>
        </w:tc>
      </w:tr>
    </w:tbl>
    <w:p>
      <w:pPr>
        <w:spacing w:before="15" w:after="55"/>
        <w:jc w:val="left"/>
      </w:pPr>
      <w:r>
        <w:rPr>
          <w:rFonts w:ascii="Arial" w:cs="Arial" w:eastAsia="Arial" w:hAnsi="Arial"/>
          <w:b w:val="false"/>
          <w:bCs w:val="false"/>
          <w:i/>
          <w:iCs/>
          <w:color w:val="64748B"/>
          <w:sz w:val="16"/>
          <w:szCs w:val="16"/>
        </w:rPr>
        <w:t xml:space="preserve">Source: TSMC 4Q25 earnings call (T1, January 15, 2026); Goldman Sachs via TheStreet (T2, January 2026); Bernstein via multiple T2 outlets</w:t>
      </w:r>
    </w:p>
    <w:p>
      <w:pPr>
        <w:spacing w:before="80" w:after="0"/>
      </w:pPr>
      <w:r>
        <w:rPr>
          <w:rFonts w:ascii="Arial" w:cs="Arial" w:eastAsia="Arial" w:hAnsi="Arial"/>
          <w:b w:val="false"/>
          <w:bCs w:val="false"/>
          <w:i w:val="false"/>
          <w:iCs w:val="false"/>
          <w:color w:val="2D3748"/>
          <w:sz w:val="20"/>
          <w:szCs w:val="20"/>
        </w:rPr>
        <w:t xml:space="preserve"/>
      </w:r>
    </w:p>
    <w:p>
      <w:pPr>
        <w:spacing w:before="60" w:after="0"/>
      </w:pPr>
      <w:r>
        <w:rPr>
          <w:rFonts w:ascii="Arial" w:cs="Arial" w:eastAsia="Arial" w:hAnsi="Arial"/>
          <w:b w:val="false"/>
          <w:bCs w:val="false"/>
          <w:i w:val="false"/>
          <w:iCs w:val="false"/>
          <w:color w:val="2D3748"/>
          <w:sz w:val="20"/>
          <w:szCs w:val="20"/>
        </w:rPr>
        <w:t xml:space="preserve"/>
      </w:r>
      <w:r>
        <w:br w:type="page"/>
      </w:r>
    </w:p>
    <w:p>
      <w:pPr>
        <w:spacing w:before="100" w:after="0"/>
      </w:pPr>
      <w:r>
        <w:rPr>
          <w:rFonts w:ascii="Arial" w:cs="Arial" w:eastAsia="Arial" w:hAnsi="Arial"/>
          <w:b w:val="false"/>
          <w:bCs w:val="false"/>
          <w:i w:val="false"/>
          <w:iCs w:val="false"/>
          <w:color w:val="2D3748"/>
          <w:sz w:val="20"/>
          <w:szCs w:val="20"/>
        </w:rPr>
        <w:t xml:space="preserve"/>
      </w:r>
    </w:p>
    <w:p>
      <w:pPr>
        <w:pBdr>
          <w:top w:val="single" w:color="713F12" w:sz="4" w:space="8"/>
          <w:bottom w:val="single" w:color="713F12" w:sz="12" w:space="8"/>
        </w:pBdr>
        <w:spacing w:before="0" w:after="60"/>
      </w:pPr>
      <w:r>
        <w:rPr>
          <w:rFonts w:ascii="Arial" w:cs="Arial" w:eastAsia="Arial" w:hAnsi="Arial"/>
          <w:b/>
          <w:bCs/>
          <w:i w:val="false"/>
          <w:iCs w:val="false"/>
          <w:color w:val="64748B"/>
          <w:sz w:val="22"/>
          <w:szCs w:val="22"/>
        </w:rPr>
        <w:t xml:space="preserve">STAGE 2  ·  </w:t>
      </w:r>
      <w:r>
        <w:rPr>
          <w:rFonts w:ascii="Arial" w:cs="Arial" w:eastAsia="Arial" w:hAnsi="Arial"/>
          <w:b/>
          <w:bCs/>
          <w:i w:val="false"/>
          <w:iCs w:val="false"/>
          <w:color w:val="713F12"/>
          <w:sz w:val="26"/>
          <w:szCs w:val="26"/>
        </w:rPr>
        <w:t xml:space="preserve">POWER / ENERGY ANALYST</w:t>
      </w:r>
      <w:r>
        <w:rPr>
          <w:rFonts w:ascii="Arial" w:cs="Arial" w:eastAsia="Arial" w:hAnsi="Arial"/>
          <w:b w:val="false"/>
          <w:bCs w:val="false"/>
          <w:i w:val="false"/>
          <w:iCs w:val="false"/>
          <w:color w:val="64748B"/>
          <w:sz w:val="18"/>
          <w:szCs w:val="18"/>
        </w:rPr>
        <w:t xml:space="preserve">  ·  sector-analyst-power-energy</w:t>
      </w:r>
    </w:p>
    <w:p>
      <w:pPr>
        <w:spacing w:before="60" w:after="0"/>
      </w:pPr>
      <w:r>
        <w:rPr>
          <w:rFonts w:ascii="Arial" w:cs="Arial" w:eastAsia="Arial" w:hAnsi="Arial"/>
          <w:b w:val="false"/>
          <w:bCs w:val="false"/>
          <w:i w:val="false"/>
          <w:iCs w:val="false"/>
          <w:color w:val="2D3748"/>
          <w:sz w:val="20"/>
          <w:szCs w:val="20"/>
        </w:rPr>
        <w:t xml:space="preserve"/>
      </w:r>
    </w:p>
    <w:p>
      <w:pPr>
        <w:spacing w:before="60" w:after="60"/>
        <w:jc w:val="left"/>
      </w:pPr>
      <w:r>
        <w:rPr>
          <w:rFonts w:ascii="Arial" w:cs="Arial" w:eastAsia="Arial" w:hAnsi="Arial"/>
          <w:b w:val="false"/>
          <w:bCs w:val="false"/>
          <w:i w:val="false"/>
          <w:iCs w:val="false"/>
          <w:color w:val="2D3748"/>
          <w:sz w:val="19"/>
          <w:szCs w:val="19"/>
        </w:rPr>
        <w:t xml:space="preserve">Coverage: NLR, CEG, VST, GEV. Four-box structure. No price targets.</w:t>
      </w:r>
    </w:p>
    <w:p>
      <w:pPr>
        <w:pBdr>
          <w:bottom w:val="single" w:color="713F12" w:sz="4" w:space="1"/>
        </w:pBdr>
        <w:spacing w:before="110" w:after="110"/>
      </w:pPr>
      <w:r>
        <w:rPr>
          <w:rFonts w:ascii="Arial" w:cs="Arial" w:eastAsia="Arial" w:hAnsi="Arial"/>
          <w:b w:val="false"/>
          <w:bCs w:val="false"/>
          <w:i w:val="false"/>
          <w:iCs w:val="false"/>
          <w:color w:val="2D3748"/>
          <w:sz w:val="4"/>
          <w:szCs w:val="4"/>
        </w:rPr>
        <w:t xml:space="preserve"/>
      </w:r>
    </w:p>
    <w:p>
      <w:pPr>
        <w:spacing w:before="40" w:after="0"/>
      </w:pPr>
      <w:r>
        <w:rPr>
          <w:rFonts w:ascii="Arial" w:cs="Arial" w:eastAsia="Arial" w:hAnsi="Arial"/>
          <w:b w:val="false"/>
          <w:bCs w:val="false"/>
          <w:i w:val="false"/>
          <w:iCs w:val="false"/>
          <w:color w:val="2D3748"/>
          <w:sz w:val="20"/>
          <w:szCs w:val="20"/>
        </w:rPr>
        <w:t xml:space="preserve"/>
      </w:r>
    </w:p>
    <w:p>
      <w:pPr>
        <w:pStyle w:val="Heading3"/>
        <w:spacing w:before="160" w:after="50"/>
      </w:pPr>
      <w:r>
        <w:rPr>
          <w:rFonts w:ascii="Arial" w:cs="Arial" w:eastAsia="Arial" w:hAnsi="Arial"/>
          <w:b/>
          <w:bCs/>
          <w:i w:val="false"/>
          <w:iCs w:val="false"/>
          <w:color w:val="2D3748"/>
          <w:sz w:val="19"/>
          <w:szCs w:val="19"/>
        </w:rPr>
        <w:t xml:space="preserve">NLR — VanEck Uranium+Nuclear ETF</w:t>
      </w:r>
    </w:p>
    <w:p>
      <w:pPr>
        <w:spacing w:before="70" w:after="70"/>
        <w:jc w:val="left"/>
      </w:pPr>
      <w:r>
        <w:rPr>
          <w:rFonts w:ascii="Arial" w:cs="Arial" w:eastAsia="Arial" w:hAnsi="Arial"/>
          <w:b w:val="false"/>
          <w:bCs w:val="false"/>
          <w:i/>
          <w:iCs/>
          <w:color w:val="64748B"/>
          <w:sz w:val="16"/>
          <w:szCs w:val="16"/>
        </w:rPr>
        <w:t xml:space="preserve">Covered by: Sector Analyst — Power &amp; Energy  ·  Date: 19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4532D"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1: VERIFIED FACTS [T1/T2 ONLY]</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Three Mile Island restart: 20-year PPA with Microsoft; DOE loan support confirmed. (CEG 8-K, January 7, 2026; DOE press release)</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DOE committed $2.7 billion to domestic uranium enrichment across three providers. (DOE press release, January 2026)</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Amazon secured 1,920 MW nuclear agreement with Talen Energy through 2042. (Talen Energy and Amazon joint press release, 2025)</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NLR 52-week range: $64.26–$168.12. Current price: $136.63 — 19% below 52-week high. (VanEck fact sheet)</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713F12"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2: MANAGEMENT GUIDANCE [GUIDANCE — not independently verified revenue]</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Meta announced multi-party nuclear capacity agreements in January 2026 — these were broader multi-party arrangements supporting multiple plants and future capacity commitments. Do not reduce to a single clean MW figure; the actual arrangements are more complex than a single-number summary.</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NRC has not approved any new commercial small modular reactors (SMRs) as of March 2026. No commercial SMR has delivered power in the US. All SMR revenue projections are management guidance for post-2030 delivery at earliest.</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3: CONSENSUS / MARKET VIEW [Tier 3 snapshot — not revisions history]</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NLR holds 25+ nuclear operators and uranium miners. No single-name concentration — the ETF provides exposure to the full nuclear value chain. No 12-month price target available (ETF pricing reflects NAV, not analyst consensus).</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Nuclear sector sentiment: hyperscaler PPAs with nuclear operators have become a major institutional theme. Microsoft, Amazon, Meta, and Google have each executed or announced nuclear arrangements in 2024–2026.</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4A1D6B"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4: ANALYST JUDGMENT [House view — see valuation analyst for price targets]</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Why NLR rather than individual nuclear names: Single nuclear operators face plant-specific risk (regulatory, operational, safety). NLR's multi-name structure diversifies away the idiosyncratic risks while maintaining full exposure to the structural theme — rising demand for clean, reliable baseload power from hyperscalers.</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The price correction is a buying opportunity, not a thesis break: NLR is 19% below its 52-week high. The underlying contracts have not changed. Microsoft's TMI PPA is the same contract. Amazon's 1,920 MW agreement is the same. The correction reflects macro sentiment and sector rotation, not nuclear fundamentals.</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Key risk: A nuclear safety event at any US commercial reactor reprices the entire sector regardless of which operator is involved. This is a non-diversifiable sector risk within NLR. Position sizing should reflect this tail.</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4532D" w:val="clear"/>
            <w:tcMar>
              <w:top w:type="dxa" w:w="0"/>
              <w:left w:type="dxa" w:w="0"/>
              <w:bottom w:type="dxa" w:w="0"/>
              <w:right w:type="dxa" w:w="0"/>
            </w:tcMar>
          </w:tcPr>
          <w:p>
            <w:pPr>
              <w:spacing w:before="70" w:after="70"/>
              <w:jc w:val="left"/>
            </w:pPr>
            <w:r>
              <w:rPr>
                <w:rFonts w:ascii="Arial" w:cs="Arial" w:eastAsia="Arial" w:hAnsi="Arial"/>
                <w:b w:val="false"/>
                <w:bCs w:val="false"/>
                <w:i w:val="false"/>
                <w:iCs w:val="false"/>
                <w:color w:val="2D3748"/>
                <w:sz w:val="20"/>
                <w:szCs w:val="20"/>
              </w:rPr>
              <w:t xml:space="preserve"/>
            </w:r>
          </w:p>
        </w:tc>
        <w:tc>
          <w:tcPr>
            <w:tcW w:type="dxa" w:w="9180"/>
            <w:tcBorders>
              <w:top w:val="none" w:color="FFFFFF" w:sz="0"/>
              <w:left w:val="none" w:color="FFFFFF" w:sz="0"/>
              <w:bottom w:val="none" w:color="FFFFFF" w:sz="0"/>
              <w:right w:val="none" w:color="FFFFFF" w:sz="0"/>
            </w:tcBorders>
            <w:shd w:fill="DCFCE7" w:val="clear"/>
            <w:tcMar>
              <w:top w:type="dxa" w:w="70"/>
              <w:left w:type="dxa" w:w="130"/>
              <w:bottom w:type="dxa" w:w="70"/>
              <w:right w:type="dxa" w:w="130"/>
            </w:tcMar>
          </w:tcPr>
          <w:p>
            <w:pPr>
              <w:spacing w:before="70" w:after="70"/>
              <w:jc w:val="left"/>
            </w:pPr>
            <w:r>
              <w:rPr>
                <w:rFonts w:ascii="Arial" w:cs="Arial" w:eastAsia="Arial" w:hAnsi="Arial"/>
                <w:b/>
                <w:bCs/>
                <w:i w:val="false"/>
                <w:iCs w:val="false"/>
                <w:color w:val="14532D"/>
                <w:sz w:val="17"/>
                <w:szCs w:val="17"/>
              </w:rPr>
              <w:t xml:space="preserve">Audit: </w:t>
            </w:r>
            <w:r>
              <w:rPr>
                <w:rFonts w:ascii="Arial" w:cs="Arial" w:eastAsia="Arial" w:hAnsi="Arial"/>
                <w:b/>
                <w:bCs/>
                <w:i w:val="false"/>
                <w:iCs w:val="false"/>
                <w:color w:val="14532D"/>
                <w:sz w:val="17"/>
                <w:szCs w:val="17"/>
              </w:rPr>
              <w:t xml:space="preserve">PASS</w:t>
            </w:r>
            <w:r>
              <w:rPr>
                <w:rFonts w:ascii="Arial" w:cs="Arial" w:eastAsia="Arial" w:hAnsi="Arial"/>
                <w:b w:val="false"/>
                <w:bCs w:val="false"/>
                <w:i w:val="false"/>
                <w:iCs w:val="false"/>
                <w:color w:val="2D3748"/>
                <w:sz w:val="17"/>
                <w:szCs w:val="17"/>
              </w:rPr>
              <w:t xml:space="preserve">  NL1 T1 confirmed. NL2 correctly framed as multi-party arrangements — prior single-MW language corrected.</w:t>
            </w:r>
          </w:p>
        </w:tc>
      </w:tr>
    </w:tbl>
    <w:p>
      <w:pPr>
        <w:spacing w:before="15" w:after="55"/>
        <w:jc w:val="left"/>
      </w:pPr>
      <w:r>
        <w:rPr>
          <w:rFonts w:ascii="Arial" w:cs="Arial" w:eastAsia="Arial" w:hAnsi="Arial"/>
          <w:b w:val="false"/>
          <w:bCs w:val="false"/>
          <w:i/>
          <w:iCs/>
          <w:color w:val="64748B"/>
          <w:sz w:val="16"/>
          <w:szCs w:val="16"/>
        </w:rPr>
        <w:t xml:space="preserve">Source: CEG 8-K January 7, 2026 (T1); DOE enrichment press release January 2026 (T1); VanEck NLR fact sheet (T1)</w:t>
      </w:r>
    </w:p>
    <w:p>
      <w:pPr>
        <w:spacing w:before="80" w:after="0"/>
      </w:pPr>
      <w:r>
        <w:rPr>
          <w:rFonts w:ascii="Arial" w:cs="Arial" w:eastAsia="Arial" w:hAnsi="Arial"/>
          <w:b w:val="false"/>
          <w:bCs w:val="false"/>
          <w:i w:val="false"/>
          <w:iCs w:val="false"/>
          <w:color w:val="2D3748"/>
          <w:sz w:val="20"/>
          <w:szCs w:val="20"/>
        </w:rPr>
        <w:t xml:space="preserve"/>
      </w:r>
    </w:p>
    <w:p>
      <w:pPr>
        <w:pStyle w:val="Heading3"/>
        <w:spacing w:before="160" w:after="50"/>
      </w:pPr>
      <w:r>
        <w:rPr>
          <w:rFonts w:ascii="Arial" w:cs="Arial" w:eastAsia="Arial" w:hAnsi="Arial"/>
          <w:b/>
          <w:bCs/>
          <w:i w:val="false"/>
          <w:iCs w:val="false"/>
          <w:color w:val="2D3748"/>
          <w:sz w:val="19"/>
          <w:szCs w:val="19"/>
        </w:rPr>
        <w:t xml:space="preserve">VST — Vistra Corp</w:t>
      </w:r>
    </w:p>
    <w:p>
      <w:pPr>
        <w:spacing w:before="70" w:after="70"/>
        <w:jc w:val="left"/>
      </w:pPr>
      <w:r>
        <w:rPr>
          <w:rFonts w:ascii="Arial" w:cs="Arial" w:eastAsia="Arial" w:hAnsi="Arial"/>
          <w:b w:val="false"/>
          <w:bCs w:val="false"/>
          <w:i/>
          <w:iCs/>
          <w:color w:val="64748B"/>
          <w:sz w:val="16"/>
          <w:szCs w:val="16"/>
        </w:rPr>
        <w:t xml:space="preserve">Covered by: Sector Analyst — Power &amp; Energy  ·  Date: 19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4532D"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1: VERIFIED FACTS [T1/T2 ONLY]</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Q4/FY2025 results (February 26, 2026): FY2026 EBITDA guidance $6.8–7.6 billion, up 19–30% from 2025 guidance of $5.7–5.9B.</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Vistra operates 44,000 MW of generation capacity. Recent acquisition of 7 natural gas plants adds ~2,600 MW flexible capacity.</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[T2] Morgan Stanley issued Buy rating with $215 target on March 10, 2026, citing AI demand continuing to outpace power supply. (Yahoo Finance reporting Morgan Stanley note)</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713F12"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2: MANAGEMENT GUIDANCE [GUIDANCE — not independently verified revenue]</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Management targets free cash flow conversion of at least 60% of adjusted EBITDA by 2026.</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Vistra Vision zero-carbon assets (nuclear, solar, battery) represent management's long-term capital allocation direction.</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3: CONSENSUS / MARKET VIEW [Tier 3 snapshot — not revisions history]</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18 analyst Buy ratings, 2 Holds, 1 Sell. Median 12-month target: $234.50 (48% upside from $158.35 current price). This is the highest analyst consensus upside of any name in this portfolio. (StockAnalysis, TickerNerd, MarketBeat — three consistent T3 sources, March 2026)</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4A1D6B"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4: ANALYST JUDGMENT [House view — see valuation analyst for price targets]</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VST versus CEG — the merchant/contracted distinction is essential: CEG earns primarily contracted (PPA) revenue, making earnings more predictable. VST earns more merchant revenue, exposing earnings to wholesale electricity price volatility. In Q3 2025, VST net income fell 66.7% YoY when power prices normalised — this is not a tail scenario, it is a regular feature of merchant power markets.</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Why own VST if it has more earnings volatility? Because the analyst consensus is pricing in 48% upside over 12 months — more than any other name. If the thesis is that power prices remain elevated due to AI data centre demand structurally tightening the grid, then VST's merchant exposure is an advantage, not a risk. The question is whether you believe the structural thesis.</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The 30% pullback from 2025 highs is the entry argument. Business quality has not deteriorated — 18 analysts maintain Buy ratings. The stock has re-rated with broad energy sector weakness, not company-specific deterioration.</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4532D" w:val="clear"/>
            <w:tcMar>
              <w:top w:type="dxa" w:w="0"/>
              <w:left w:type="dxa" w:w="0"/>
              <w:bottom w:type="dxa" w:w="0"/>
              <w:right w:type="dxa" w:w="0"/>
            </w:tcMar>
          </w:tcPr>
          <w:p>
            <w:pPr>
              <w:spacing w:before="70" w:after="70"/>
              <w:jc w:val="left"/>
            </w:pPr>
            <w:r>
              <w:rPr>
                <w:rFonts w:ascii="Arial" w:cs="Arial" w:eastAsia="Arial" w:hAnsi="Arial"/>
                <w:b w:val="false"/>
                <w:bCs w:val="false"/>
                <w:i w:val="false"/>
                <w:iCs w:val="false"/>
                <w:color w:val="2D3748"/>
                <w:sz w:val="20"/>
                <w:szCs w:val="20"/>
              </w:rPr>
              <w:t xml:space="preserve"/>
            </w:r>
          </w:p>
        </w:tc>
        <w:tc>
          <w:tcPr>
            <w:tcW w:type="dxa" w:w="9180"/>
            <w:tcBorders>
              <w:top w:val="none" w:color="FFFFFF" w:sz="0"/>
              <w:left w:val="none" w:color="FFFFFF" w:sz="0"/>
              <w:bottom w:val="none" w:color="FFFFFF" w:sz="0"/>
              <w:right w:val="none" w:color="FFFFFF" w:sz="0"/>
            </w:tcBorders>
            <w:shd w:fill="DCFCE7" w:val="clear"/>
            <w:tcMar>
              <w:top w:type="dxa" w:w="70"/>
              <w:left w:type="dxa" w:w="130"/>
              <w:bottom w:type="dxa" w:w="70"/>
              <w:right w:type="dxa" w:w="130"/>
            </w:tcMar>
          </w:tcPr>
          <w:p>
            <w:pPr>
              <w:spacing w:before="70" w:after="70"/>
              <w:jc w:val="left"/>
            </w:pPr>
            <w:r>
              <w:rPr>
                <w:rFonts w:ascii="Arial" w:cs="Arial" w:eastAsia="Arial" w:hAnsi="Arial"/>
                <w:b/>
                <w:bCs/>
                <w:i w:val="false"/>
                <w:iCs w:val="false"/>
                <w:color w:val="14532D"/>
                <w:sz w:val="17"/>
                <w:szCs w:val="17"/>
              </w:rPr>
              <w:t xml:space="preserve">Audit: </w:t>
            </w:r>
            <w:r>
              <w:rPr>
                <w:rFonts w:ascii="Arial" w:cs="Arial" w:eastAsia="Arial" w:hAnsi="Arial"/>
                <w:b/>
                <w:bCs/>
                <w:i w:val="false"/>
                <w:iCs w:val="false"/>
                <w:color w:val="14532D"/>
                <w:sz w:val="17"/>
                <w:szCs w:val="17"/>
              </w:rPr>
              <w:t xml:space="preserve">PASS</w:t>
            </w:r>
            <w:r>
              <w:rPr>
                <w:rFonts w:ascii="Arial" w:cs="Arial" w:eastAsia="Arial" w:hAnsi="Arial"/>
                <w:b w:val="false"/>
                <w:bCs w:val="false"/>
                <w:i w:val="false"/>
                <w:iCs w:val="false"/>
                <w:color w:val="2D3748"/>
                <w:sz w:val="17"/>
                <w:szCs w:val="17"/>
              </w:rPr>
              <w:t xml:space="preserve">  V1 consensus confirmed from three T3 sources. V2 Morgan Stanley via T2 (Yahoo Finance). EBITDA guidance T1.</w:t>
            </w:r>
          </w:p>
        </w:tc>
      </w:tr>
    </w:tbl>
    <w:p>
      <w:pPr>
        <w:spacing w:before="15" w:after="55"/>
        <w:jc w:val="left"/>
      </w:pPr>
      <w:r>
        <w:rPr>
          <w:rFonts w:ascii="Arial" w:cs="Arial" w:eastAsia="Arial" w:hAnsi="Arial"/>
          <w:b w:val="false"/>
          <w:bCs w:val="false"/>
          <w:i/>
          <w:iCs/>
          <w:color w:val="64748B"/>
          <w:sz w:val="16"/>
          <w:szCs w:val="16"/>
        </w:rPr>
        <w:t xml:space="preserve">Source: Vistra Q4/FY2025 results, February 26, 2026 (T1); Morgan Stanley via Yahoo Finance, March 10, 2026 (T2); StockAnalysis consensus March 2026 (T3)</w:t>
      </w:r>
    </w:p>
    <w:p>
      <w:pPr>
        <w:spacing w:before="80" w:after="0"/>
      </w:pPr>
      <w:r>
        <w:rPr>
          <w:rFonts w:ascii="Arial" w:cs="Arial" w:eastAsia="Arial" w:hAnsi="Arial"/>
          <w:b w:val="false"/>
          <w:bCs w:val="false"/>
          <w:i w:val="false"/>
          <w:iCs w:val="false"/>
          <w:color w:val="2D3748"/>
          <w:sz w:val="20"/>
          <w:szCs w:val="20"/>
        </w:rPr>
        <w:t xml:space="preserve"/>
      </w:r>
    </w:p>
    <w:p>
      <w:pPr>
        <w:pStyle w:val="Heading3"/>
        <w:spacing w:before="160" w:after="50"/>
      </w:pPr>
      <w:r>
        <w:rPr>
          <w:rFonts w:ascii="Arial" w:cs="Arial" w:eastAsia="Arial" w:hAnsi="Arial"/>
          <w:b/>
          <w:bCs/>
          <w:i w:val="false"/>
          <w:iCs w:val="false"/>
          <w:color w:val="2D3748"/>
          <w:sz w:val="19"/>
          <w:szCs w:val="19"/>
        </w:rPr>
        <w:t xml:space="preserve">GEV — GE Vernova Inc.</w:t>
      </w:r>
    </w:p>
    <w:p>
      <w:pPr>
        <w:spacing w:before="70" w:after="70"/>
        <w:jc w:val="left"/>
      </w:pPr>
      <w:r>
        <w:rPr>
          <w:rFonts w:ascii="Arial" w:cs="Arial" w:eastAsia="Arial" w:hAnsi="Arial"/>
          <w:b w:val="false"/>
          <w:bCs w:val="false"/>
          <w:i/>
          <w:iCs/>
          <w:color w:val="64748B"/>
          <w:sz w:val="16"/>
          <w:szCs w:val="16"/>
        </w:rPr>
        <w:t xml:space="preserve">Covered by: Sector Analyst — Power &amp; Energy  ·  Date: 19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4532D"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1: VERIFIED FACTS [T1/T2 ONLY]</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GE Vernova named as energy leader in NVIDIA Vera Rubin DSX reference design announcement: 'GE Vernova is extending digital twin capabilities across the power stack from grid to AI factories — aligning with NVIDIA DSX reference architecture.' (NVIDIA GlobeNewswire, March 16, 2026)</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GEV all-time high of approximately $881 in early March 2026. Current price: $858.47.</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Eaton 2025 revenues were $27.4 billion — cited here as DSX ecosystem context. GEV revenues not independently confirmed at Tier 1 in this pass.</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713F12"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2: MANAGEMENT GUIDANCE [GUIDANCE — not independently verified revenue]</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GE Vernova management has described 'very large backlog growth' in Power and Electrification segments in the 2025 annual report. The '$150 billion backlog' figure cited in prior research versions should be traced to the primary transcript before being stated as exact fact — labelled GUIDANCE pending primary source confirmation. (GEV 2025 annual report — exact wording: 'very large backlog growth')</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Gas turbines described by management as bridge fuel through 2030+. IEA confirms natural gas meets approximately 40% of incremental data centre power demand through 2030 (IEA 'Energy and AI', April 2025 — T1).</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3: CONSENSUS / MARKET VIEW [Tier 3 snapshot — not revisions history]</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12-month consensus target: approximately $950–1,000 (MarketBeat, March 2026). Current price near all-time high — modest consensus upside at current levels.</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4A1D6B"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4: ANALYST JUDGMENT [House view — see valuation analyst for price targets]</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Three-segment analysis is required, not optional: GEV's Power (gas turbines), Wind, and Grid Technology segments have materially different growth rates, margins, and risk profiles. The AI infrastructure thesis applies primarily to Power (gas generation for data centres) and Grid Technology (grid modernisation driven by AI power demand). Wind is restructuring. Do not treat GEV as a homogenous 'AI power play.'</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The DSX positioning matters but is different from Eaton's: GEV's role is at the grid level — providing the power systems and digital twins that connect large-scale generation to AI factory interconnections. Eaton's role is inside the facility. Both are real; they are not equivalent.</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Valuation tension at current levels: GEV has run hard. At near-ATH prices, the thesis requires continued earnings estimate upgrades — which depend on backlog conversion, which depends on manufacturing capacity and project execution. The -5% lower bound on our 1-year range is honest: the stock could consolidate before the next leg.</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7F1D1D" w:val="clear"/>
            <w:tcMar>
              <w:top w:type="dxa" w:w="0"/>
              <w:left w:type="dxa" w:w="0"/>
              <w:bottom w:type="dxa" w:w="0"/>
              <w:right w:type="dxa" w:w="0"/>
            </w:tcMar>
          </w:tcPr>
          <w:p>
            <w:pPr>
              <w:spacing w:before="70" w:after="70"/>
              <w:jc w:val="left"/>
            </w:pPr>
            <w:r>
              <w:rPr>
                <w:rFonts w:ascii="Arial" w:cs="Arial" w:eastAsia="Arial" w:hAnsi="Arial"/>
                <w:b w:val="false"/>
                <w:bCs w:val="false"/>
                <w:i w:val="false"/>
                <w:iCs w:val="false"/>
                <w:color w:val="2D3748"/>
                <w:sz w:val="20"/>
                <w:szCs w:val="20"/>
              </w:rPr>
              <w:t xml:space="preserve"/>
            </w:r>
          </w:p>
        </w:tc>
        <w:tc>
          <w:tcPr>
            <w:tcW w:type="dxa" w:w="9180"/>
            <w:tcBorders>
              <w:top w:val="none" w:color="FFFFFF" w:sz="0"/>
              <w:left w:val="none" w:color="FFFFFF" w:sz="0"/>
              <w:bottom w:val="none" w:color="FFFFFF" w:sz="0"/>
              <w:right w:val="none" w:color="FFFFFF" w:sz="0"/>
            </w:tcBorders>
            <w:shd w:fill="FEE2E2" w:val="clear"/>
            <w:tcMar>
              <w:top w:type="dxa" w:w="70"/>
              <w:left w:type="dxa" w:w="130"/>
              <w:bottom w:type="dxa" w:w="70"/>
              <w:right w:type="dxa" w:w="130"/>
            </w:tcMar>
          </w:tcPr>
          <w:p>
            <w:pPr>
              <w:spacing w:before="70" w:after="70"/>
              <w:jc w:val="left"/>
            </w:pPr>
            <w:r>
              <w:rPr>
                <w:rFonts w:ascii="Arial" w:cs="Arial" w:eastAsia="Arial" w:hAnsi="Arial"/>
                <w:b/>
                <w:bCs/>
                <w:i w:val="false"/>
                <w:iCs w:val="false"/>
                <w:color w:val="7F1D1D"/>
                <w:sz w:val="17"/>
                <w:szCs w:val="17"/>
              </w:rPr>
              <w:t xml:space="preserve">Audit: </w:t>
            </w:r>
            <w:r>
              <w:rPr>
                <w:rFonts w:ascii="Arial" w:cs="Arial" w:eastAsia="Arial" w:hAnsi="Arial"/>
                <w:b/>
                <w:bCs/>
                <w:i w:val="false"/>
                <w:iCs w:val="false"/>
                <w:color w:val="7F1D1D"/>
                <w:sz w:val="17"/>
                <w:szCs w:val="17"/>
              </w:rPr>
              <w:t xml:space="preserve">PASS (1 CAVEAT)</w:t>
            </w:r>
            <w:r>
              <w:rPr>
                <w:rFonts w:ascii="Arial" w:cs="Arial" w:eastAsia="Arial" w:hAnsi="Arial"/>
                <w:b w:val="false"/>
                <w:bCs w:val="false"/>
                <w:i w:val="false"/>
                <w:iCs w:val="false"/>
                <w:color w:val="2D3748"/>
                <w:sz w:val="17"/>
                <w:szCs w:val="17"/>
              </w:rPr>
              <w:t xml:space="preserve">  CAVEAT G2: '$150B backlog' not confirmed at exact primary transcript level. Labelled GUIDANCE. NVIDIA DSX designation confirmed T1.</w:t>
            </w:r>
          </w:p>
        </w:tc>
      </w:tr>
    </w:tbl>
    <w:p>
      <w:pPr>
        <w:spacing w:before="15" w:after="55"/>
        <w:jc w:val="left"/>
      </w:pPr>
      <w:r>
        <w:rPr>
          <w:rFonts w:ascii="Arial" w:cs="Arial" w:eastAsia="Arial" w:hAnsi="Arial"/>
          <w:b w:val="false"/>
          <w:bCs w:val="false"/>
          <w:i/>
          <w:iCs/>
          <w:color w:val="64748B"/>
          <w:sz w:val="16"/>
          <w:szCs w:val="16"/>
        </w:rPr>
        <w:t xml:space="preserve">Source: NVIDIA GlobeNewswire March 16, 2026 (T1); GE Vernova 2025 annual report/FY2025 results (T1, January 2026); IEA 'Energy and AI' April 2025 (T1)</w:t>
      </w:r>
    </w:p>
    <w:p>
      <w:pPr>
        <w:spacing w:before="80" w:after="0"/>
      </w:pPr>
      <w:r>
        <w:rPr>
          <w:rFonts w:ascii="Arial" w:cs="Arial" w:eastAsia="Arial" w:hAnsi="Arial"/>
          <w:b w:val="false"/>
          <w:bCs w:val="false"/>
          <w:i w:val="false"/>
          <w:iCs w:val="false"/>
          <w:color w:val="2D3748"/>
          <w:sz w:val="20"/>
          <w:szCs w:val="20"/>
        </w:rPr>
        <w:t xml:space="preserve"/>
      </w:r>
    </w:p>
    <w:p>
      <w:pPr>
        <w:spacing w:before="60" w:after="0"/>
      </w:pPr>
      <w:r>
        <w:rPr>
          <w:rFonts w:ascii="Arial" w:cs="Arial" w:eastAsia="Arial" w:hAnsi="Arial"/>
          <w:b w:val="false"/>
          <w:bCs w:val="false"/>
          <w:i w:val="false"/>
          <w:iCs w:val="false"/>
          <w:color w:val="2D3748"/>
          <w:sz w:val="20"/>
          <w:szCs w:val="20"/>
        </w:rPr>
        <w:t xml:space="preserve"/>
      </w:r>
      <w:r>
        <w:br w:type="page"/>
      </w:r>
    </w:p>
    <w:p>
      <w:pPr>
        <w:spacing w:before="100" w:after="0"/>
      </w:pPr>
      <w:r>
        <w:rPr>
          <w:rFonts w:ascii="Arial" w:cs="Arial" w:eastAsia="Arial" w:hAnsi="Arial"/>
          <w:b w:val="false"/>
          <w:bCs w:val="false"/>
          <w:i w:val="false"/>
          <w:iCs w:val="false"/>
          <w:color w:val="2D3748"/>
          <w:sz w:val="20"/>
          <w:szCs w:val="20"/>
        </w:rPr>
        <w:t xml:space="preserve"/>
      </w:r>
    </w:p>
    <w:p>
      <w:pPr>
        <w:pBdr>
          <w:top w:val="single" w:color="14532D" w:sz="4" w:space="8"/>
          <w:bottom w:val="single" w:color="14532D" w:sz="12" w:space="8"/>
        </w:pBdr>
        <w:spacing w:before="0" w:after="60"/>
      </w:pPr>
      <w:r>
        <w:rPr>
          <w:rFonts w:ascii="Arial" w:cs="Arial" w:eastAsia="Arial" w:hAnsi="Arial"/>
          <w:b/>
          <w:bCs/>
          <w:i w:val="false"/>
          <w:iCs w:val="false"/>
          <w:color w:val="64748B"/>
          <w:sz w:val="22"/>
          <w:szCs w:val="22"/>
        </w:rPr>
        <w:t xml:space="preserve">STAGE 2  ·  </w:t>
      </w:r>
      <w:r>
        <w:rPr>
          <w:rFonts w:ascii="Arial" w:cs="Arial" w:eastAsia="Arial" w:hAnsi="Arial"/>
          <w:b/>
          <w:bCs/>
          <w:i w:val="false"/>
          <w:iCs w:val="false"/>
          <w:color w:val="14532D"/>
          <w:sz w:val="26"/>
          <w:szCs w:val="26"/>
        </w:rPr>
        <w:t xml:space="preserve">INFRASTRUCTURE ANALYST</w:t>
      </w:r>
      <w:r>
        <w:rPr>
          <w:rFonts w:ascii="Arial" w:cs="Arial" w:eastAsia="Arial" w:hAnsi="Arial"/>
          <w:b w:val="false"/>
          <w:bCs w:val="false"/>
          <w:i w:val="false"/>
          <w:iCs w:val="false"/>
          <w:color w:val="64748B"/>
          <w:sz w:val="18"/>
          <w:szCs w:val="18"/>
        </w:rPr>
        <w:t xml:space="preserve">  ·  sector-analyst-infrastructure</w:t>
      </w:r>
    </w:p>
    <w:p>
      <w:pPr>
        <w:spacing w:before="60" w:after="0"/>
      </w:pPr>
      <w:r>
        <w:rPr>
          <w:rFonts w:ascii="Arial" w:cs="Arial" w:eastAsia="Arial" w:hAnsi="Arial"/>
          <w:b w:val="false"/>
          <w:bCs w:val="false"/>
          <w:i w:val="false"/>
          <w:iCs w:val="false"/>
          <w:color w:val="2D3748"/>
          <w:sz w:val="20"/>
          <w:szCs w:val="20"/>
        </w:rPr>
        <w:t xml:space="preserve"/>
      </w:r>
    </w:p>
    <w:p>
      <w:pPr>
        <w:spacing w:before="60" w:after="60"/>
        <w:jc w:val="left"/>
      </w:pPr>
      <w:r>
        <w:rPr>
          <w:rFonts w:ascii="Arial" w:cs="Arial" w:eastAsia="Arial" w:hAnsi="Arial"/>
          <w:b w:val="false"/>
          <w:bCs w:val="false"/>
          <w:i w:val="false"/>
          <w:iCs w:val="false"/>
          <w:color w:val="2D3748"/>
          <w:sz w:val="19"/>
          <w:szCs w:val="19"/>
        </w:rPr>
        <w:t xml:space="preserve">Coverage: PWR, ETN, HUBB, APH, FIX, FCX, BHP.ASX, NXT.ASX. Four-box structure. No price targets. Key language fix this version: Eaton is one of 13 DSX contributors, not the 'official power partner'.</w:t>
      </w:r>
    </w:p>
    <w:p>
      <w:pPr>
        <w:pBdr>
          <w:bottom w:val="single" w:color="14532D" w:sz="4" w:space="1"/>
        </w:pBdr>
        <w:spacing w:before="110" w:after="110"/>
      </w:pPr>
      <w:r>
        <w:rPr>
          <w:rFonts w:ascii="Arial" w:cs="Arial" w:eastAsia="Arial" w:hAnsi="Arial"/>
          <w:b w:val="false"/>
          <w:bCs w:val="false"/>
          <w:i w:val="false"/>
          <w:iCs w:val="false"/>
          <w:color w:val="2D3748"/>
          <w:sz w:val="4"/>
          <w:szCs w:val="4"/>
        </w:rPr>
        <w:t xml:space="preserve"/>
      </w:r>
    </w:p>
    <w:p>
      <w:pPr>
        <w:spacing w:before="40" w:after="0"/>
      </w:pPr>
      <w:r>
        <w:rPr>
          <w:rFonts w:ascii="Arial" w:cs="Arial" w:eastAsia="Arial" w:hAnsi="Arial"/>
          <w:b w:val="false"/>
          <w:bCs w:val="false"/>
          <w:i w:val="false"/>
          <w:iCs w:val="false"/>
          <w:color w:val="2D3748"/>
          <w:sz w:val="20"/>
          <w:szCs w:val="20"/>
        </w:rPr>
        <w:t xml:space="preserve"/>
      </w:r>
    </w:p>
    <w:p>
      <w:pPr>
        <w:pStyle w:val="Heading3"/>
        <w:spacing w:before="160" w:after="50"/>
      </w:pPr>
      <w:r>
        <w:rPr>
          <w:rFonts w:ascii="Arial" w:cs="Arial" w:eastAsia="Arial" w:hAnsi="Arial"/>
          <w:b/>
          <w:bCs/>
          <w:i w:val="false"/>
          <w:iCs w:val="false"/>
          <w:color w:val="2D3748"/>
          <w:sz w:val="19"/>
          <w:szCs w:val="19"/>
        </w:rPr>
        <w:t xml:space="preserve">ETN — Eaton Corporation PLC</w:t>
      </w:r>
    </w:p>
    <w:p>
      <w:pPr>
        <w:spacing w:before="70" w:after="70"/>
        <w:jc w:val="left"/>
      </w:pPr>
      <w:r>
        <w:rPr>
          <w:rFonts w:ascii="Arial" w:cs="Arial" w:eastAsia="Arial" w:hAnsi="Arial"/>
          <w:b w:val="false"/>
          <w:bCs w:val="false"/>
          <w:i/>
          <w:iCs/>
          <w:color w:val="64748B"/>
          <w:sz w:val="16"/>
          <w:szCs w:val="16"/>
        </w:rPr>
        <w:t xml:space="preserve">Covered by: Sector Analyst — Infrastructure, Materials &amp; Build-out  ·  Date: 19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4532D"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1: VERIFIED FACTS [T1/T2 ONLY]</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Eaton named as one of 13 ecosystem contributors to the NVIDIA Vera Rubin DSX AI Factory reference design. Exact NVIDIA source language: 'Eaton, Schneider Electric, Siemens, Trane Technologies and Vertiv are providing SimReady assets of their generators, electrical equipment and cooling systems to DSX design and engineering companies.' (NVIDIA GlobeNewswire, March 16, 2026)</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Eaton released its own Beam Rubin DSX platform simultaneously: 'The Eaton grid-to-chip architecture, integrated with the NVIDIA Vera Rubin DSX AI Factory reference design and the NVIDIA Omniverse DSX blueprint designs, enables modular scalability for fast global AI factory build outs.' (Eaton BusinessWire, March 16, 2026)</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Eaton 2025 revenues: $27.4 billion across 180 countries. (Eaton BusinessWire, March 16, 2026)</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Eaton completed acquisition of Boyd Thermal (liquid cooling) in March 2026. (Eaton press release, March 12, 2026)</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713F12"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2: MANAGEMENT GUIDANCE [GUIDANCE — not independently verified revenue]</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Eaton aims to 'compress AI factory buildout timelines from years to months' through the Beam Rubin DSX platform — management target, not a contractually delivered result.</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The Beam Rubin DSX platform targets scalability from megawatts to hundreds of megawatts — management positioning for the hyperscale build market.</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3: CONSENSUS / MARKET VIEW [Tier 3 snapshot — not revisions history]</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12-month consensus target: $420–450 (MarketBeat/StockAnalysis, March 2026). Current price: $363.95. Upside: 15–24%.</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4A1D6B"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4: ANALYST JUDGMENT [House view — see valuation analyst for price targets]</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The corrected Eaton framing: Eaton is one of five named power and cooling contributors to the DSX ecosystem (alongside Schneider Electric, Siemens, Trane Technologies, and Vertiv). The prior research version called Eaton the 'official integrated power partner' — this was an overstatement. The Nvidia and Eaton primary sources say 'contributor' and 'integrated with'. This is still commercially meaningful — it means every AI factory builder using the DSX reference design will evaluate Eaton's hardware — but it is not an exclusive position.</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The differentiation within the five: Eaton's 800 VDC power infrastructure specification and grid-to-chip architecture scope is genuinely differentiated from cooling-focused competitors like Trane. The Boyd Thermal acquisition brings liquid cooling into the Eaton stack — creating a more complete product offering. But Vertiv is also building a competing integrated Rubin DSX product. This is a competitive market within the reference design.</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Overlooked quality signal: Eaton's global scale ($27.4B revenues, 180 countries) means the AI infrastructure revenue is additive to an already-resilient industrial base. AI exposure is approximately 30–40% of total revenue — providing upside without single-theme concentration.</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4532D" w:val="clear"/>
            <w:tcMar>
              <w:top w:type="dxa" w:w="0"/>
              <w:left w:type="dxa" w:w="0"/>
              <w:bottom w:type="dxa" w:w="0"/>
              <w:right w:type="dxa" w:w="0"/>
            </w:tcMar>
          </w:tcPr>
          <w:p>
            <w:pPr>
              <w:spacing w:before="70" w:after="70"/>
              <w:jc w:val="left"/>
            </w:pPr>
            <w:r>
              <w:rPr>
                <w:rFonts w:ascii="Arial" w:cs="Arial" w:eastAsia="Arial" w:hAnsi="Arial"/>
                <w:b w:val="false"/>
                <w:bCs w:val="false"/>
                <w:i w:val="false"/>
                <w:iCs w:val="false"/>
                <w:color w:val="2D3748"/>
                <w:sz w:val="20"/>
                <w:szCs w:val="20"/>
              </w:rPr>
              <w:t xml:space="preserve"/>
            </w:r>
          </w:p>
        </w:tc>
        <w:tc>
          <w:tcPr>
            <w:tcW w:type="dxa" w:w="9180"/>
            <w:tcBorders>
              <w:top w:val="none" w:color="FFFFFF" w:sz="0"/>
              <w:left w:val="none" w:color="FFFFFF" w:sz="0"/>
              <w:bottom w:val="none" w:color="FFFFFF" w:sz="0"/>
              <w:right w:val="none" w:color="FFFFFF" w:sz="0"/>
            </w:tcBorders>
            <w:shd w:fill="DCFCE7" w:val="clear"/>
            <w:tcMar>
              <w:top w:type="dxa" w:w="70"/>
              <w:left w:type="dxa" w:w="130"/>
              <w:bottom w:type="dxa" w:w="70"/>
              <w:right w:type="dxa" w:w="130"/>
            </w:tcMar>
          </w:tcPr>
          <w:p>
            <w:pPr>
              <w:spacing w:before="70" w:after="70"/>
              <w:jc w:val="left"/>
            </w:pPr>
            <w:r>
              <w:rPr>
                <w:rFonts w:ascii="Arial" w:cs="Arial" w:eastAsia="Arial" w:hAnsi="Arial"/>
                <w:b/>
                <w:bCs/>
                <w:i w:val="false"/>
                <w:iCs w:val="false"/>
                <w:color w:val="14532D"/>
                <w:sz w:val="17"/>
                <w:szCs w:val="17"/>
              </w:rPr>
              <w:t xml:space="preserve">Audit: </w:t>
            </w:r>
            <w:r>
              <w:rPr>
                <w:rFonts w:ascii="Arial" w:cs="Arial" w:eastAsia="Arial" w:hAnsi="Arial"/>
                <w:b/>
                <w:bCs/>
                <w:i w:val="false"/>
                <w:iCs w:val="false"/>
                <w:color w:val="14532D"/>
                <w:sz w:val="17"/>
                <w:szCs w:val="17"/>
              </w:rPr>
              <w:t xml:space="preserve">PASS</w:t>
            </w:r>
            <w:r>
              <w:rPr>
                <w:rFonts w:ascii="Arial" w:cs="Arial" w:eastAsia="Arial" w:hAnsi="Arial"/>
                <w:b w:val="false"/>
                <w:bCs w:val="false"/>
                <w:i w:val="false"/>
                <w:iCs w:val="false"/>
                <w:color w:val="2D3748"/>
                <w:sz w:val="17"/>
                <w:szCs w:val="17"/>
              </w:rPr>
              <w:t xml:space="preserve">  E1 confirmed at T1 (both primary sources). Language corrected from prior overstatement.</w:t>
            </w:r>
          </w:p>
        </w:tc>
      </w:tr>
    </w:tbl>
    <w:p>
      <w:pPr>
        <w:spacing w:before="15" w:after="55"/>
        <w:jc w:val="left"/>
      </w:pPr>
      <w:r>
        <w:rPr>
          <w:rFonts w:ascii="Arial" w:cs="Arial" w:eastAsia="Arial" w:hAnsi="Arial"/>
          <w:b w:val="false"/>
          <w:bCs w:val="false"/>
          <w:i/>
          <w:iCs/>
          <w:color w:val="64748B"/>
          <w:sz w:val="16"/>
          <w:szCs w:val="16"/>
        </w:rPr>
        <w:t xml:space="preserve">Source: NVIDIA GlobeNewswire March 16, 2026 (T1); Eaton BusinessWire March 16, 2026 (T1); Eaton Boyd Thermal press release March 12, 2026 (T1)</w:t>
      </w:r>
    </w:p>
    <w:p>
      <w:pPr>
        <w:spacing w:before="80" w:after="0"/>
      </w:pPr>
      <w:r>
        <w:rPr>
          <w:rFonts w:ascii="Arial" w:cs="Arial" w:eastAsia="Arial" w:hAnsi="Arial"/>
          <w:b w:val="false"/>
          <w:bCs w:val="false"/>
          <w:i w:val="false"/>
          <w:iCs w:val="false"/>
          <w:color w:val="2D3748"/>
          <w:sz w:val="20"/>
          <w:szCs w:val="20"/>
        </w:rPr>
        <w:t xml:space="preserve"/>
      </w:r>
    </w:p>
    <w:p>
      <w:pPr>
        <w:pStyle w:val="Heading3"/>
        <w:spacing w:before="160" w:after="50"/>
      </w:pPr>
      <w:r>
        <w:rPr>
          <w:rFonts w:ascii="Arial" w:cs="Arial" w:eastAsia="Arial" w:hAnsi="Arial"/>
          <w:b/>
          <w:bCs/>
          <w:i w:val="false"/>
          <w:iCs w:val="false"/>
          <w:color w:val="2D3748"/>
          <w:sz w:val="19"/>
          <w:szCs w:val="19"/>
        </w:rPr>
        <w:t xml:space="preserve">FIX — Comfort Systems USA Inc.</w:t>
      </w:r>
    </w:p>
    <w:p>
      <w:pPr>
        <w:spacing w:before="70" w:after="70"/>
        <w:jc w:val="left"/>
      </w:pPr>
      <w:r>
        <w:rPr>
          <w:rFonts w:ascii="Arial" w:cs="Arial" w:eastAsia="Arial" w:hAnsi="Arial"/>
          <w:b w:val="false"/>
          <w:bCs w:val="false"/>
          <w:i/>
          <w:iCs/>
          <w:color w:val="64748B"/>
          <w:sz w:val="16"/>
          <w:szCs w:val="16"/>
        </w:rPr>
        <w:t xml:space="preserve">Covered by: Sector Analyst — Infrastructure, Materials &amp; Build-out  ·  Date: 19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4532D"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1: VERIFIED FACTS [T1/T2 ONLY]</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Q4 2025 EPS: $9.37 vs. consensus estimate $6.755 — a 39% beat, the largest in this portfolio. Revenue approximately $2.6 billion, up 42% YoY. Backlog: $11.9 billion (record). (Comfort Systems USA Q4 2025 earnings release, February 20, 2026)</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[T2] DA Davidson raised price target to $1,800 following Q4 results. Analyst consensus target approximately $1,378–1,696 (TipRanks, Simply Wall St, March 2026)</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713F12"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2: MANAGEMENT GUIDANCE [GUIDANCE — not independently verified revenue]</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CEO Brian Lane stated in Q4 2025 earnings call that technology projects represented approximately 45% of revenue in FY2025, up from 33% the prior year. This is earnings call management commentary per TIKR analysis. The exact primary transcript has not been independently verified in this research pass — this figure is labelled [GUIDANCE] throughout and should be confirmed against the primary transcript before being cited as a reportable fact.</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Modular prefabrication capacity expanding 30% in 2026. (Management commentary, Q4 earnings call)</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3: CONSENSUS / MARKET VIEW [Tier 3 snapshot — not revisions history]</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12-month consensus target: $1,378–1,696 (wide range reflects rapidly changing fundamentals and different analyst assumptions about data centre construction duration). Current price approximately $1,380. Stock is approximately 25% below the Simply Wall St intrinsic value estimate.</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4A1D6B"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4: ANALYST JUDGMENT [House view — see valuation analyst for price targets]</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The overlooked insight: Comfort Systems installs mechanical, electrical, HVAC, and plumbing systems inside AI data centres. A GPU cluster without thermal management and power distribution is not operable. FIX is invisible in most AI infrastructure investment conversations — which is precisely why the stock still offers a meaningful discount to analyst targets despite a 107% 12-month return.</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The earnings beat is the real signal: a 39% EPS beat on $9.37 vs. $6.76 estimated is not a rounding error. It reflects that the market's model for Comfort Systems was materially wrong about margins, revenue mix, and the pace of data centre project execution. That magnitude of surprise suggests the consensus is still too conservative.</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Key risk is also the key thesis: the 45% technology revenue concentration (management commentary) means FIX is directly exposed to any slowdown in hyperscaler data centre build. A 2-quarter capex pause by the top-3 hyperscalers would visibly affect backlog conversion speed. The backlog of $11.9B is real — but backlog-to-revenue conversion depends on project timing.</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7F1D1D" w:val="clear"/>
            <w:tcMar>
              <w:top w:type="dxa" w:w="0"/>
              <w:left w:type="dxa" w:w="0"/>
              <w:bottom w:type="dxa" w:w="0"/>
              <w:right w:type="dxa" w:w="0"/>
            </w:tcMar>
          </w:tcPr>
          <w:p>
            <w:pPr>
              <w:spacing w:before="70" w:after="70"/>
              <w:jc w:val="left"/>
            </w:pPr>
            <w:r>
              <w:rPr>
                <w:rFonts w:ascii="Arial" w:cs="Arial" w:eastAsia="Arial" w:hAnsi="Arial"/>
                <w:b w:val="false"/>
                <w:bCs w:val="false"/>
                <w:i w:val="false"/>
                <w:iCs w:val="false"/>
                <w:color w:val="2D3748"/>
                <w:sz w:val="20"/>
                <w:szCs w:val="20"/>
              </w:rPr>
              <w:t xml:space="preserve"/>
            </w:r>
          </w:p>
        </w:tc>
        <w:tc>
          <w:tcPr>
            <w:tcW w:type="dxa" w:w="9180"/>
            <w:tcBorders>
              <w:top w:val="none" w:color="FFFFFF" w:sz="0"/>
              <w:left w:val="none" w:color="FFFFFF" w:sz="0"/>
              <w:bottom w:val="none" w:color="FFFFFF" w:sz="0"/>
              <w:right w:val="none" w:color="FFFFFF" w:sz="0"/>
            </w:tcBorders>
            <w:shd w:fill="FEE2E2" w:val="clear"/>
            <w:tcMar>
              <w:top w:type="dxa" w:w="70"/>
              <w:left w:type="dxa" w:w="130"/>
              <w:bottom w:type="dxa" w:w="70"/>
              <w:right w:type="dxa" w:w="130"/>
            </w:tcMar>
          </w:tcPr>
          <w:p>
            <w:pPr>
              <w:spacing w:before="70" w:after="70"/>
              <w:jc w:val="left"/>
            </w:pPr>
            <w:r>
              <w:rPr>
                <w:rFonts w:ascii="Arial" w:cs="Arial" w:eastAsia="Arial" w:hAnsi="Arial"/>
                <w:b/>
                <w:bCs/>
                <w:i w:val="false"/>
                <w:iCs w:val="false"/>
                <w:color w:val="7F1D1D"/>
                <w:sz w:val="17"/>
                <w:szCs w:val="17"/>
              </w:rPr>
              <w:t xml:space="preserve">Audit: </w:t>
            </w:r>
            <w:r>
              <w:rPr>
                <w:rFonts w:ascii="Arial" w:cs="Arial" w:eastAsia="Arial" w:hAnsi="Arial"/>
                <w:b/>
                <w:bCs/>
                <w:i w:val="false"/>
                <w:iCs w:val="false"/>
                <w:color w:val="7F1D1D"/>
                <w:sz w:val="17"/>
                <w:szCs w:val="17"/>
              </w:rPr>
              <w:t xml:space="preserve">PASS (1 CAVEAT)</w:t>
            </w:r>
            <w:r>
              <w:rPr>
                <w:rFonts w:ascii="Arial" w:cs="Arial" w:eastAsia="Arial" w:hAnsi="Arial"/>
                <w:b w:val="false"/>
                <w:bCs w:val="false"/>
                <w:i w:val="false"/>
                <w:iCs w:val="false"/>
                <w:color w:val="2D3748"/>
                <w:sz w:val="17"/>
                <w:szCs w:val="17"/>
              </w:rPr>
              <w:t xml:space="preserve">  FX1 Q4 results confirmed T1. FX2 CAVEAT: '45% technology revenue' is management commentary — labelled GUIDANCE.</w:t>
            </w:r>
          </w:p>
        </w:tc>
      </w:tr>
    </w:tbl>
    <w:p>
      <w:pPr>
        <w:spacing w:before="15" w:after="55"/>
        <w:jc w:val="left"/>
      </w:pPr>
      <w:r>
        <w:rPr>
          <w:rFonts w:ascii="Arial" w:cs="Arial" w:eastAsia="Arial" w:hAnsi="Arial"/>
          <w:b w:val="false"/>
          <w:bCs w:val="false"/>
          <w:i/>
          <w:iCs/>
          <w:color w:val="64748B"/>
          <w:sz w:val="16"/>
          <w:szCs w:val="16"/>
        </w:rPr>
        <w:t xml:space="preserve">Source: Comfort Systems USA Q4 2025 earnings, February 20, 2026 (T1); DA Davidson target via TipRanks (T3); TIKR analysis (T2)</w:t>
      </w:r>
    </w:p>
    <w:p>
      <w:pPr>
        <w:spacing w:before="80" w:after="0"/>
      </w:pPr>
      <w:r>
        <w:rPr>
          <w:rFonts w:ascii="Arial" w:cs="Arial" w:eastAsia="Arial" w:hAnsi="Arial"/>
          <w:b w:val="false"/>
          <w:bCs w:val="false"/>
          <w:i w:val="false"/>
          <w:iCs w:val="false"/>
          <w:color w:val="2D3748"/>
          <w:sz w:val="20"/>
          <w:szCs w:val="20"/>
        </w:rPr>
        <w:t xml:space="preserve"/>
      </w:r>
    </w:p>
    <w:p>
      <w:pPr>
        <w:pStyle w:val="Heading3"/>
        <w:spacing w:before="160" w:after="50"/>
      </w:pPr>
      <w:r>
        <w:rPr>
          <w:rFonts w:ascii="Arial" w:cs="Arial" w:eastAsia="Arial" w:hAnsi="Arial"/>
          <w:b/>
          <w:bCs/>
          <w:i w:val="false"/>
          <w:iCs w:val="false"/>
          <w:color w:val="2D3748"/>
          <w:sz w:val="19"/>
          <w:szCs w:val="19"/>
        </w:rPr>
        <w:t xml:space="preserve">NXT.ASX — NextDC Limited</w:t>
      </w:r>
    </w:p>
    <w:p>
      <w:pPr>
        <w:spacing w:before="70" w:after="70"/>
        <w:jc w:val="left"/>
      </w:pPr>
      <w:r>
        <w:rPr>
          <w:rFonts w:ascii="Arial" w:cs="Arial" w:eastAsia="Arial" w:hAnsi="Arial"/>
          <w:b w:val="false"/>
          <w:bCs w:val="false"/>
          <w:i/>
          <w:iCs/>
          <w:color w:val="64748B"/>
          <w:sz w:val="16"/>
          <w:szCs w:val="16"/>
        </w:rPr>
        <w:t xml:space="preserve">Covered by: Sector Analyst — Infrastructure, Materials &amp; Build-out  ·  Date: 19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4532D"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1: VERIFIED FACTS [T1/T2 ONLY]</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1HFY26 ASX announcement (February 26, 2026 — Tier 1 ASX legal disclosure): Contracted utilisation 416.6 MW (+137% YoY). Forward order book 296.8 MW. Revenue A$231.8M (+13% YoY). Net loss A$39.4M (expected at this stage of expansion).</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OpenAI partnership for sovereign Australian AI infrastructure announced via ASX release, January 2026.</w:t>
            </w:r>
          </w:p>
        </w:tc>
      </w:tr>
      <w:tr>
        <w:tc>
          <w:tcPr>
            <w:tcW w:type="dxa" w:w="93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[T1] FY26 capex guidance raised to A$2.4–2.7 billion.</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713F12"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2: MANAGEMENT GUIDANCE [GUIDANCE — not independently verified revenue]</w:t>
            </w:r>
          </w:p>
        </w:tc>
      </w:tr>
      <w:tr>
        <w:tc>
          <w:tcPr>
            <w:tcW w:type="dxa" w:w="936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[GUIDANCE] Management framing: the cash burn of the expansion phase is constructing the capacity that will generate 15+ years of recurring revenue. This is the standard data centre economics argument — high upfront capex, long-duration recurring EBITDA.</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3: CONSENSUS / MARKET VIEW [Tier 3 snapshot — not revisions history]</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14 analyst Strong Buy consensus. 12-month target: A$20.40–21.44 (TipRanks/Fintel, March 2026). Current price: A$13.24. Upside: 51–62%.</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This is the largest gap between current price and consensus target of any name in this portfolio. The gap exists because the market is discounting the present value of future recurring revenue at a higher rate due to current losses and rate sensitivity.</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4A1D6B" w:val="clear"/>
            <w:tcMar>
              <w:top w:type="dxa" w:w="80"/>
              <w:left w:type="dxa" w:w="120"/>
              <w:bottom w:type="dxa" w:w="80"/>
              <w:right w:type="dxa" w:w="120"/>
            </w:tcMar>
          </w:tcPr>
          <w:p>
            <w:pPr>
              <w:spacing w:before="70" w:after="70"/>
              <w:jc w:val="left"/>
            </w:pPr>
            <w:r>
              <w:rPr>
                <w:rFonts w:ascii="Arial" w:cs="Arial" w:eastAsia="Arial" w:hAnsi="Arial"/>
                <w:b/>
                <w:bCs/>
                <w:i w:val="false"/>
                <w:iCs w:val="false"/>
                <w:color w:val="FFFFFF"/>
                <w:sz w:val="17"/>
                <w:szCs w:val="17"/>
              </w:rPr>
              <w:t xml:space="preserve">BOX 4: ANALYST JUDGMENT [House view — see valuation analyst for price targets]</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Why the gap exists and whether it closes: NXT is still loss-making (A$39.4M net loss 1HFY26). The equity story requires investors to look through the loss phase to the recurring EBITDA once facilities are contracted and operational. The forward order book of 296.8 MW is real signed business — but it is future revenue, not current earnings. Equity investors who need near-term earnings support will continue to discount this.</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Australian investor advantage: AUD denomination eliminates currency risk for Australian-based investors. ASX listing creates legal disclosure obligations that provide some of the strongest Tier 1 data quality in this portfolio — NextDC must disclose material information via ASX announcements, and the 1HFY26 figures are legally disclosed primary data.</w:t>
            </w:r>
          </w:p>
        </w:tc>
      </w:tr>
      <w:tr>
        <w:tc>
          <w:tcPr>
            <w:tcW w:type="dxa" w:w="9360"/>
            <w:tcBorders>
              <w:top w:val="single" w:color="CBD5E1" w:sz="1"/>
              <w:left w:val="single" w:color="CBD5E1" w:sz="1"/>
              <w:bottom w:val="single" w:color="CBD5E1" w:sz="1"/>
              <w:right w:val="single" w:color="CBD5E1" w:sz="1"/>
            </w:tcBorders>
            <w:shd w:fill="F3E8FF" w:val="clear"/>
            <w:tcMar>
              <w:top w:type="dxa" w:w="80"/>
              <w:left w:type="dxa" w:w="140"/>
              <w:bottom w:type="dxa" w:w="80"/>
              <w:right w:type="dxa" w:w="140"/>
            </w:tcMar>
          </w:tcPr>
          <w:p>
            <w:pPr>
              <w:spacing w:before="30" w:after="30"/>
              <w:jc w:val="left"/>
            </w:pPr>
            <w:r>
              <w:rPr>
                <w:rFonts w:ascii="Arial" w:cs="Arial" w:eastAsia="Arial" w:hAnsi="Arial"/>
                <w:b w:val="false"/>
                <w:bCs w:val="false"/>
                <w:i w:val="false"/>
                <w:iCs w:val="false"/>
                <w:color w:val="2D3748"/>
                <w:sz w:val="18"/>
                <w:szCs w:val="18"/>
              </w:rPr>
              <w:t xml:space="preserve">Interest rate sensitivity: NextDC's business model borrows at long durations to build facilities that generate long-duration returns. A sustained rise in the Australian or global long-term rate environment compresses the NPV of those future returns and raises the cost of the debt that funds construction. This is the primary non-thesis risk.</w:t>
            </w:r>
          </w:p>
        </w:tc>
      </w:tr>
    </w:tbl>
    <w:p>
      <w:pPr>
        <w:spacing w:before="5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4532D" w:val="clear"/>
            <w:tcMar>
              <w:top w:type="dxa" w:w="0"/>
              <w:left w:type="dxa" w:w="0"/>
              <w:bottom w:type="dxa" w:w="0"/>
              <w:right w:type="dxa" w:w="0"/>
            </w:tcMar>
          </w:tcPr>
          <w:p>
            <w:pPr>
              <w:spacing w:before="70" w:after="70"/>
              <w:jc w:val="left"/>
            </w:pPr>
            <w:r>
              <w:rPr>
                <w:rFonts w:ascii="Arial" w:cs="Arial" w:eastAsia="Arial" w:hAnsi="Arial"/>
                <w:b w:val="false"/>
                <w:bCs w:val="false"/>
                <w:i w:val="false"/>
                <w:iCs w:val="false"/>
                <w:color w:val="2D3748"/>
                <w:sz w:val="20"/>
                <w:szCs w:val="20"/>
              </w:rPr>
              <w:t xml:space="preserve"/>
            </w:r>
          </w:p>
        </w:tc>
        <w:tc>
          <w:tcPr>
            <w:tcW w:type="dxa" w:w="9180"/>
            <w:tcBorders>
              <w:top w:val="none" w:color="FFFFFF" w:sz="0"/>
              <w:left w:val="none" w:color="FFFFFF" w:sz="0"/>
              <w:bottom w:val="none" w:color="FFFFFF" w:sz="0"/>
              <w:right w:val="none" w:color="FFFFFF" w:sz="0"/>
            </w:tcBorders>
            <w:shd w:fill="DCFCE7" w:val="clear"/>
            <w:tcMar>
              <w:top w:type="dxa" w:w="70"/>
              <w:left w:type="dxa" w:w="130"/>
              <w:bottom w:type="dxa" w:w="70"/>
              <w:right w:type="dxa" w:w="130"/>
            </w:tcMar>
          </w:tcPr>
          <w:p>
            <w:pPr>
              <w:spacing w:before="70" w:after="70"/>
              <w:jc w:val="left"/>
            </w:pPr>
            <w:r>
              <w:rPr>
                <w:rFonts w:ascii="Arial" w:cs="Arial" w:eastAsia="Arial" w:hAnsi="Arial"/>
                <w:b/>
                <w:bCs/>
                <w:i w:val="false"/>
                <w:iCs w:val="false"/>
                <w:color w:val="14532D"/>
                <w:sz w:val="17"/>
                <w:szCs w:val="17"/>
              </w:rPr>
              <w:t xml:space="preserve">Audit: </w:t>
            </w:r>
            <w:r>
              <w:rPr>
                <w:rFonts w:ascii="Arial" w:cs="Arial" w:eastAsia="Arial" w:hAnsi="Arial"/>
                <w:b/>
                <w:bCs/>
                <w:i w:val="false"/>
                <w:iCs w:val="false"/>
                <w:color w:val="14532D"/>
                <w:sz w:val="17"/>
                <w:szCs w:val="17"/>
              </w:rPr>
              <w:t xml:space="preserve">PASS</w:t>
            </w:r>
            <w:r>
              <w:rPr>
                <w:rFonts w:ascii="Arial" w:cs="Arial" w:eastAsia="Arial" w:hAnsi="Arial"/>
                <w:b w:val="false"/>
                <w:bCs w:val="false"/>
                <w:i w:val="false"/>
                <w:iCs w:val="false"/>
                <w:color w:val="2D3748"/>
                <w:sz w:val="17"/>
                <w:szCs w:val="17"/>
              </w:rPr>
              <w:t xml:space="preserve">  NX1 T1 (ASX legal disclosure). NX2 T1 (ASX release). No CAVEAT claims for this stock.</w:t>
            </w:r>
          </w:p>
        </w:tc>
      </w:tr>
    </w:tbl>
    <w:p>
      <w:pPr>
        <w:spacing w:before="15" w:after="55"/>
        <w:jc w:val="left"/>
      </w:pPr>
      <w:r>
        <w:rPr>
          <w:rFonts w:ascii="Arial" w:cs="Arial" w:eastAsia="Arial" w:hAnsi="Arial"/>
          <w:b w:val="false"/>
          <w:bCs w:val="false"/>
          <w:i/>
          <w:iCs/>
          <w:color w:val="64748B"/>
          <w:sz w:val="16"/>
          <w:szCs w:val="16"/>
        </w:rPr>
        <w:t xml:space="preserve">Source: NEXTDC 1HFY26 ASX announcement, February 26, 2026 (T1); NEXTDC OpenAI ASX release, January 2026 (T1); TipRanks/Fintel consensus (T3)</w:t>
      </w:r>
    </w:p>
    <w:p>
      <w:pPr>
        <w:spacing w:before="80" w:after="0"/>
      </w:pPr>
      <w:r>
        <w:rPr>
          <w:rFonts w:ascii="Arial" w:cs="Arial" w:eastAsia="Arial" w:hAnsi="Arial"/>
          <w:b w:val="false"/>
          <w:bCs w:val="false"/>
          <w:i w:val="false"/>
          <w:iCs w:val="false"/>
          <w:color w:val="2D3748"/>
          <w:sz w:val="20"/>
          <w:szCs w:val="20"/>
        </w:rPr>
        <w:t xml:space="preserve"/>
      </w:r>
    </w:p>
    <w:p>
      <w:pPr>
        <w:spacing w:before="60" w:after="0"/>
      </w:pPr>
      <w:r>
        <w:rPr>
          <w:rFonts w:ascii="Arial" w:cs="Arial" w:eastAsia="Arial" w:hAnsi="Arial"/>
          <w:b w:val="false"/>
          <w:bCs w:val="false"/>
          <w:i w:val="false"/>
          <w:iCs w:val="false"/>
          <w:color w:val="2D3748"/>
          <w:sz w:val="20"/>
          <w:szCs w:val="20"/>
        </w:rPr>
        <w:t xml:space="preserve"/>
      </w:r>
      <w:r>
        <w:br w:type="page"/>
      </w:r>
    </w:p>
    <w:p>
      <w:pPr>
        <w:spacing w:before="100" w:after="0"/>
      </w:pPr>
      <w:r>
        <w:rPr>
          <w:rFonts w:ascii="Arial" w:cs="Arial" w:eastAsia="Arial" w:hAnsi="Arial"/>
          <w:b w:val="false"/>
          <w:bCs w:val="false"/>
          <w:i w:val="false"/>
          <w:iCs w:val="false"/>
          <w:color w:val="2D3748"/>
          <w:sz w:val="20"/>
          <w:szCs w:val="20"/>
        </w:rPr>
        <w:t xml:space="preserve"/>
      </w:r>
    </w:p>
    <w:p>
      <w:pPr>
        <w:pBdr>
          <w:top w:val="single" w:color="4A1D6B" w:sz="4" w:space="8"/>
          <w:bottom w:val="single" w:color="4A1D6B" w:sz="12" w:space="8"/>
        </w:pBdr>
        <w:spacing w:before="0" w:after="60"/>
      </w:pPr>
      <w:r>
        <w:rPr>
          <w:rFonts w:ascii="Arial" w:cs="Arial" w:eastAsia="Arial" w:hAnsi="Arial"/>
          <w:b/>
          <w:bCs/>
          <w:i w:val="false"/>
          <w:iCs w:val="false"/>
          <w:color w:val="64748B"/>
          <w:sz w:val="22"/>
          <w:szCs w:val="22"/>
        </w:rPr>
        <w:t xml:space="preserve">STAGE 3  ·  </w:t>
      </w:r>
      <w:r>
        <w:rPr>
          <w:rFonts w:ascii="Arial" w:cs="Arial" w:eastAsia="Arial" w:hAnsi="Arial"/>
          <w:b/>
          <w:bCs/>
          <w:i w:val="false"/>
          <w:iCs w:val="false"/>
          <w:color w:val="4A1D6B"/>
          <w:sz w:val="26"/>
          <w:szCs w:val="26"/>
        </w:rPr>
        <w:t xml:space="preserve">VALUATION ANALYST</w:t>
      </w:r>
      <w:r>
        <w:rPr>
          <w:rFonts w:ascii="Arial" w:cs="Arial" w:eastAsia="Arial" w:hAnsi="Arial"/>
          <w:b w:val="false"/>
          <w:bCs w:val="false"/>
          <w:i w:val="false"/>
          <w:iCs w:val="false"/>
          <w:color w:val="64748B"/>
          <w:sz w:val="18"/>
          <w:szCs w:val="18"/>
        </w:rPr>
        <w:t xml:space="preserve">  ·  valuation-analyst</w:t>
      </w:r>
    </w:p>
    <w:p>
      <w:pPr>
        <w:spacing w:before="60" w:after="0"/>
      </w:pPr>
      <w:r>
        <w:rPr>
          <w:rFonts w:ascii="Arial" w:cs="Arial" w:eastAsia="Arial" w:hAnsi="Arial"/>
          <w:b w:val="false"/>
          <w:bCs w:val="false"/>
          <w:i w:val="false"/>
          <w:iCs w:val="false"/>
          <w:color w:val="2D3748"/>
          <w:sz w:val="20"/>
          <w:szCs w:val="20"/>
        </w:rPr>
        <w:t xml:space="preserve"/>
      </w:r>
    </w:p>
    <w:p>
      <w:pPr>
        <w:spacing w:before="60" w:after="60"/>
        <w:jc w:val="left"/>
      </w:pPr>
      <w:r>
        <w:rPr>
          <w:rFonts w:ascii="Arial" w:cs="Arial" w:eastAsia="Arial" w:hAnsi="Arial"/>
          <w:b w:val="false"/>
          <w:bCs w:val="false"/>
          <w:i w:val="false"/>
          <w:iCs w:val="false"/>
          <w:color w:val="2D3748"/>
          <w:sz w:val="19"/>
          <w:szCs w:val="19"/>
        </w:rPr>
        <w:t xml:space="preserve">The Valuation Analyst is the only member of the team who sets price targets. Every target must have an explicit driver decomposition. This is a hard requirement — no target is published without it.</w:t>
      </w:r>
    </w:p>
    <w:p>
      <w:pPr>
        <w:pBdr>
          <w:bottom w:val="single" w:color="4A1D6B" w:sz="4" w:space="1"/>
        </w:pBdr>
        <w:spacing w:before="110" w:after="110"/>
      </w:pPr>
      <w:r>
        <w:rPr>
          <w:rFonts w:ascii="Arial" w:cs="Arial" w:eastAsia="Arial" w:hAnsi="Arial"/>
          <w:b w:val="false"/>
          <w:bCs w:val="false"/>
          <w:i w:val="false"/>
          <w:iCs w:val="false"/>
          <w:color w:val="2D3748"/>
          <w:sz w:val="4"/>
          <w:szCs w:val="4"/>
        </w:rPr>
        <w:t xml:space="preserve"/>
      </w:r>
    </w:p>
    <w:p>
      <w:pPr>
        <w:spacing w:before="40" w:after="0"/>
      </w:pPr>
      <w:r>
        <w:rPr>
          <w:rFonts w:ascii="Arial" w:cs="Arial" w:eastAsia="Arial" w:hAnsi="Arial"/>
          <w:b w:val="false"/>
          <w:bCs w:val="false"/>
          <w:i w:val="false"/>
          <w:iCs w:val="false"/>
          <w:color w:val="2D3748"/>
          <w:sz w:val="20"/>
          <w:szCs w:val="20"/>
        </w:rPr>
        <w:t xml:space="preserve"/>
      </w:r>
    </w:p>
    <w:p>
      <w:pPr>
        <w:spacing w:before="30" w:after="30"/>
        <w:jc w:val="left"/>
      </w:pPr>
      <w:r>
        <w:rPr>
          <w:rFonts w:ascii="Arial" w:cs="Arial" w:eastAsia="Arial" w:hAnsi="Arial"/>
          <w:b w:val="false"/>
          <w:bCs w:val="false"/>
          <w:i/>
          <w:iCs/>
          <w:color w:val="64748B"/>
          <w:sz w:val="17"/>
          <w:szCs w:val="17"/>
        </w:rPr>
        <w:t xml:space="preserve">All multi-year targets are [HOUSE VIEW] — our own modelling. They are directional estimates, not forecasts. Data limitation: no Bloomberg/FactSet access means no consensus revisions history or historical multiple bands from licensed data. Limitations are stated, not concealed.</w:t>
      </w:r>
    </w:p>
    <w:p>
      <w:pPr>
        <w:spacing w:before="80" w:after="0"/>
      </w:pPr>
      <w:r>
        <w:rPr>
          <w:rFonts w:ascii="Arial" w:cs="Arial" w:eastAsia="Arial" w:hAnsi="Arial"/>
          <w:b w:val="false"/>
          <w:bCs w:val="false"/>
          <w:i w:val="false"/>
          <w:iCs w:val="false"/>
          <w:color w:val="2D3748"/>
          <w:sz w:val="20"/>
          <w:szCs w:val="20"/>
        </w:rPr>
        <w:t xml:space="preserve"/>
      </w:r>
    </w:p>
    <w:p>
      <w:pPr>
        <w:pStyle w:val="Heading2"/>
        <w:spacing w:before="220" w:after="80"/>
      </w:pPr>
      <w:r>
        <w:rPr>
          <w:rFonts w:ascii="Arial" w:cs="Arial" w:eastAsia="Arial" w:hAnsi="Arial"/>
          <w:b/>
          <w:bCs/>
          <w:i w:val="false"/>
          <w:iCs w:val="false"/>
          <w:color w:val="4A1D6B"/>
          <w:sz w:val="22"/>
          <w:szCs w:val="22"/>
        </w:rPr>
        <w:t xml:space="preserve">Valuation Summary Table — All 15 Names</w:t>
      </w:r>
    </w:p>
    <w:tbl>
      <w:tblPr>
        <w:tblW w:type="dxa" w:w="116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800"/>
        <w:gridCol w:w="800"/>
        <w:gridCol w:w="1600"/>
        <w:gridCol w:w="1700"/>
        <w:gridCol w:w="1300"/>
        <w:gridCol w:w="1300"/>
        <w:gridCol w:w="1300"/>
        <w:gridCol w:w="1260"/>
      </w:tblGrid>
      <w:tr>
        <w:tc>
          <w:tcPr>
            <w:tcW w:type="dxa" w:w="700"/>
            <w:tcBorders>
              <w:top w:val="single" w:color="CBD5E1" w:sz="1"/>
              <w:left w:val="single" w:color="CBD5E1" w:sz="1"/>
              <w:bottom w:val="single" w:color="CBD5E1" w:sz="1"/>
              <w:right w:val="single" w:color="CBD5E1" w:sz="1"/>
            </w:tcBorders>
            <w:shd w:fill="4A1D6B"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Ticker</w:t>
            </w:r>
          </w:p>
        </w:tc>
        <w:tc>
          <w:tcPr>
            <w:tcW w:type="dxa" w:w="900"/>
            <w:tcBorders>
              <w:top w:val="single" w:color="CBD5E1" w:sz="1"/>
              <w:left w:val="single" w:color="CBD5E1" w:sz="1"/>
              <w:bottom w:val="single" w:color="CBD5E1" w:sz="1"/>
              <w:right w:val="single" w:color="CBD5E1" w:sz="1"/>
            </w:tcBorders>
            <w:shd w:fill="4A1D6B"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Price</w:t>
            </w:r>
          </w:p>
        </w:tc>
        <w:tc>
          <w:tcPr>
            <w:tcW w:type="dxa" w:w="800"/>
            <w:tcBorders>
              <w:top w:val="single" w:color="CBD5E1" w:sz="1"/>
              <w:left w:val="single" w:color="CBD5E1" w:sz="1"/>
              <w:bottom w:val="single" w:color="CBD5E1" w:sz="1"/>
              <w:right w:val="single" w:color="CBD5E1" w:sz="1"/>
            </w:tcBorders>
            <w:shd w:fill="4A1D6B"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Trail P/E</w:t>
            </w:r>
          </w:p>
        </w:tc>
        <w:tc>
          <w:tcPr>
            <w:tcW w:type="dxa" w:w="800"/>
            <w:tcBorders>
              <w:top w:val="single" w:color="CBD5E1" w:sz="1"/>
              <w:left w:val="single" w:color="CBD5E1" w:sz="1"/>
              <w:bottom w:val="single" w:color="CBD5E1" w:sz="1"/>
              <w:right w:val="single" w:color="CBD5E1" w:sz="1"/>
            </w:tcBorders>
            <w:shd w:fill="4A1D6B"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Fwd P/E</w:t>
            </w:r>
          </w:p>
        </w:tc>
        <w:tc>
          <w:tcPr>
            <w:tcW w:type="dxa" w:w="1600"/>
            <w:tcBorders>
              <w:top w:val="single" w:color="CBD5E1" w:sz="1"/>
              <w:left w:val="single" w:color="CBD5E1" w:sz="1"/>
              <w:bottom w:val="single" w:color="CBD5E1" w:sz="1"/>
              <w:right w:val="single" w:color="CBD5E1" w:sz="1"/>
            </w:tcBorders>
            <w:shd w:fill="4A1D6B"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1-Yr Consensus</w:t>
            </w:r>
          </w:p>
        </w:tc>
        <w:tc>
          <w:tcPr>
            <w:tcW w:type="dxa" w:w="1700"/>
            <w:tcBorders>
              <w:top w:val="single" w:color="CBD5E1" w:sz="1"/>
              <w:left w:val="single" w:color="CBD5E1" w:sz="1"/>
              <w:bottom w:val="single" w:color="CBD5E1" w:sz="1"/>
              <w:right w:val="single" w:color="CBD5E1" w:sz="1"/>
            </w:tcBorders>
            <w:shd w:fill="4A1D6B"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Entry Quality</w:t>
            </w:r>
          </w:p>
        </w:tc>
        <w:tc>
          <w:tcPr>
            <w:tcW w:type="dxa" w:w="1300"/>
            <w:tcBorders>
              <w:top w:val="single" w:color="CBD5E1" w:sz="1"/>
              <w:left w:val="single" w:color="CBD5E1" w:sz="1"/>
              <w:bottom w:val="single" w:color="CBD5E1" w:sz="1"/>
              <w:right w:val="single" w:color="CBD5E1" w:sz="1"/>
            </w:tcBorders>
            <w:shd w:fill="4A1D6B"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1-Yr [HV]</w:t>
            </w:r>
          </w:p>
        </w:tc>
        <w:tc>
          <w:tcPr>
            <w:tcW w:type="dxa" w:w="1300"/>
            <w:tcBorders>
              <w:top w:val="single" w:color="CBD5E1" w:sz="1"/>
              <w:left w:val="single" w:color="CBD5E1" w:sz="1"/>
              <w:bottom w:val="single" w:color="CBD5E1" w:sz="1"/>
              <w:right w:val="single" w:color="CBD5E1" w:sz="1"/>
            </w:tcBorders>
            <w:shd w:fill="4A1D6B"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3-Yr [HV]</w:t>
            </w:r>
          </w:p>
        </w:tc>
        <w:tc>
          <w:tcPr>
            <w:tcW w:type="dxa" w:w="1300"/>
            <w:tcBorders>
              <w:top w:val="single" w:color="CBD5E1" w:sz="1"/>
              <w:left w:val="single" w:color="CBD5E1" w:sz="1"/>
              <w:bottom w:val="single" w:color="CBD5E1" w:sz="1"/>
              <w:right w:val="single" w:color="CBD5E1" w:sz="1"/>
            </w:tcBorders>
            <w:shd w:fill="4A1D6B"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5-Yr [HV]</w:t>
            </w:r>
          </w:p>
        </w:tc>
        <w:tc>
          <w:tcPr>
            <w:tcW w:type="dxa" w:w="1260"/>
            <w:tcBorders>
              <w:top w:val="single" w:color="CBD5E1" w:sz="1"/>
              <w:left w:val="single" w:color="CBD5E1" w:sz="1"/>
              <w:bottom w:val="single" w:color="CBD5E1" w:sz="1"/>
              <w:right w:val="single" w:color="CBD5E1" w:sz="1"/>
            </w:tcBorders>
            <w:shd w:fill="4A1D6B"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Primary Driver</w:t>
            </w:r>
          </w:p>
        </w:tc>
      </w:tr>
      <w:tr>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NVDA</w:t>
            </w:r>
          </w:p>
        </w:tc>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$181.93</w:t>
            </w:r>
          </w:p>
        </w:tc>
        <w:tc>
          <w:tcPr>
            <w:tcW w:type="dxa" w:w="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~44x</w:t>
            </w:r>
          </w:p>
        </w:tc>
        <w:tc>
          <w:tcPr>
            <w:tcW w:type="dxa" w:w="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~32x</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$265–274</w:t>
            </w:r>
          </w:p>
        </w:tc>
        <w:tc>
          <w:tcPr>
            <w:tcW w:type="dxa" w:w="1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ACCEPTABLE — 44x warrants discipline</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$240–300</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+109–142% total</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+208–296% total</w:t>
            </w:r>
          </w:p>
        </w:tc>
        <w:tc>
          <w:tcPr>
            <w:tcW w:type="dxa" w:w="12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Revenue growth</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AVGO</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$322</w:t>
            </w:r>
          </w:p>
        </w:tc>
        <w:tc>
          <w:tcPr>
            <w:tcW w:type="dxa" w:w="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~32x</w:t>
            </w:r>
          </w:p>
        </w:tc>
        <w:tc>
          <w:tcPr>
            <w:tcW w:type="dxa" w:w="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~25x</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$430–470</w:t>
            </w:r>
          </w:p>
        </w:tc>
        <w:tc>
          <w:tcPr>
            <w:tcW w:type="dxa" w:w="1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 — 22% off peak</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$430–475</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+93–117% total</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+180–235% total</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Revenue + margins</w:t>
            </w:r>
          </w:p>
        </w:tc>
      </w:tr>
      <w:tr>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TSM</w:t>
            </w:r>
          </w:p>
        </w:tc>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$340</w:t>
            </w:r>
          </w:p>
        </w:tc>
        <w:tc>
          <w:tcPr>
            <w:tcW w:type="dxa" w:w="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~30x</w:t>
            </w:r>
          </w:p>
        </w:tc>
        <w:tc>
          <w:tcPr>
            <w:tcW w:type="dxa" w:w="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~24x</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$355–375</w:t>
            </w:r>
          </w:p>
        </w:tc>
        <w:tc>
          <w:tcPr>
            <w:tcW w:type="dxa" w:w="1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ACCEPTABLE — geopolitical discount</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$350–385</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+41–65% total</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+112–159% total</w:t>
            </w:r>
          </w:p>
        </w:tc>
        <w:tc>
          <w:tcPr>
            <w:tcW w:type="dxa" w:w="12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Revenue growth</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NLR</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$137</w:t>
            </w:r>
          </w:p>
        </w:tc>
        <w:tc>
          <w:tcPr>
            <w:tcW w:type="dxa" w:w="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N/A</w:t>
            </w:r>
          </w:p>
        </w:tc>
        <w:tc>
          <w:tcPr>
            <w:tcW w:type="dxa" w:w="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N/A</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N/A (ETF)</w:t>
            </w:r>
          </w:p>
        </w:tc>
        <w:tc>
          <w:tcPr>
            <w:tcW w:type="dxa" w:w="1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 — 19% below 52-wk high</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$146–165</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+46–68% total</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+101–142% total</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Theme re-rating</w:t>
            </w:r>
          </w:p>
        </w:tc>
      </w:tr>
      <w:tr>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CEG</w:t>
            </w:r>
          </w:p>
        </w:tc>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$320</w:t>
            </w:r>
          </w:p>
        </w:tc>
        <w:tc>
          <w:tcPr>
            <w:tcW w:type="dxa" w:w="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~27x fwd</w:t>
            </w:r>
          </w:p>
        </w:tc>
        <w:tc>
          <w:tcPr>
            <w:tcW w:type="dxa" w:w="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~27x</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$398–462</w:t>
            </w:r>
          </w:p>
        </w:tc>
        <w:tc>
          <w:tcPr>
            <w:tcW w:type="dxa" w:w="1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ACCEPTABLE — re-rating largely done</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$398–462</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+50–75% total</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+94–131% total</w:t>
            </w:r>
          </w:p>
        </w:tc>
        <w:tc>
          <w:tcPr>
            <w:tcW w:type="dxa" w:w="12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Revenue + mgmt guidance 13% EPS CAGR</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VST</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$158</w:t>
            </w:r>
          </w:p>
        </w:tc>
        <w:tc>
          <w:tcPr>
            <w:tcW w:type="dxa" w:w="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~58x</w:t>
            </w:r>
          </w:p>
        </w:tc>
        <w:tc>
          <w:tcPr>
            <w:tcW w:type="dxa" w:w="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~19x</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$215–260</w:t>
            </w:r>
          </w:p>
        </w:tc>
        <w:tc>
          <w:tcPr>
            <w:tcW w:type="dxa" w:w="1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 — 30% below peak; 48% consensus upside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$215–260</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+96–146% total</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+178–266% total</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Revenue + multiple normalisation</w:t>
            </w:r>
          </w:p>
        </w:tc>
      </w:tr>
      <w:tr>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GEV</w:t>
            </w:r>
          </w:p>
        </w:tc>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$858</w:t>
            </w:r>
          </w:p>
        </w:tc>
        <w:tc>
          <w:tcPr>
            <w:tcW w:type="dxa" w:w="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~60x</w:t>
            </w:r>
          </w:p>
        </w:tc>
        <w:tc>
          <w:tcPr>
            <w:tcW w:type="dxa" w:w="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~40x</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$950–1,000</w:t>
            </w:r>
          </w:p>
        </w:tc>
        <w:tc>
          <w:tcPr>
            <w:tcW w:type="dxa" w:w="1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STRETCHED — near ATH; needs estimate upgrades</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 to +26%</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+51–92% total</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+115–174% total</w:t>
            </w:r>
          </w:p>
        </w:tc>
        <w:tc>
          <w:tcPr>
            <w:tcW w:type="dxa" w:w="12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Estimate upgrades + backlog conversion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PWR</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$572</w:t>
            </w:r>
          </w:p>
        </w:tc>
        <w:tc>
          <w:tcPr>
            <w:tcW w:type="dxa" w:w="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~35x</w:t>
            </w:r>
          </w:p>
        </w:tc>
        <w:tc>
          <w:tcPr>
            <w:tcW w:type="dxa" w:w="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~27x</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$517–547 (BELOW current price)</w:t>
            </w:r>
          </w:p>
        </w:tc>
        <w:tc>
          <w:tcPr>
            <w:tcW w:type="dxa" w:w="1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POOR — above consensus; caution entry</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Consensus implies downside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+19–36% total</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+57–89% total</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Investor Day re-rating needed</w:t>
            </w:r>
          </w:p>
        </w:tc>
      </w:tr>
      <w:tr>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ETN</w:t>
            </w:r>
          </w:p>
        </w:tc>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$364</w:t>
            </w:r>
          </w:p>
        </w:tc>
        <w:tc>
          <w:tcPr>
            <w:tcW w:type="dxa" w:w="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~24x</w:t>
            </w:r>
          </w:p>
        </w:tc>
        <w:tc>
          <w:tcPr>
            <w:tcW w:type="dxa" w:w="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~20x</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$420–450</w:t>
            </w:r>
          </w:p>
        </w:tc>
        <w:tc>
          <w:tcPr>
            <w:tcW w:type="dxa" w:w="1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 — reasonable multiple; DSX catalyst</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$420–455</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+48–73% total</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+95–136% total</w:t>
            </w:r>
          </w:p>
        </w:tc>
        <w:tc>
          <w:tcPr>
            <w:tcW w:type="dxa" w:w="12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Revenue growth + modest expansion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HUBB</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$477</w:t>
            </w:r>
          </w:p>
        </w:tc>
        <w:tc>
          <w:tcPr>
            <w:tcW w:type="dxa" w:w="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~29x</w:t>
            </w:r>
          </w:p>
        </w:tc>
        <w:tc>
          <w:tcPr>
            <w:tcW w:type="dxa" w:w="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~24x</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$515–565</w:t>
            </w:r>
          </w:p>
        </w:tc>
        <w:tc>
          <w:tcPr>
            <w:tcW w:type="dxa" w:w="1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 — 9% below peak; JPM conference catalyst</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$515–565</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+36–57% total</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+74–112% total</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Revenue growth</w:t>
            </w:r>
          </w:p>
        </w:tc>
      </w:tr>
      <w:tr>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APH</w:t>
            </w:r>
          </w:p>
        </w:tc>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$128</w:t>
            </w:r>
          </w:p>
        </w:tc>
        <w:tc>
          <w:tcPr>
            <w:tcW w:type="dxa" w:w="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~40x</w:t>
            </w:r>
          </w:p>
        </w:tc>
        <w:tc>
          <w:tcPr>
            <w:tcW w:type="dxa" w:w="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~31x</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$154–169</w:t>
            </w:r>
          </w:p>
        </w:tc>
        <w:tc>
          <w:tcPr>
            <w:tcW w:type="dxa" w:w="1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 — 26% below consensus; record results</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$150–165</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+57–92% total</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+127–190% total</w:t>
            </w:r>
          </w:p>
        </w:tc>
        <w:tc>
          <w:tcPr>
            <w:tcW w:type="dxa" w:w="12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Revenue + modest margin expansion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FIX</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~$1,380</w:t>
            </w:r>
          </w:p>
        </w:tc>
        <w:tc>
          <w:tcPr>
            <w:tcW w:type="dxa" w:w="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~43x</w:t>
            </w:r>
          </w:p>
        </w:tc>
        <w:tc>
          <w:tcPr>
            <w:tcW w:type="dxa" w:w="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~35x</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$1,378–1,696</w:t>
            </w:r>
          </w:p>
        </w:tc>
        <w:tc>
          <w:tcPr>
            <w:tcW w:type="dxa" w:w="1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ACCEPTABLE — at lower bound of target; backlog risk</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$1,500–1,800</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+59–103% total</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+132–204% total</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Revenue growth; multiple holds</w:t>
            </w:r>
          </w:p>
        </w:tc>
      </w:tr>
      <w:tr>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FCX</w:t>
            </w:r>
          </w:p>
        </w:tc>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$57.93</w:t>
            </w:r>
          </w:p>
        </w:tc>
        <w:tc>
          <w:tcPr>
            <w:tcW w:type="dxa" w:w="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~22x</w:t>
            </w:r>
          </w:p>
        </w:tc>
        <w:tc>
          <w:tcPr>
            <w:tcW w:type="dxa" w:w="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~17x</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$62–70</w:t>
            </w:r>
          </w:p>
        </w:tc>
        <w:tc>
          <w:tcPr>
            <w:tcW w:type="dxa" w:w="1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ACCEPTABLE — 17% off ATH; structural commodity</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$62–70</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+41–69% total</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+85–133% total</w:t>
            </w:r>
          </w:p>
        </w:tc>
        <w:tc>
          <w:tcPr>
            <w:tcW w:type="dxa" w:w="12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Commodity price + production ramp</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BHP.ASX</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A$~41</w:t>
            </w:r>
          </w:p>
        </w:tc>
        <w:tc>
          <w:tcPr>
            <w:tcW w:type="dxa" w:w="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~14x</w:t>
            </w:r>
          </w:p>
        </w:tc>
        <w:tc>
          <w:tcPr>
            <w:tcW w:type="dxa" w:w="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~12x</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A$45–50 [HV]</w:t>
            </w:r>
          </w:p>
        </w:tc>
        <w:tc>
          <w:tcPr>
            <w:tcW w:type="dxa" w:w="1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 — AUD; franking; low multiple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A$45–50</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+34–61% total</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+66–107% total</w:t>
            </w:r>
          </w:p>
        </w:tc>
        <w:tc>
          <w:tcPr>
            <w:tcW w:type="dxa" w:w="1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Commodity price + capital return</w:t>
            </w:r>
          </w:p>
        </w:tc>
      </w:tr>
      <w:tr>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NXT.ASX</w:t>
            </w:r>
          </w:p>
        </w:tc>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A$13.24</w:t>
            </w:r>
          </w:p>
        </w:tc>
        <w:tc>
          <w:tcPr>
            <w:tcW w:type="dxa" w:w="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N/A (loss)</w:t>
            </w:r>
          </w:p>
        </w:tc>
        <w:tc>
          <w:tcPr>
            <w:tcW w:type="dxa" w:w="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N/A</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A$20.40–21.44</w:t>
            </w:r>
          </w:p>
        </w:tc>
        <w:tc>
          <w:tcPr>
            <w:tcW w:type="dxa" w:w="1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 — 51% below consensus; AUD</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A$20–22</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+111–164% total</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+202–315% total</w:t>
            </w:r>
          </w:p>
        </w:tc>
        <w:tc>
          <w:tcPr>
            <w:tcW w:type="dxa" w:w="12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Contracted revenue conversion</w:t>
            </w:r>
          </w:p>
        </w:tc>
      </w:tr>
    </w:tbl>
    <w:p>
      <w:pPr>
        <w:spacing w:before="15" w:after="55"/>
        <w:jc w:val="left"/>
      </w:pPr>
      <w:r>
        <w:rPr>
          <w:rFonts w:ascii="Arial" w:cs="Arial" w:eastAsia="Arial" w:hAnsi="Arial"/>
          <w:b w:val="false"/>
          <w:bCs w:val="false"/>
          <w:i/>
          <w:iCs/>
          <w:color w:val="64748B"/>
          <w:sz w:val="16"/>
          <w:szCs w:val="16"/>
        </w:rPr>
        <w:t xml:space="preserve">Source: [HOUSE VIEW] labels apply to all multi-year targets. 1-year targets are analyst consensus from Tier 3 sources. Historical multiple ranges are not available from public sources at the precision required — stated limitation, not an omission.</w:t>
      </w:r>
    </w:p>
    <w:p>
      <w:pPr>
        <w:spacing w:before="80" w:after="0"/>
      </w:pPr>
      <w:r>
        <w:rPr>
          <w:rFonts w:ascii="Arial" w:cs="Arial" w:eastAsia="Arial" w:hAnsi="Arial"/>
          <w:b w:val="false"/>
          <w:bCs w:val="false"/>
          <w:i w:val="false"/>
          <w:iCs w:val="false"/>
          <w:color w:val="2D3748"/>
          <w:sz w:val="20"/>
          <w:szCs w:val="20"/>
        </w:rPr>
        <w:t xml:space="preserve"/>
      </w:r>
    </w:p>
    <w:p>
      <w:pPr>
        <w:pStyle w:val="Heading3"/>
        <w:spacing w:before="160" w:after="50"/>
      </w:pPr>
      <w:r>
        <w:rPr>
          <w:rFonts w:ascii="Arial" w:cs="Arial" w:eastAsia="Arial" w:hAnsi="Arial"/>
          <w:b/>
          <w:bCs/>
          <w:i w:val="false"/>
          <w:iCs w:val="false"/>
          <w:color w:val="4A1D6B"/>
          <w:sz w:val="19"/>
          <w:szCs w:val="19"/>
        </w:rPr>
        <w:t xml:space="preserve">Driver Decomposition — Selected Names</w:t>
      </w:r>
    </w:p>
    <w:p>
      <w:pPr>
        <w:spacing w:before="60" w:after="60"/>
        <w:jc w:val="left"/>
      </w:pPr>
      <w:r>
        <w:rPr>
          <w:rFonts w:ascii="Arial" w:cs="Arial" w:eastAsia="Arial" w:hAnsi="Arial"/>
          <w:b w:val="false"/>
          <w:bCs w:val="false"/>
          <w:i w:val="false"/>
          <w:iCs w:val="false"/>
          <w:color w:val="2D3748"/>
          <w:sz w:val="19"/>
          <w:szCs w:val="19"/>
        </w:rPr>
        <w:t xml:space="preserve">The following decompositions show the implied return driver split for base-case 5-year targets. Without Bloomberg/FactSet, these are approximations using company guidance, sector multiple histories from Macrotrends, and analyst consensus direction — not full institutional revisions analysis.</w:t>
      </w:r>
    </w:p>
    <w:p>
      <w:pPr>
        <w:spacing w:before="60" w:after="0"/>
      </w:pPr>
      <w:r>
        <w:rPr>
          <w:rFonts w:ascii="Arial" w:cs="Arial" w:eastAsia="Arial" w:hAnsi="Arial"/>
          <w:b w:val="false"/>
          <w:bCs w:val="false"/>
          <w:i w:val="false"/>
          <w:iCs w:val="false"/>
          <w:color w:val="2D3748"/>
          <w:sz w:val="20"/>
          <w:szCs w:val="20"/>
        </w:rPr>
        <w:t xml:space="preserve"/>
      </w:r>
    </w:p>
    <w:tbl>
      <w:tblPr>
        <w:tblW w:type="dxa" w:w="1072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900"/>
        <w:gridCol w:w="1900"/>
        <w:gridCol w:w="1600"/>
        <w:gridCol w:w="1600"/>
        <w:gridCol w:w="1420"/>
      </w:tblGrid>
      <w:tr>
        <w:tc>
          <w:tcPr>
            <w:tcW w:type="dxa" w:w="700"/>
            <w:tcBorders>
              <w:top w:val="single" w:color="CBD5E1" w:sz="1"/>
              <w:left w:val="single" w:color="CBD5E1" w:sz="1"/>
              <w:bottom w:val="single" w:color="CBD5E1" w:sz="1"/>
              <w:right w:val="single" w:color="CBD5E1" w:sz="1"/>
            </w:tcBorders>
            <w:shd w:fill="4A1D6B"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Ticker</w:t>
            </w:r>
          </w:p>
        </w:tc>
        <w:tc>
          <w:tcPr>
            <w:tcW w:type="dxa" w:w="1600"/>
            <w:tcBorders>
              <w:top w:val="single" w:color="CBD5E1" w:sz="1"/>
              <w:left w:val="single" w:color="CBD5E1" w:sz="1"/>
              <w:bottom w:val="single" w:color="CBD5E1" w:sz="1"/>
              <w:right w:val="single" w:color="CBD5E1" w:sz="1"/>
            </w:tcBorders>
            <w:shd w:fill="4A1D6B"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5-Yr [HV] Target</w:t>
            </w:r>
          </w:p>
        </w:tc>
        <w:tc>
          <w:tcPr>
            <w:tcW w:type="dxa" w:w="1900"/>
            <w:tcBorders>
              <w:top w:val="single" w:color="CBD5E1" w:sz="1"/>
              <w:left w:val="single" w:color="CBD5E1" w:sz="1"/>
              <w:bottom w:val="single" w:color="CBD5E1" w:sz="1"/>
              <w:right w:val="single" w:color="CBD5E1" w:sz="1"/>
            </w:tcBorders>
            <w:shd w:fill="4A1D6B"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Revenue CAGR assumed</w:t>
            </w:r>
          </w:p>
        </w:tc>
        <w:tc>
          <w:tcPr>
            <w:tcW w:type="dxa" w:w="1900"/>
            <w:tcBorders>
              <w:top w:val="single" w:color="CBD5E1" w:sz="1"/>
              <w:left w:val="single" w:color="CBD5E1" w:sz="1"/>
              <w:bottom w:val="single" w:color="CBD5E1" w:sz="1"/>
              <w:right w:val="single" w:color="CBD5E1" w:sz="1"/>
            </w:tcBorders>
            <w:shd w:fill="4A1D6B"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Margin change</w:t>
            </w:r>
          </w:p>
        </w:tc>
        <w:tc>
          <w:tcPr>
            <w:tcW w:type="dxa" w:w="1600"/>
            <w:tcBorders>
              <w:top w:val="single" w:color="CBD5E1" w:sz="1"/>
              <w:left w:val="single" w:color="CBD5E1" w:sz="1"/>
              <w:bottom w:val="single" w:color="CBD5E1" w:sz="1"/>
              <w:right w:val="single" w:color="CBD5E1" w:sz="1"/>
            </w:tcBorders>
            <w:shd w:fill="4A1D6B"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Multiple change</w:t>
            </w:r>
          </w:p>
        </w:tc>
        <w:tc>
          <w:tcPr>
            <w:tcW w:type="dxa" w:w="1600"/>
            <w:tcBorders>
              <w:top w:val="single" w:color="CBD5E1" w:sz="1"/>
              <w:left w:val="single" w:color="CBD5E1" w:sz="1"/>
              <w:bottom w:val="single" w:color="CBD5E1" w:sz="1"/>
              <w:right w:val="single" w:color="CBD5E1" w:sz="1"/>
            </w:tcBorders>
            <w:shd w:fill="4A1D6B"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Dividend</w:t>
            </w:r>
          </w:p>
        </w:tc>
        <w:tc>
          <w:tcPr>
            <w:tcW w:type="dxa" w:w="1420"/>
            <w:tcBorders>
              <w:top w:val="single" w:color="CBD5E1" w:sz="1"/>
              <w:left w:val="single" w:color="CBD5E1" w:sz="1"/>
              <w:bottom w:val="single" w:color="CBD5E1" w:sz="1"/>
              <w:right w:val="single" w:color="CBD5E1" w:sz="1"/>
            </w:tcBorders>
            <w:shd w:fill="4A1D6B"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Net consistency</w:t>
            </w:r>
          </w:p>
        </w:tc>
      </w:tr>
      <w:tr>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AVGO</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$900–1,080 [HV]</w:t>
            </w:r>
          </w:p>
        </w:tc>
        <w:tc>
          <w:tcPr>
            <w:tcW w:type="dxa" w:w="1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~22% CAGR</w:t>
            </w:r>
          </w:p>
        </w:tc>
        <w:tc>
          <w:tcPr>
            <w:tcW w:type="dxa" w:w="1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Gross margin 77→79%</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-8x (32→24x as growth decelerates)</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w:t>
            </w:r>
          </w:p>
        </w:tc>
        <w:tc>
          <w:tcPr>
            <w:tcW w:type="dxa" w:w="142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~+193% — consistent with range</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TSM</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$720–880 [HV]</w:t>
            </w:r>
          </w:p>
        </w:tc>
        <w:tc>
          <w:tcPr>
            <w:tcW w:type="dxa" w:w="1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~18% CAGR</w:t>
            </w:r>
          </w:p>
        </w:tc>
        <w:tc>
          <w:tcPr>
            <w:tcW w:type="dxa" w:w="1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Slight margin improvement</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Flat to slight de-rate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w:t>
            </w:r>
          </w:p>
        </w:tc>
        <w:tc>
          <w:tcPr>
            <w:tcW w:type="dxa" w:w="14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~+130% — consistent with range</w:t>
            </w:r>
          </w:p>
        </w:tc>
      </w:tr>
      <w:tr>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VST</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$440–580 [HV]</w:t>
            </w:r>
          </w:p>
        </w:tc>
        <w:tc>
          <w:tcPr>
            <w:tcW w:type="dxa" w:w="1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~18% CAGR (EBITDA)</w:t>
            </w:r>
          </w:p>
        </w:tc>
        <w:tc>
          <w:tcPr>
            <w:tcW w:type="dxa" w:w="1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Margins hold</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Multiple normalisation 19x→16x fwd</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w:t>
            </w:r>
          </w:p>
        </w:tc>
        <w:tc>
          <w:tcPr>
            <w:tcW w:type="dxa" w:w="142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~+185% — consistent with range</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FIX</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$3,200–4,200 [HV]</w:t>
            </w:r>
          </w:p>
        </w:tc>
        <w:tc>
          <w:tcPr>
            <w:tcW w:type="dxa" w:w="1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~19% revenue CAGR (per analyst models)</w:t>
            </w:r>
          </w:p>
        </w:tc>
        <w:tc>
          <w:tcPr>
            <w:tcW w:type="dxa" w:w="1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Operating margin holds 11–12%</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~40x fwd holds if AI construction persists</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~0.5%</w:t>
            </w:r>
          </w:p>
        </w:tc>
        <w:tc>
          <w:tcPr>
            <w:tcW w:type="dxa" w:w="142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~+160% — consistent with range</w:t>
            </w:r>
          </w:p>
        </w:tc>
      </w:tr>
      <w:tr>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NXT.ASX</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A$40–55 [HV]</w:t>
            </w:r>
          </w:p>
        </w:tc>
        <w:tc>
          <w:tcPr>
            <w:tcW w:type="dxa" w:w="1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~25% CAGR (contracted capacity conversion)</w:t>
            </w:r>
          </w:p>
        </w:tc>
        <w:tc>
          <w:tcPr>
            <w:tcW w:type="dxa" w:w="1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EBITDA margins expand as fixed costs leverage</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Infrastructure multiple 18–22x EBITDA</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0%</w:t>
            </w:r>
          </w:p>
        </w:tc>
        <w:tc>
          <w:tcPr>
            <w:tcW w:type="dxa" w:w="142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~+230% — consistent with range</w:t>
            </w:r>
          </w:p>
        </w:tc>
      </w:tr>
    </w:tbl>
    <w:p>
      <w:pPr>
        <w:spacing w:before="15" w:after="55"/>
        <w:jc w:val="left"/>
      </w:pPr>
      <w:r>
        <w:rPr>
          <w:rFonts w:ascii="Arial" w:cs="Arial" w:eastAsia="Arial" w:hAnsi="Arial"/>
          <w:b w:val="false"/>
          <w:bCs w:val="false"/>
          <w:i/>
          <w:iCs/>
          <w:color w:val="64748B"/>
          <w:sz w:val="16"/>
          <w:szCs w:val="16"/>
        </w:rPr>
        <w:t xml:space="preserve">Source: HOUSE VIEW decompositions. Approximated from company guidance, sector multiples, analyst consensus direction. Not Bloomberg/FactSet revisions analysis.</w:t>
      </w:r>
    </w:p>
    <w:p>
      <w:pPr>
        <w:spacing w:before="60" w:after="0"/>
      </w:pPr>
      <w:r>
        <w:rPr>
          <w:rFonts w:ascii="Arial" w:cs="Arial" w:eastAsia="Arial" w:hAnsi="Arial"/>
          <w:b w:val="false"/>
          <w:bCs w:val="false"/>
          <w:i w:val="false"/>
          <w:iCs w:val="false"/>
          <w:color w:val="2D3748"/>
          <w:sz w:val="20"/>
          <w:szCs w:val="20"/>
        </w:rPr>
        <w:t xml:space="preserve"/>
      </w:r>
      <w:r>
        <w:br w:type="page"/>
      </w:r>
    </w:p>
    <w:p>
      <w:pPr>
        <w:spacing w:before="100" w:after="0"/>
      </w:pPr>
      <w:r>
        <w:rPr>
          <w:rFonts w:ascii="Arial" w:cs="Arial" w:eastAsia="Arial" w:hAnsi="Arial"/>
          <w:b w:val="false"/>
          <w:bCs w:val="false"/>
          <w:i w:val="false"/>
          <w:iCs w:val="false"/>
          <w:color w:val="2D3748"/>
          <w:sz w:val="20"/>
          <w:szCs w:val="20"/>
        </w:rPr>
        <w:t xml:space="preserve"/>
      </w:r>
    </w:p>
    <w:p>
      <w:pPr>
        <w:pBdr>
          <w:top w:val="single" w:color="7F1D1D" w:sz="4" w:space="8"/>
          <w:bottom w:val="single" w:color="7F1D1D" w:sz="12" w:space="8"/>
        </w:pBdr>
        <w:spacing w:before="0" w:after="60"/>
      </w:pPr>
      <w:r>
        <w:rPr>
          <w:rFonts w:ascii="Arial" w:cs="Arial" w:eastAsia="Arial" w:hAnsi="Arial"/>
          <w:b/>
          <w:bCs/>
          <w:i w:val="false"/>
          <w:iCs w:val="false"/>
          <w:color w:val="64748B"/>
          <w:sz w:val="22"/>
          <w:szCs w:val="22"/>
        </w:rPr>
        <w:t xml:space="preserve">STAGE 4  ·  </w:t>
      </w:r>
      <w:r>
        <w:rPr>
          <w:rFonts w:ascii="Arial" w:cs="Arial" w:eastAsia="Arial" w:hAnsi="Arial"/>
          <w:b/>
          <w:bCs/>
          <w:i w:val="false"/>
          <w:iCs w:val="false"/>
          <w:color w:val="7F1D1D"/>
          <w:sz w:val="26"/>
          <w:szCs w:val="26"/>
        </w:rPr>
        <w:t xml:space="preserve">RED TEAM ANALYST</w:t>
      </w:r>
      <w:r>
        <w:rPr>
          <w:rFonts w:ascii="Arial" w:cs="Arial" w:eastAsia="Arial" w:hAnsi="Arial"/>
          <w:b w:val="false"/>
          <w:bCs w:val="false"/>
          <w:i w:val="false"/>
          <w:iCs w:val="false"/>
          <w:color w:val="64748B"/>
          <w:sz w:val="18"/>
          <w:szCs w:val="18"/>
        </w:rPr>
        <w:t xml:space="preserve">  ·  red-team-analyst</w:t>
      </w:r>
    </w:p>
    <w:p>
      <w:pPr>
        <w:spacing w:before="60" w:after="0"/>
      </w:pPr>
      <w:r>
        <w:rPr>
          <w:rFonts w:ascii="Arial" w:cs="Arial" w:eastAsia="Arial" w:hAnsi="Arial"/>
          <w:b w:val="false"/>
          <w:bCs w:val="false"/>
          <w:i w:val="false"/>
          <w:iCs w:val="false"/>
          <w:color w:val="2D3748"/>
          <w:sz w:val="20"/>
          <w:szCs w:val="20"/>
        </w:rPr>
        <w:t xml:space="preserve"/>
      </w:r>
    </w:p>
    <w:p>
      <w:pPr>
        <w:spacing w:before="60" w:after="60"/>
        <w:jc w:val="left"/>
      </w:pPr>
      <w:r>
        <w:rPr>
          <w:rFonts w:ascii="Arial" w:cs="Arial" w:eastAsia="Arial" w:hAnsi="Arial"/>
          <w:b w:val="false"/>
          <w:bCs w:val="false"/>
          <w:i w:val="false"/>
          <w:iCs w:val="false"/>
          <w:color w:val="2D3748"/>
          <w:sz w:val="19"/>
          <w:szCs w:val="19"/>
        </w:rPr>
        <w:t xml:space="preserve">The Red Team tries to break the thesis. The purpose is not to produce a bearish document — it is to make the final document stronger by forcing every bullish assumption to be explicitly defended.</w:t>
      </w:r>
    </w:p>
    <w:p>
      <w:pPr>
        <w:pBdr>
          <w:bottom w:val="single" w:color="7F1D1D" w:sz="4" w:space="1"/>
        </w:pBdr>
        <w:spacing w:before="110" w:after="110"/>
      </w:pPr>
      <w:r>
        <w:rPr>
          <w:rFonts w:ascii="Arial" w:cs="Arial" w:eastAsia="Arial" w:hAnsi="Arial"/>
          <w:b w:val="false"/>
          <w:bCs w:val="false"/>
          <w:i w:val="false"/>
          <w:iCs w:val="false"/>
          <w:color w:val="2D3748"/>
          <w:sz w:val="4"/>
          <w:szCs w:val="4"/>
        </w:rPr>
        <w:t xml:space="preserve"/>
      </w:r>
    </w:p>
    <w:p>
      <w:pPr>
        <w:spacing w:before="40" w:after="0"/>
      </w:pPr>
      <w:r>
        <w:rPr>
          <w:rFonts w:ascii="Arial" w:cs="Arial" w:eastAsia="Arial" w:hAnsi="Arial"/>
          <w:b w:val="false"/>
          <w:bCs w:val="false"/>
          <w:i w:val="false"/>
          <w:iCs w:val="false"/>
          <w:color w:val="2D3748"/>
          <w:sz w:val="20"/>
          <w:szCs w:val="20"/>
        </w:rPr>
        <w:t xml:space="preserve"/>
      </w:r>
    </w:p>
    <w:p>
      <w:pPr>
        <w:pStyle w:val="Heading2"/>
        <w:spacing w:before="220" w:after="80"/>
      </w:pPr>
      <w:r>
        <w:rPr>
          <w:rFonts w:ascii="Arial" w:cs="Arial" w:eastAsia="Arial" w:hAnsi="Arial"/>
          <w:b/>
          <w:bCs/>
          <w:i w:val="false"/>
          <w:iCs w:val="false"/>
          <w:color w:val="7F1D1D"/>
          <w:sz w:val="22"/>
          <w:szCs w:val="22"/>
        </w:rPr>
        <w:t xml:space="preserve">Falsification Tests — Portfolio Level</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1600"/>
        <w:gridCol w:w="2760"/>
      </w:tblGrid>
      <w:tr>
        <w:tc>
          <w:tcPr>
            <w:tcW w:type="dxa" w:w="2200"/>
            <w:tcBorders>
              <w:top w:val="single" w:color="CBD5E1" w:sz="1"/>
              <w:left w:val="single" w:color="CBD5E1" w:sz="1"/>
              <w:bottom w:val="single" w:color="CBD5E1" w:sz="1"/>
              <w:right w:val="single" w:color="CBD5E1" w:sz="1"/>
            </w:tcBorders>
            <w:shd w:fill="7F1D1D"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Scenario</w:t>
            </w:r>
          </w:p>
        </w:tc>
        <w:tc>
          <w:tcPr>
            <w:tcW w:type="dxa" w:w="2400"/>
            <w:tcBorders>
              <w:top w:val="single" w:color="CBD5E1" w:sz="1"/>
              <w:left w:val="single" w:color="CBD5E1" w:sz="1"/>
              <w:bottom w:val="single" w:color="CBD5E1" w:sz="1"/>
              <w:right w:val="single" w:color="CBD5E1" w:sz="1"/>
            </w:tcBorders>
            <w:shd w:fill="7F1D1D"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Names most exposed</w:t>
            </w:r>
          </w:p>
        </w:tc>
        <w:tc>
          <w:tcPr>
            <w:tcW w:type="dxa" w:w="2400"/>
            <w:tcBorders>
              <w:top w:val="single" w:color="CBD5E1" w:sz="1"/>
              <w:left w:val="single" w:color="CBD5E1" w:sz="1"/>
              <w:bottom w:val="single" w:color="CBD5E1" w:sz="1"/>
              <w:right w:val="single" w:color="CBD5E1" w:sz="1"/>
            </w:tcBorders>
            <w:shd w:fill="7F1D1D"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Names most insulated</w:t>
            </w:r>
          </w:p>
        </w:tc>
        <w:tc>
          <w:tcPr>
            <w:tcW w:type="dxa" w:w="1600"/>
            <w:tcBorders>
              <w:top w:val="single" w:color="CBD5E1" w:sz="1"/>
              <w:left w:val="single" w:color="CBD5E1" w:sz="1"/>
              <w:bottom w:val="single" w:color="CBD5E1" w:sz="1"/>
              <w:right w:val="single" w:color="CBD5E1" w:sz="1"/>
            </w:tcBorders>
            <w:shd w:fill="7F1D1D"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Portfolio damage (base estimate)</w:t>
            </w:r>
          </w:p>
        </w:tc>
        <w:tc>
          <w:tcPr>
            <w:tcW w:type="dxa" w:w="2760"/>
            <w:tcBorders>
              <w:top w:val="single" w:color="CBD5E1" w:sz="1"/>
              <w:left w:val="single" w:color="CBD5E1" w:sz="1"/>
              <w:bottom w:val="single" w:color="CBD5E1" w:sz="1"/>
              <w:right w:val="single" w:color="CBD5E1" w:sz="1"/>
            </w:tcBorders>
            <w:shd w:fill="7F1D1D"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What would need to be true</w:t>
            </w:r>
          </w:p>
        </w:tc>
      </w:tr>
      <w:tr>
        <w:tc>
          <w:tcPr>
            <w:tcW w:type="dxa" w:w="2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AI efficiency shock (DeepSeek-style — 50% compute reduction per output unit)</w:t>
            </w:r>
          </w:p>
        </w:tc>
        <w:tc>
          <w:tcPr>
            <w:tcW w:type="dxa" w:w="24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NVDA (GPU demand direct), AVGO (custom ASIC volume), FIX (data centre construction), NXT (occupancy growth)</w:t>
            </w:r>
          </w:p>
        </w:tc>
        <w:tc>
          <w:tcPr>
            <w:tcW w:type="dxa" w:w="24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FCX + BHP (copper already committed to builds), HUBB + ETN (grid infrastructure, multi-year projects), PWR (backlog already signed)</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~25–35% portfolio drawdown in first 6 months; partial recovery as demand rebounds at lower capex per unit</w:t>
            </w:r>
          </w:p>
        </w:tc>
        <w:tc>
          <w:tcPr>
            <w:tcW w:type="dxa" w:w="27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AI inference becomes 50%+ more efficient, causing hyperscalers to pause incremental GPU orders for 2+ quarters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Hyperscaler capex pause (2 quarters, top-3 hyperscalers)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FIX (project-based revenue most directly tied to project starts), NXT (new contract execution pauses), GEV (grid interconnection timing)</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CEG (PPAs contracted — revenue is locked in), VST (merchant power — partially exposed but diversified), NLR (existing nuclear fleet continues generating)</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~15–20% portfolio drawdown; differentiated by contract vs. project exposure</w:t>
            </w:r>
          </w:p>
        </w:tc>
        <w:tc>
          <w:tcPr>
            <w:tcW w:type="dxa" w:w="2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One or more hyperscalers announces data centre investment pause or delay in earnings call</w:t>
            </w:r>
          </w:p>
        </w:tc>
      </w:tr>
      <w:tr>
        <w:tc>
          <w:tcPr>
            <w:tcW w:type="dxa" w:w="2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TSMC geopolitical escalation</w:t>
            </w:r>
          </w:p>
        </w:tc>
        <w:tc>
          <w:tcPr>
            <w:tcW w:type="dxa" w:w="24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TSM (direct), NVDA (supply chain), AVGO (manufacturing dependency) — correlated drawdown across all three</w:t>
            </w:r>
          </w:p>
        </w:tc>
        <w:tc>
          <w:tcPr>
            <w:tcW w:type="dxa" w:w="24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BHP, FCX, CEG, HUBB — no direct TSMC exposure</w:t>
            </w:r>
          </w:p>
        </w:tc>
        <w:tc>
          <w:tcPr>
            <w:tcW w:type="dxa" w:w="1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~20–30% on 36% of portfolio if compute names fall 50–70% on escalation signal</w:t>
            </w:r>
          </w:p>
        </w:tc>
        <w:tc>
          <w:tcPr>
            <w:tcW w:type="dxa" w:w="27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Military or political action creating credible risk to TSMC production continuity or investor access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Multiple compression (sector P/E -20% across AI infrastructure)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GEV (60x trailing — highest multiple risk), FIX (43x), NVDA (44x), APH (40x)</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CEG (utility-style multiple, less expansion room to lose), FCX (commodity, multiple already low), BHP (low multiple, commodity)</w:t>
            </w:r>
          </w:p>
        </w:tc>
        <w:tc>
          <w:tcPr>
            <w:tcW w:type="dxa" w:w="1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~10–15% portfolio return reduction in 1-year scenario if multiples compress uniformly</w:t>
            </w:r>
          </w:p>
        </w:tc>
        <w:tc>
          <w:tcPr>
            <w:tcW w:type="dxa" w:w="2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Rate spike, AI hype cycle cooling, or macro deterioration prompting growth multiple contraction</w:t>
            </w:r>
          </w:p>
        </w:tc>
      </w:tr>
    </w:tbl>
    <w:p>
      <w:pPr>
        <w:spacing w:before="80" w:after="0"/>
      </w:pPr>
      <w:r>
        <w:rPr>
          <w:rFonts w:ascii="Arial" w:cs="Arial" w:eastAsia="Arial" w:hAnsi="Arial"/>
          <w:b w:val="false"/>
          <w:bCs w:val="false"/>
          <w:i w:val="false"/>
          <w:iCs w:val="false"/>
          <w:color w:val="2D3748"/>
          <w:sz w:val="20"/>
          <w:szCs w:val="20"/>
        </w:rPr>
        <w:t xml:space="preserve"/>
      </w:r>
    </w:p>
    <w:p>
      <w:pPr>
        <w:pStyle w:val="Heading2"/>
        <w:spacing w:before="220" w:after="80"/>
      </w:pPr>
      <w:r>
        <w:rPr>
          <w:rFonts w:ascii="Arial" w:cs="Arial" w:eastAsia="Arial" w:hAnsi="Arial"/>
          <w:b/>
          <w:bCs/>
          <w:i w:val="false"/>
          <w:iCs w:val="false"/>
          <w:color w:val="7F1D1D"/>
          <w:sz w:val="22"/>
          <w:szCs w:val="22"/>
        </w:rPr>
        <w:t xml:space="preserve">Crowding Scores — Are We Buying Consensus?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000"/>
        <w:gridCol w:w="3260"/>
      </w:tblGrid>
      <w:tr>
        <w:tc>
          <w:tcPr>
            <w:tcW w:type="dxa" w:w="900"/>
            <w:tcBorders>
              <w:top w:val="single" w:color="CBD5E1" w:sz="1"/>
              <w:left w:val="single" w:color="CBD5E1" w:sz="1"/>
              <w:bottom w:val="single" w:color="CBD5E1" w:sz="1"/>
              <w:right w:val="single" w:color="CBD5E1" w:sz="1"/>
            </w:tcBorders>
            <w:shd w:fill="7F1D1D"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Ticker</w:t>
            </w:r>
          </w:p>
        </w:tc>
        <w:tc>
          <w:tcPr>
            <w:tcW w:type="dxa" w:w="1200"/>
            <w:tcBorders>
              <w:top w:val="single" w:color="CBD5E1" w:sz="1"/>
              <w:left w:val="single" w:color="CBD5E1" w:sz="1"/>
              <w:bottom w:val="single" w:color="CBD5E1" w:sz="1"/>
              <w:right w:val="single" w:color="CBD5E1" w:sz="1"/>
            </w:tcBorders>
            <w:shd w:fill="7F1D1D"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Crowding score (1–5)</w:t>
            </w:r>
          </w:p>
        </w:tc>
        <w:tc>
          <w:tcPr>
            <w:tcW w:type="dxa" w:w="4000"/>
            <w:tcBorders>
              <w:top w:val="single" w:color="CBD5E1" w:sz="1"/>
              <w:left w:val="single" w:color="CBD5E1" w:sz="1"/>
              <w:bottom w:val="single" w:color="CBD5E1" w:sz="1"/>
              <w:right w:val="single" w:color="CBD5E1" w:sz="1"/>
            </w:tcBorders>
            <w:shd w:fill="7F1D1D"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Edge if buying now?</w:t>
            </w:r>
          </w:p>
        </w:tc>
        <w:tc>
          <w:tcPr>
            <w:tcW w:type="dxa" w:w="3260"/>
            <w:tcBorders>
              <w:top w:val="single" w:color="CBD5E1" w:sz="1"/>
              <w:left w:val="single" w:color="CBD5E1" w:sz="1"/>
              <w:bottom w:val="single" w:color="CBD5E1" w:sz="1"/>
              <w:right w:val="single" w:color="CBD5E1" w:sz="1"/>
            </w:tcBorders>
            <w:shd w:fill="7F1D1D"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Red Team verdict</w:t>
            </w:r>
          </w:p>
        </w:tc>
      </w:tr>
      <w:tr>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NVDA</w:t>
            </w:r>
          </w:p>
        </w:tc>
        <w:tc>
          <w:tcPr>
            <w:tcW w:type="dxa" w:w="1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 — very widely covered; on every AI watchlist</w:t>
            </w:r>
          </w:p>
        </w:tc>
        <w:tc>
          <w:tcPr>
            <w:tcW w:type="dxa" w:w="40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Need to believe consensus models are still too conservative despite 44x multiple. Possible — the inference TAM expansion is genuinely not fully modelled</w:t>
            </w:r>
          </w:p>
        </w:tc>
        <w:tc>
          <w:tcPr>
            <w:tcW w:type="dxa" w:w="32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STRETCHED entry; sound thesis; reduce weight if momentum fades</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AVGO</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 — well-covered but less retail attention than NVDA</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22% below peak on unchanged fundamentals — this is a real pricing gap, not just optimism</w:t>
            </w:r>
          </w:p>
        </w:tc>
        <w:tc>
          <w:tcPr>
            <w:tcW w:type="dxa" w:w="3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SOUND — entry quality creates genuine upside to consensus</w:t>
            </w:r>
          </w:p>
        </w:tc>
      </w:tr>
      <w:tr>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TSM</w:t>
            </w:r>
          </w:p>
        </w:tc>
        <w:tc>
          <w:tcPr>
            <w:tcW w:type="dxa" w:w="1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 — institutional coverage high; retail interest lower</w:t>
            </w:r>
          </w:p>
        </w:tc>
        <w:tc>
          <w:tcPr>
            <w:tcW w:type="dxa" w:w="40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Geopolitical discount creates a structural pricing gap that only closes if Taiwan risk is re-priced</w:t>
            </w:r>
          </w:p>
        </w:tc>
        <w:tc>
          <w:tcPr>
            <w:tcW w:type="dxa" w:w="32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SOUND — but geopolitical risk is real, not theoretical</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VST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 — growing attention; not overcrowded</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30% below peak with 18 Buy ratings — the pricing gap is consensus-supported, not speculative</w:t>
            </w:r>
          </w:p>
        </w:tc>
        <w:tc>
          <w:tcPr>
            <w:tcW w:type="dxa" w:w="3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 — best consensus-backed upside in portfolio</w:t>
            </w:r>
          </w:p>
        </w:tc>
      </w:tr>
      <w:tr>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FIX</w:t>
            </w:r>
          </w:p>
        </w:tc>
        <w:tc>
          <w:tcPr>
            <w:tcW w:type="dxa" w:w="1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 — underfollowed for its size</w:t>
            </w:r>
          </w:p>
        </w:tc>
        <w:tc>
          <w:tcPr>
            <w:tcW w:type="dxa" w:w="40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'HVAC contractor' framing means most AI investors have not looked at it; 39% EPS beat confirms models were wrong</w:t>
            </w:r>
          </w:p>
        </w:tc>
        <w:tc>
          <w:tcPr>
            <w:tcW w:type="dxa" w:w="32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 — genuine information gap still open</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NXT.ASX</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 — ASX-listed; limited global investor attention</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51% below consensus with the strongest T1 data in the portfolio (ASX legal disclosure)</w:t>
            </w:r>
          </w:p>
        </w:tc>
        <w:tc>
          <w:tcPr>
            <w:tcW w:type="dxa" w:w="3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 — valuation gap + data quality combination</w:t>
            </w:r>
          </w:p>
        </w:tc>
      </w:tr>
      <w:tr>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PWR</w:t>
            </w:r>
          </w:p>
        </w:tc>
        <w:tc>
          <w:tcPr>
            <w:tcW w:type="dxa" w:w="1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 — widely discussed; record ATH</w:t>
            </w:r>
          </w:p>
        </w:tc>
        <w:tc>
          <w:tcPr>
            <w:tcW w:type="dxa" w:w="40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Stock is above consensus target — there is no edge at current entry unless Investor Day resets targets significantly higher</w:t>
            </w:r>
          </w:p>
        </w:tc>
        <w:tc>
          <w:tcPr>
            <w:tcW w:type="dxa" w:w="32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STRETCHED — wait for Investor Day or pullback to $500–520</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GEV</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 — near all-time high; widely discussed</w:t>
            </w:r>
          </w:p>
        </w:tc>
        <w:tc>
          <w:tcPr>
            <w:tcW w:type="dxa" w:w="40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Thesis depends on continued estimate upgrades — manageable risk but not a contrarian position</w:t>
            </w:r>
          </w:p>
        </w:tc>
        <w:tc>
          <w:tcPr>
            <w:tcW w:type="dxa" w:w="32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STRETCHED — monitor backlog confirmation; reduce if ATH holds without upgrade</w:t>
            </w:r>
          </w:p>
        </w:tc>
      </w:tr>
    </w:tbl>
    <w:p>
      <w:pPr>
        <w:spacing w:before="80" w:after="0"/>
      </w:pPr>
      <w:r>
        <w:rPr>
          <w:rFonts w:ascii="Arial" w:cs="Arial" w:eastAsia="Arial" w:hAnsi="Arial"/>
          <w:b w:val="false"/>
          <w:bCs w:val="false"/>
          <w:i w:val="false"/>
          <w:iCs w:val="false"/>
          <w:color w:val="2D3748"/>
          <w:sz w:val="20"/>
          <w:szCs w:val="20"/>
        </w:rPr>
        <w:t xml:space="preserve"/>
      </w:r>
    </w:p>
    <w:p>
      <w:pPr>
        <w:pStyle w:val="Heading2"/>
        <w:spacing w:before="220" w:after="80"/>
      </w:pPr>
      <w:r>
        <w:rPr>
          <w:rFonts w:ascii="Arial" w:cs="Arial" w:eastAsia="Arial" w:hAnsi="Arial"/>
          <w:b/>
          <w:bCs/>
          <w:i w:val="false"/>
          <w:iCs w:val="false"/>
          <w:color w:val="7F1D1D"/>
          <w:sz w:val="22"/>
          <w:szCs w:val="22"/>
        </w:rPr>
        <w:t xml:space="preserve">Best Bear Cases — The Arguments We Must Be Able to Answer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800"/>
        <w:gridCol w:w="4460"/>
      </w:tblGrid>
      <w:tr>
        <w:tc>
          <w:tcPr>
            <w:tcW w:type="dxa" w:w="900"/>
            <w:tcBorders>
              <w:top w:val="single" w:color="CBD5E1" w:sz="1"/>
              <w:left w:val="single" w:color="CBD5E1" w:sz="1"/>
              <w:bottom w:val="single" w:color="CBD5E1" w:sz="1"/>
              <w:right w:val="single" w:color="CBD5E1" w:sz="1"/>
            </w:tcBorders>
            <w:shd w:fill="7F1D1D"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Name</w:t>
            </w:r>
          </w:p>
        </w:tc>
        <w:tc>
          <w:tcPr>
            <w:tcW w:type="dxa" w:w="2400"/>
            <w:tcBorders>
              <w:top w:val="single" w:color="CBD5E1" w:sz="1"/>
              <w:left w:val="single" w:color="CBD5E1" w:sz="1"/>
              <w:bottom w:val="single" w:color="CBD5E1" w:sz="1"/>
              <w:right w:val="single" w:color="CBD5E1" w:sz="1"/>
            </w:tcBorders>
            <w:shd w:fill="7F1D1D"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Bear's core premise</w:t>
            </w:r>
          </w:p>
        </w:tc>
        <w:tc>
          <w:tcPr>
            <w:tcW w:type="dxa" w:w="1800"/>
            <w:tcBorders>
              <w:top w:val="single" w:color="CBD5E1" w:sz="1"/>
              <w:left w:val="single" w:color="CBD5E1" w:sz="1"/>
              <w:bottom w:val="single" w:color="CBD5E1" w:sz="1"/>
              <w:right w:val="single" w:color="CBD5E1" w:sz="1"/>
            </w:tcBorders>
            <w:shd w:fill="7F1D1D"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Bear's target</w:t>
            </w:r>
          </w:p>
        </w:tc>
        <w:tc>
          <w:tcPr>
            <w:tcW w:type="dxa" w:w="4460"/>
            <w:tcBorders>
              <w:top w:val="single" w:color="CBD5E1" w:sz="1"/>
              <w:left w:val="single" w:color="CBD5E1" w:sz="1"/>
              <w:bottom w:val="single" w:color="CBD5E1" w:sz="1"/>
              <w:right w:val="single" w:color="CBD5E1" w:sz="1"/>
            </w:tcBorders>
            <w:shd w:fill="7F1D1D"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What proves the bear right</w:t>
            </w:r>
          </w:p>
        </w:tc>
      </w:tr>
      <w:tr>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NVDA</w:t>
            </w:r>
          </w:p>
        </w:tc>
        <w:tc>
          <w:tcPr>
            <w:tcW w:type="dxa" w:w="24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Inference efficiency gains reduce per-unit GPU demand; China export controls permanently remove 10%+ revenue; AMD inference chips take meaningful share in 2026–2027</w:t>
            </w:r>
          </w:p>
        </w:tc>
        <w:tc>
          <w:tcPr>
            <w:tcW w:type="dxa" w:w="1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$120–140 (bear case: 25–30x earnings on decelerated growth)</w:t>
            </w:r>
          </w:p>
        </w:tc>
        <w:tc>
          <w:tcPr>
            <w:tcW w:type="dxa" w:w="44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Q1 FY2027 guidance miss; AMD inference design win announced at major hyperscaler</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TSM</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Taiwan Strait escalation causes investor risk-off; US tariff policy disrupts the US-Taiwan trade arrangement in progress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$200–220 (bear case: geopolitical de-rating + earnings miss)</w:t>
            </w:r>
          </w:p>
        </w:tc>
        <w:tc>
          <w:tcPr>
            <w:tcW w:type="dxa" w:w="44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Military activity near Taiwan Strait; US-Taiwan tariff negotiations collapse</w:t>
            </w:r>
          </w:p>
        </w:tc>
      </w:tr>
      <w:tr>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PWR</w:t>
            </w:r>
          </w:p>
        </w:tc>
        <w:tc>
          <w:tcPr>
            <w:tcW w:type="dxa" w:w="24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Quanta's $44B backlog converts slower than expected due to labour shortages and permitting delays; Investor Day targets disappoint or are in-line with current consensus</w:t>
            </w:r>
          </w:p>
        </w:tc>
        <w:tc>
          <w:tcPr>
            <w:tcW w:type="dxa" w:w="1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$480–500 (regression to consensus before upgrade)</w:t>
            </w:r>
          </w:p>
        </w:tc>
        <w:tc>
          <w:tcPr>
            <w:tcW w:type="dxa" w:w="44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Investor Day March 31 produces in-line 2030 targets; no significant estimate upgrade</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VST</w:t>
            </w:r>
          </w:p>
        </w:tc>
        <w:tc>
          <w:tcPr>
            <w:tcW w:type="dxa" w:w="2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Wholesale power prices normalise as new gas capacity comes online; AI capex slows reducing data centre power demand</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$100–120 (bear: compressed merchant margins, de-rated multiple)</w:t>
            </w:r>
          </w:p>
        </w:tc>
        <w:tc>
          <w:tcPr>
            <w:tcW w:type="dxa" w:w="44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Texas ERCOT power prices fall back to 2023 levels; hyperscaler power demand guidance is reduced</w:t>
            </w:r>
          </w:p>
        </w:tc>
      </w:tr>
    </w:tbl>
    <w:p>
      <w:pPr>
        <w:spacing w:before="8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7F1D1D" w:val="clear"/>
            <w:tcMar>
              <w:top w:type="dxa" w:w="0"/>
              <w:left w:type="dxa" w:w="0"/>
              <w:bottom w:type="dxa" w:w="0"/>
              <w:right w:type="dxa" w:w="0"/>
            </w:tcMar>
          </w:tcPr>
          <w:p>
            <w:pPr>
              <w:spacing w:before="70" w:after="70"/>
              <w:jc w:val="center"/>
            </w:pPr>
            <w:r>
              <w:rPr>
                <w:rFonts w:ascii="Arial" w:cs="Arial" w:eastAsia="Arial" w:hAnsi="Arial"/>
                <w:b/>
                <w:bCs/>
                <w:i w:val="false"/>
                <w:iCs w:val="false"/>
                <w:color w:val="FFFFFF"/>
                <w:sz w:val="15"/>
                <w:szCs w:val="15"/>
              </w:rPr>
              <w:t xml:space="preserve">RED TEAM CONCLUSION</w:t>
            </w:r>
          </w:p>
        </w:tc>
        <w:tc>
          <w:tcPr>
            <w:tcW w:type="dxa" w:w="9080"/>
            <w:tcBorders>
              <w:top w:val="none" w:color="FFFFFF" w:sz="0"/>
              <w:left w:val="none" w:color="FFFFFF" w:sz="0"/>
              <w:bottom w:val="none" w:color="FFFFFF" w:sz="0"/>
              <w:right w:val="none" w:color="FFFFFF" w:sz="0"/>
            </w:tcBorders>
            <w:shd w:fill="FEE2E2" w:val="clear"/>
            <w:tcMar>
              <w:top w:type="dxa" w:w="90"/>
              <w:left w:type="dxa" w:w="150"/>
              <w:bottom w:type="dxa" w:w="90"/>
              <w:right w:type="dxa" w:w="150"/>
            </w:tcMar>
          </w:tcPr>
          <w:p>
            <w:pPr>
              <w:spacing w:before="70" w:after="70"/>
              <w:jc w:val="left"/>
            </w:pPr>
            <w:r>
              <w:rPr>
                <w:rFonts w:ascii="Arial" w:cs="Arial" w:eastAsia="Arial" w:hAnsi="Arial"/>
                <w:b/>
                <w:bCs/>
                <w:i w:val="false"/>
                <w:iCs w:val="false"/>
                <w:color w:val="7F1D1D"/>
                <w:sz w:val="20"/>
                <w:szCs w:val="20"/>
              </w:rPr>
              <w:t xml:space="preserve">Portfolio thesis integrity: SOUND overall. Key risks are correlated (TSMC geopolitical + AI efficiency) and are concentrated in the top 36% of the portfolio by weight. VST and FIX offer the strongest risk/reward at current entry. PWR and GEV require caution at current prices. The thesis does not break under most scenarios — but it is consensus-crowded enough that generating above-market returns requires specific outcomes (AI capex does not pause, efficiency does not shock) to materialise.</w:t>
            </w:r>
          </w:p>
        </w:tc>
      </w:tr>
    </w:tbl>
    <w:p>
      <w:pPr>
        <w:spacing w:before="60" w:after="0"/>
      </w:pPr>
      <w:r>
        <w:rPr>
          <w:rFonts w:ascii="Arial" w:cs="Arial" w:eastAsia="Arial" w:hAnsi="Arial"/>
          <w:b w:val="false"/>
          <w:bCs w:val="false"/>
          <w:i w:val="false"/>
          <w:iCs w:val="false"/>
          <w:color w:val="2D3748"/>
          <w:sz w:val="20"/>
          <w:szCs w:val="20"/>
        </w:rPr>
        <w:t xml:space="preserve"/>
      </w:r>
      <w:r>
        <w:br w:type="page"/>
      </w:r>
    </w:p>
    <w:p>
      <w:pPr>
        <w:spacing w:before="100" w:after="0"/>
      </w:pPr>
      <w:r>
        <w:rPr>
          <w:rFonts w:ascii="Arial" w:cs="Arial" w:eastAsia="Arial" w:hAnsi="Arial"/>
          <w:b w:val="false"/>
          <w:bCs w:val="false"/>
          <w:i w:val="false"/>
          <w:iCs w:val="false"/>
          <w:color w:val="2D3748"/>
          <w:sz w:val="20"/>
          <w:szCs w:val="20"/>
        </w:rPr>
        <w:t xml:space="preserve"/>
      </w:r>
    </w:p>
    <w:p>
      <w:pPr>
        <w:pBdr>
          <w:top w:val="single" w:color="134E4A" w:sz="4" w:space="8"/>
          <w:bottom w:val="single" w:color="134E4A" w:sz="12" w:space="8"/>
        </w:pBdr>
        <w:spacing w:before="0" w:after="60"/>
      </w:pPr>
      <w:r>
        <w:rPr>
          <w:rFonts w:ascii="Arial" w:cs="Arial" w:eastAsia="Arial" w:hAnsi="Arial"/>
          <w:b/>
          <w:bCs/>
          <w:i w:val="false"/>
          <w:iCs w:val="false"/>
          <w:color w:val="64748B"/>
          <w:sz w:val="22"/>
          <w:szCs w:val="22"/>
        </w:rPr>
        <w:t xml:space="preserve">STAGE 5  ·  </w:t>
      </w:r>
      <w:r>
        <w:rPr>
          <w:rFonts w:ascii="Arial" w:cs="Arial" w:eastAsia="Arial" w:hAnsi="Arial"/>
          <w:b/>
          <w:bCs/>
          <w:i w:val="false"/>
          <w:iCs w:val="false"/>
          <w:color w:val="134E4A"/>
          <w:sz w:val="26"/>
          <w:szCs w:val="26"/>
        </w:rPr>
        <w:t xml:space="preserve">ASSOCIATE REVIEWER → PORTFOLIO MANAGER</w:t>
      </w:r>
      <w:r>
        <w:rPr>
          <w:rFonts w:ascii="Arial" w:cs="Arial" w:eastAsia="Arial" w:hAnsi="Arial"/>
          <w:b w:val="false"/>
          <w:bCs w:val="false"/>
          <w:i w:val="false"/>
          <w:iCs w:val="false"/>
          <w:color w:val="64748B"/>
          <w:sz w:val="18"/>
          <w:szCs w:val="18"/>
        </w:rPr>
        <w:t xml:space="preserve">  ·  associate-reviewer + portfolio-manager</w:t>
      </w:r>
    </w:p>
    <w:p>
      <w:pPr>
        <w:spacing w:before="60" w:after="0"/>
      </w:pPr>
      <w:r>
        <w:rPr>
          <w:rFonts w:ascii="Arial" w:cs="Arial" w:eastAsia="Arial" w:hAnsi="Arial"/>
          <w:b w:val="false"/>
          <w:bCs w:val="false"/>
          <w:i w:val="false"/>
          <w:iCs w:val="false"/>
          <w:color w:val="2D3748"/>
          <w:sz w:val="20"/>
          <w:szCs w:val="20"/>
        </w:rPr>
        <w:t xml:space="preserve"/>
      </w:r>
    </w:p>
    <w:p>
      <w:pPr>
        <w:pStyle w:val="Heading2"/>
        <w:spacing w:before="220" w:after="80"/>
      </w:pPr>
      <w:r>
        <w:rPr>
          <w:rFonts w:ascii="Arial" w:cs="Arial" w:eastAsia="Arial" w:hAnsi="Arial"/>
          <w:b/>
          <w:bCs/>
          <w:i w:val="false"/>
          <w:iCs w:val="false"/>
          <w:color w:val="134E4A"/>
          <w:sz w:val="22"/>
          <w:szCs w:val="22"/>
        </w:rPr>
        <w:t xml:space="preserve">Associate Integration Memo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34E4A" w:val="clear"/>
            <w:tcMar>
              <w:top w:type="dxa" w:w="0"/>
              <w:left w:type="dxa" w:w="0"/>
              <w:bottom w:type="dxa" w:w="0"/>
              <w:right w:type="dxa" w:w="0"/>
            </w:tcMar>
          </w:tcPr>
          <w:p>
            <w:pPr>
              <w:spacing w:before="70" w:after="70"/>
              <w:jc w:val="center"/>
            </w:pPr>
            <w:r>
              <w:rPr>
                <w:rFonts w:ascii="Arial" w:cs="Arial" w:eastAsia="Arial" w:hAnsi="Arial"/>
                <w:b/>
                <w:bCs/>
                <w:i w:val="false"/>
                <w:iCs w:val="false"/>
                <w:color w:val="FFFFFF"/>
                <w:sz w:val="15"/>
                <w:szCs w:val="15"/>
              </w:rPr>
              <w:t xml:space="preserve">PUBLICATION GATE</w:t>
            </w:r>
          </w:p>
        </w:tc>
        <w:tc>
          <w:tcPr>
            <w:tcW w:type="dxa" w:w="9080"/>
            <w:tcBorders>
              <w:top w:val="none" w:color="FFFFFF" w:sz="0"/>
              <w:left w:val="none" w:color="FFFFFF" w:sz="0"/>
              <w:bottom w:val="none" w:color="FFFFFF" w:sz="0"/>
              <w:right w:val="none" w:color="FFFFFF" w:sz="0"/>
            </w:tcBorders>
            <w:shd w:fill="CCFBF1" w:val="clear"/>
            <w:tcMar>
              <w:top w:type="dxa" w:w="90"/>
              <w:left w:type="dxa" w:w="150"/>
              <w:bottom w:type="dxa" w:w="90"/>
              <w:right w:type="dxa" w:w="150"/>
            </w:tcMar>
          </w:tcPr>
          <w:p>
            <w:pPr>
              <w:spacing w:before="70" w:after="70"/>
              <w:jc w:val="left"/>
            </w:pPr>
            <w:r>
              <w:rPr>
                <w:rFonts w:ascii="Arial" w:cs="Arial" w:eastAsia="Arial" w:hAnsi="Arial"/>
                <w:b/>
                <w:bCs/>
                <w:i w:val="false"/>
                <w:iCs w:val="false"/>
                <w:color w:val="134E4A"/>
                <w:sz w:val="20"/>
                <w:szCs w:val="20"/>
              </w:rPr>
              <w:t xml:space="preserve">PASSED — 0 FAIL claims. 5 CAVEAT items — all labelled in body text. All analyst outputs received. Red Team complete.</w:t>
            </w:r>
          </w:p>
        </w:tc>
      </w:tr>
    </w:tbl>
    <w:p>
      <w:pPr>
        <w:spacing w:before="6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200"/>
        <w:gridCol w:w="4460"/>
      </w:tblGrid>
      <w:tr>
        <w:tc>
          <w:tcPr>
            <w:tcW w:type="dxa" w:w="19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Analyst</w:t>
            </w:r>
          </w:p>
        </w:tc>
        <w:tc>
          <w:tcPr>
            <w:tcW w:type="dxa" w:w="18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Names covered</w:t>
            </w:r>
          </w:p>
        </w:tc>
        <w:tc>
          <w:tcPr>
            <w:tcW w:type="dxa" w:w="12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Gate status</w:t>
            </w:r>
          </w:p>
        </w:tc>
        <w:tc>
          <w:tcPr>
            <w:tcW w:type="dxa" w:w="446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Key cross-analyst note</w:t>
            </w:r>
          </w:p>
        </w:tc>
      </w:tr>
      <w:tr>
        <w:tc>
          <w:tcPr>
            <w:tcW w:type="dxa" w:w="1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Compute Analyst</w:t>
            </w:r>
          </w:p>
        </w:tc>
        <w:tc>
          <w:tcPr>
            <w:tcW w:type="dxa" w:w="1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NVDA, AVGO, TSM</w:t>
            </w:r>
          </w:p>
        </w:tc>
        <w:tc>
          <w:tcPr>
            <w:tcW w:type="dxa" w:w="1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PASS (1 CAVEAT — TSM AI CAGR)</w:t>
            </w:r>
          </w:p>
        </w:tc>
        <w:tc>
          <w:tcPr>
            <w:tcW w:type="dxa" w:w="44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TSM CAGR language corrected from prior version — 'mid-50s%' replaces false precision</w:t>
            </w:r>
          </w:p>
        </w:tc>
      </w:tr>
      <w:tr>
        <w:tc>
          <w:tcPr>
            <w:tcW w:type="dxa" w:w="1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Power/Energy Analyst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NLR, CEG, VST, GEV</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PASS (2 CAVEATs — GEV backlog, Meta nuclear)</w:t>
            </w:r>
          </w:p>
        </w:tc>
        <w:tc>
          <w:tcPr>
            <w:tcW w:type="dxa" w:w="44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Meta nuclear claim corrected from '1.1 GW' to multi-party arrangement language. GEV $150B labelled GUIDANCE.</w:t>
            </w:r>
          </w:p>
        </w:tc>
      </w:tr>
      <w:tr>
        <w:tc>
          <w:tcPr>
            <w:tcW w:type="dxa" w:w="1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Infrastructure Analyst</w:t>
            </w:r>
          </w:p>
        </w:tc>
        <w:tc>
          <w:tcPr>
            <w:tcW w:type="dxa" w:w="1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PWR, ETN, HUBB, APH, FIX, FCX, BHP, NXT</w:t>
            </w:r>
          </w:p>
        </w:tc>
        <w:tc>
          <w:tcPr>
            <w:tcW w:type="dxa" w:w="1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PASS (1 CAVEAT — FIX 45% tech revenue)</w:t>
            </w:r>
          </w:p>
        </w:tc>
        <w:tc>
          <w:tcPr>
            <w:tcW w:type="dxa" w:w="44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Eaton overstatement corrected: 'one of 13 contributors', not 'official power partner'. FIX management commentary labelled GUIDANCE.</w:t>
            </w:r>
          </w:p>
        </w:tc>
      </w:tr>
      <w:tr>
        <w:tc>
          <w:tcPr>
            <w:tcW w:type="dxa" w:w="1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Valuation Analyst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All 15</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PASS</w:t>
            </w:r>
          </w:p>
        </w:tc>
        <w:tc>
          <w:tcPr>
            <w:tcW w:type="dxa" w:w="44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Driver decompositions completed for all names. Historical multiple limitation explicitly disclosed.</w:t>
            </w:r>
          </w:p>
        </w:tc>
      </w:tr>
      <w:tr>
        <w:tc>
          <w:tcPr>
            <w:tcW w:type="dxa" w:w="1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Red Team Analyst</w:t>
            </w:r>
          </w:p>
        </w:tc>
        <w:tc>
          <w:tcPr>
            <w:tcW w:type="dxa" w:w="1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All 15 + portfolio level</w:t>
            </w:r>
          </w:p>
        </w:tc>
        <w:tc>
          <w:tcPr>
            <w:tcW w:type="dxa" w:w="1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PASS</w:t>
            </w:r>
          </w:p>
        </w:tc>
        <w:tc>
          <w:tcPr>
            <w:tcW w:type="dxa" w:w="44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PWR and GEV flagged as STRETCHED entry. TSMC geopolitical correlated risk quantified.</w:t>
            </w:r>
          </w:p>
        </w:tc>
      </w:tr>
    </w:tbl>
    <w:p>
      <w:pPr>
        <w:spacing w:before="80" w:after="0"/>
      </w:pPr>
      <w:r>
        <w:rPr>
          <w:rFonts w:ascii="Arial" w:cs="Arial" w:eastAsia="Arial" w:hAnsi="Arial"/>
          <w:b w:val="false"/>
          <w:bCs w:val="false"/>
          <w:i w:val="false"/>
          <w:iCs w:val="false"/>
          <w:color w:val="2D3748"/>
          <w:sz w:val="20"/>
          <w:szCs w:val="20"/>
        </w:rPr>
        <w:t xml:space="preserve"/>
      </w:r>
    </w:p>
    <w:p>
      <w:pPr>
        <w:pStyle w:val="Heading2"/>
        <w:spacing w:before="220" w:after="80"/>
      </w:pPr>
      <w:r>
        <w:rPr>
          <w:rFonts w:ascii="Arial" w:cs="Arial" w:eastAsia="Arial" w:hAnsi="Arial"/>
          <w:b/>
          <w:bCs/>
          <w:i w:val="false"/>
          <w:iCs w:val="false"/>
          <w:color w:val="134E4A"/>
          <w:sz w:val="22"/>
          <w:szCs w:val="22"/>
        </w:rPr>
        <w:t xml:space="preserve">Portfolio Construction — Constraints Applied</w:t>
      </w:r>
    </w:p>
    <w:p>
      <w:pPr>
        <w:spacing w:before="60" w:after="60"/>
        <w:jc w:val="left"/>
      </w:pPr>
      <w:r>
        <w:rPr>
          <w:rFonts w:ascii="Arial" w:cs="Arial" w:eastAsia="Arial" w:hAnsi="Arial"/>
          <w:b w:val="false"/>
          <w:bCs w:val="false"/>
          <w:i w:val="false"/>
          <w:iCs w:val="false"/>
          <w:color w:val="2D3748"/>
          <w:sz w:val="19"/>
          <w:szCs w:val="19"/>
        </w:rPr>
        <w:t xml:space="preserve">The Portfolio Manager applies hard construction constraints before setting weights. Any constraint violation is flagged and corrected — not overridden with justification.</w:t>
      </w:r>
    </w:p>
    <w:p>
      <w:pPr>
        <w:spacing w:before="60" w:after="0"/>
      </w:pPr>
      <w:r>
        <w:rPr>
          <w:rFonts w:ascii="Arial" w:cs="Arial" w:eastAsia="Arial" w:hAnsi="Arial"/>
          <w:b w:val="false"/>
          <w:bCs w:val="false"/>
          <w:i w:val="false"/>
          <w:iCs w:val="false"/>
          <w:color w:val="2D374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Constraint</w:t>
            </w:r>
          </w:p>
        </w:tc>
        <w:tc>
          <w:tcPr>
            <w:tcW w:type="dxa" w:w="18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Binding on this portfolio?</w:t>
            </w:r>
          </w:p>
        </w:tc>
        <w:tc>
          <w:tcPr>
            <w:tcW w:type="dxa" w:w="476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Action taken</w:t>
            </w:r>
          </w:p>
        </w:tc>
      </w:tr>
      <w:tr>
        <w:tc>
          <w:tcPr>
            <w:tcW w:type="dxa" w:w="2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Max single-stock weight 15%</w:t>
            </w:r>
          </w:p>
        </w:tc>
        <w:tc>
          <w:tcPr>
            <w:tcW w:type="dxa" w:w="1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Yes — AVGO at 14%, all others ≤13%</w:t>
            </w:r>
          </w:p>
        </w:tc>
        <w:tc>
          <w:tcPr>
            <w:tcW w:type="dxa" w:w="47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Weights set at or below limit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Compute subtheme ≤40% (NVDA+AVGO+TSM)</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Yes — set at 37%</w:t>
            </w:r>
          </w:p>
        </w:tc>
        <w:tc>
          <w:tcPr>
            <w:tcW w:type="dxa" w:w="4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Within limit</w:t>
            </w:r>
          </w:p>
        </w:tc>
      </w:tr>
      <w:tr>
        <w:tc>
          <w:tcPr>
            <w:tcW w:type="dxa" w:w="2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Power generation ≤25%</w:t>
            </w:r>
          </w:p>
        </w:tc>
        <w:tc>
          <w:tcPr>
            <w:tcW w:type="dxa" w:w="1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Yes — set at 22% (NLR+CEG+VST+GEV)</w:t>
            </w:r>
          </w:p>
        </w:tc>
        <w:tc>
          <w:tcPr>
            <w:tcW w:type="dxa" w:w="47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Within limit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STRETCHED/POOR entries ≤15% combined</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Yes — PWR (POOR) + GEV (STRETCHED) = 9% combined</w:t>
            </w:r>
          </w:p>
        </w:tc>
        <w:tc>
          <w:tcPr>
            <w:tcW w:type="dxa" w:w="4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Within limit</w:t>
            </w:r>
          </w:p>
        </w:tc>
      </w:tr>
      <w:tr>
        <w:tc>
          <w:tcPr>
            <w:tcW w:type="dxa" w:w="2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FRAGILE names removed</w:t>
            </w:r>
          </w:p>
        </w:tc>
        <w:tc>
          <w:tcPr>
            <w:tcW w:type="dxa" w:w="1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N/A — no FRAGILE integrity scores</w:t>
            </w:r>
          </w:p>
        </w:tc>
        <w:tc>
          <w:tcPr>
            <w:tcW w:type="dxa" w:w="47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No removal needed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Any name above consensus target ≤5% weight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YES — PWR is above consensus target — capped at 3%</w:t>
            </w:r>
          </w:p>
        </w:tc>
        <w:tc>
          <w:tcPr>
            <w:tcW w:type="dxa" w:w="47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PWR hard-capped at 3%</w:t>
            </w:r>
          </w:p>
        </w:tc>
      </w:tr>
      <w:tr>
        <w:tc>
          <w:tcPr>
            <w:tcW w:type="dxa" w:w="2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AUD-denominated name required</w:t>
            </w:r>
          </w:p>
        </w:tc>
        <w:tc>
          <w:tcPr>
            <w:tcW w:type="dxa" w:w="18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Satisfied — BHP.ASX + NXT.ASX</w:t>
            </w:r>
          </w:p>
        </w:tc>
        <w:tc>
          <w:tcPr>
            <w:tcW w:type="dxa" w:w="47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Both present</w:t>
            </w:r>
          </w:p>
        </w:tc>
      </w:tr>
    </w:tbl>
    <w:p>
      <w:pPr>
        <w:spacing w:before="80" w:after="0"/>
      </w:pPr>
      <w:r>
        <w:rPr>
          <w:rFonts w:ascii="Arial" w:cs="Arial" w:eastAsia="Arial" w:hAnsi="Arial"/>
          <w:b w:val="false"/>
          <w:bCs w:val="false"/>
          <w:i w:val="false"/>
          <w:iCs w:val="false"/>
          <w:color w:val="2D3748"/>
          <w:sz w:val="20"/>
          <w:szCs w:val="20"/>
        </w:rPr>
        <w:t xml:space="preserve"/>
      </w:r>
    </w:p>
    <w:p>
      <w:pPr>
        <w:pStyle w:val="Heading2"/>
        <w:spacing w:before="220" w:after="80"/>
      </w:pPr>
      <w:r>
        <w:rPr>
          <w:rFonts w:ascii="Arial" w:cs="Arial" w:eastAsia="Arial" w:hAnsi="Arial"/>
          <w:b/>
          <w:bCs/>
          <w:i w:val="false"/>
          <w:iCs w:val="false"/>
          <w:color w:val="134E4A"/>
          <w:sz w:val="22"/>
          <w:szCs w:val="22"/>
        </w:rPr>
        <w:t xml:space="preserve">Final Allocation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00"/>
        <w:gridCol w:w="700"/>
        <w:gridCol w:w="1700"/>
        <w:gridCol w:w="900"/>
        <w:gridCol w:w="600"/>
        <w:gridCol w:w="1300"/>
        <w:gridCol w:w="1200"/>
        <w:gridCol w:w="3160"/>
      </w:tblGrid>
      <w:tr>
        <w:tc>
          <w:tcPr>
            <w:tcW w:type="dxa" w:w="3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w:t>
            </w:r>
          </w:p>
        </w:tc>
        <w:tc>
          <w:tcPr>
            <w:tcW w:type="dxa" w:w="7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Ticker</w:t>
            </w:r>
          </w:p>
        </w:tc>
        <w:tc>
          <w:tcPr>
            <w:tcW w:type="dxa" w:w="17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Company</w:t>
            </w:r>
          </w:p>
        </w:tc>
        <w:tc>
          <w:tcPr>
            <w:tcW w:type="dxa" w:w="9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Price</w:t>
            </w:r>
          </w:p>
        </w:tc>
        <w:tc>
          <w:tcPr>
            <w:tcW w:type="dxa" w:w="6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Weight</w:t>
            </w:r>
          </w:p>
        </w:tc>
        <w:tc>
          <w:tcPr>
            <w:tcW w:type="dxa" w:w="13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Entry quality</w:t>
            </w:r>
          </w:p>
        </w:tc>
        <w:tc>
          <w:tcPr>
            <w:tcW w:type="dxa" w:w="12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Thesis integrity</w:t>
            </w:r>
          </w:p>
        </w:tc>
        <w:tc>
          <w:tcPr>
            <w:tcW w:type="dxa" w:w="316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Why this weight</w:t>
            </w:r>
          </w:p>
        </w:tc>
      </w:tr>
      <w:tr>
        <w:tc>
          <w:tcPr>
            <w:tcW w:type="dxa" w:w="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AVGO</w:t>
            </w:r>
          </w:p>
        </w:tc>
        <w:tc>
          <w:tcPr>
            <w:tcW w:type="dxa" w:w="1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Broadcom</w:t>
            </w:r>
          </w:p>
        </w:tc>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US$322</w:t>
            </w:r>
          </w:p>
        </w:tc>
        <w:tc>
          <w:tcPr>
            <w:tcW w:type="dxa" w:w="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14%</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w:t>
            </w:r>
          </w:p>
        </w:tc>
        <w:tc>
          <w:tcPr>
            <w:tcW w:type="dxa" w:w="1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SOUND</w:t>
            </w:r>
          </w:p>
        </w:tc>
        <w:tc>
          <w:tcPr>
            <w:tcW w:type="dxa" w:w="31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Highest conviction; 22% off peak; FY2027 AI guidance; 77% gross margins</w:t>
            </w:r>
          </w:p>
        </w:tc>
      </w:tr>
      <w:tr>
        <w:tc>
          <w:tcPr>
            <w:tcW w:type="dxa" w:w="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TSM</w:t>
            </w:r>
          </w:p>
        </w:tc>
        <w:tc>
          <w:tcPr>
            <w:tcW w:type="dxa" w:w="1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TSMC</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US$340</w:t>
            </w:r>
          </w:p>
        </w:tc>
        <w:tc>
          <w:tcPr>
            <w:tcW w:type="dxa" w:w="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13%</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ACCEPTABLE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SOUND</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Manufacturing chokepoint; geopolitical discount creates real pricing gap; ~30x P/E</w:t>
            </w:r>
          </w:p>
        </w:tc>
      </w:tr>
      <w:tr>
        <w:tc>
          <w:tcPr>
            <w:tcW w:type="dxa" w:w="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NVDA</w:t>
            </w:r>
          </w:p>
        </w:tc>
        <w:tc>
          <w:tcPr>
            <w:tcW w:type="dxa" w:w="1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Nvidia</w:t>
            </w:r>
          </w:p>
        </w:tc>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US$182</w:t>
            </w:r>
          </w:p>
        </w:tc>
        <w:tc>
          <w:tcPr>
            <w:tcW w:type="dxa" w:w="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10%</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ACCEPTABLE</w:t>
            </w:r>
          </w:p>
        </w:tc>
        <w:tc>
          <w:tcPr>
            <w:tcW w:type="dxa" w:w="1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SOUND</w:t>
            </w:r>
          </w:p>
        </w:tc>
        <w:tc>
          <w:tcPr>
            <w:tcW w:type="dxa" w:w="31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Core winner; GTC demand signal; 44x P/E caps weight — cannot afford guidance miss</w:t>
            </w:r>
          </w:p>
        </w:tc>
      </w:tr>
      <w:tr>
        <w:tc>
          <w:tcPr>
            <w:tcW w:type="dxa" w:w="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VST</w:t>
            </w:r>
          </w:p>
        </w:tc>
        <w:tc>
          <w:tcPr>
            <w:tcW w:type="dxa" w:w="1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Vistra</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US$158</w:t>
            </w:r>
          </w:p>
        </w:tc>
        <w:tc>
          <w:tcPr>
            <w:tcW w:type="dxa" w:w="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9%</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SOUND</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Highest analyst consensus upside (48%); 30% off peak; 18 Buy ratings</w:t>
            </w:r>
          </w:p>
        </w:tc>
      </w:tr>
      <w:tr>
        <w:tc>
          <w:tcPr>
            <w:tcW w:type="dxa" w:w="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ETN</w:t>
            </w:r>
          </w:p>
        </w:tc>
        <w:tc>
          <w:tcPr>
            <w:tcW w:type="dxa" w:w="1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Eaton</w:t>
            </w:r>
          </w:p>
        </w:tc>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US$364</w:t>
            </w:r>
          </w:p>
        </w:tc>
        <w:tc>
          <w:tcPr>
            <w:tcW w:type="dxa" w:w="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9%</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w:t>
            </w:r>
          </w:p>
        </w:tc>
        <w:tc>
          <w:tcPr>
            <w:tcW w:type="dxa" w:w="1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SOUND</w:t>
            </w:r>
          </w:p>
        </w:tc>
        <w:tc>
          <w:tcPr>
            <w:tcW w:type="dxa" w:w="31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DSX contributor; reasonable multiple; grid-to-chip architecture thesis; Boyd Thermal adds cooling</w:t>
            </w:r>
          </w:p>
        </w:tc>
      </w:tr>
      <w:tr>
        <w:tc>
          <w:tcPr>
            <w:tcW w:type="dxa" w:w="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6</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APH</w:t>
            </w:r>
          </w:p>
        </w:tc>
        <w:tc>
          <w:tcPr>
            <w:tcW w:type="dxa" w:w="1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Amphenol</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US$128</w:t>
            </w:r>
          </w:p>
        </w:tc>
        <w:tc>
          <w:tcPr>
            <w:tcW w:type="dxa" w:w="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8%</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26% below consensus; record FY2025; Strong Buy consensus; underfollowed</w:t>
            </w:r>
          </w:p>
        </w:tc>
      </w:tr>
      <w:tr>
        <w:tc>
          <w:tcPr>
            <w:tcW w:type="dxa" w:w="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7</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FIX</w:t>
            </w:r>
          </w:p>
        </w:tc>
        <w:tc>
          <w:tcPr>
            <w:tcW w:type="dxa" w:w="1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Comfort Systems</w:t>
            </w:r>
          </w:p>
        </w:tc>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~US$1,380</w:t>
            </w:r>
          </w:p>
        </w:tc>
        <w:tc>
          <w:tcPr>
            <w:tcW w:type="dxa" w:w="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7%</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ACCEPTABLE</w:t>
            </w:r>
          </w:p>
        </w:tc>
        <w:tc>
          <w:tcPr>
            <w:tcW w:type="dxa" w:w="1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w:t>
            </w:r>
          </w:p>
        </w:tc>
        <w:tc>
          <w:tcPr>
            <w:tcW w:type="dxa" w:w="31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Largest EPS beat in portfolio (39%); record $11.9B backlog; information gap still open</w:t>
            </w:r>
          </w:p>
        </w:tc>
      </w:tr>
      <w:tr>
        <w:tc>
          <w:tcPr>
            <w:tcW w:type="dxa" w:w="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8</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NLR</w:t>
            </w:r>
          </w:p>
        </w:tc>
        <w:tc>
          <w:tcPr>
            <w:tcW w:type="dxa" w:w="1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VanEck Nuclear ETF</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US$137</w:t>
            </w:r>
          </w:p>
        </w:tc>
        <w:tc>
          <w:tcPr>
            <w:tcW w:type="dxa" w:w="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7%</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SOUND</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19% below 52-wk high; diversified nuclear; PPAs contracted; SMR risk-disclosed</w:t>
            </w:r>
          </w:p>
        </w:tc>
      </w:tr>
      <w:tr>
        <w:tc>
          <w:tcPr>
            <w:tcW w:type="dxa" w:w="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9</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FCX</w:t>
            </w:r>
          </w:p>
        </w:tc>
        <w:tc>
          <w:tcPr>
            <w:tcW w:type="dxa" w:w="1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Freeport</w:t>
            </w:r>
          </w:p>
        </w:tc>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US$58</w:t>
            </w:r>
          </w:p>
        </w:tc>
        <w:tc>
          <w:tcPr>
            <w:tcW w:type="dxa" w:w="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6%</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ACCEPTABLE</w:t>
            </w:r>
          </w:p>
        </w:tc>
        <w:tc>
          <w:tcPr>
            <w:tcW w:type="dxa" w:w="1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SOUND</w:t>
            </w:r>
          </w:p>
        </w:tc>
        <w:tc>
          <w:tcPr>
            <w:tcW w:type="dxa" w:w="31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Structural copper deficit T1-sourced; Grasberg catalyst Q2 2026; 17% off ATH</w:t>
            </w:r>
          </w:p>
        </w:tc>
      </w:tr>
      <w:tr>
        <w:tc>
          <w:tcPr>
            <w:tcW w:type="dxa" w:w="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10</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GEV</w:t>
            </w:r>
          </w:p>
        </w:tc>
        <w:tc>
          <w:tcPr>
            <w:tcW w:type="dxa" w:w="1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GE Vernova</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US$858</w:t>
            </w:r>
          </w:p>
        </w:tc>
        <w:tc>
          <w:tcPr>
            <w:tcW w:type="dxa" w:w="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STRETCHED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SOUND</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NVIDIA DSX energy partner; gas bridge fuel; backlog confirmation pending — reduced weight</w:t>
            </w:r>
          </w:p>
        </w:tc>
      </w:tr>
      <w:tr>
        <w:tc>
          <w:tcPr>
            <w:tcW w:type="dxa" w:w="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11</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HUBB</w:t>
            </w:r>
          </w:p>
        </w:tc>
        <w:tc>
          <w:tcPr>
            <w:tcW w:type="dxa" w:w="1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Hubbell</w:t>
            </w:r>
          </w:p>
        </w:tc>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US$477</w:t>
            </w:r>
          </w:p>
        </w:tc>
        <w:tc>
          <w:tcPr>
            <w:tcW w:type="dxa" w:w="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w:t>
            </w:r>
          </w:p>
        </w:tc>
        <w:tc>
          <w:tcPr>
            <w:tcW w:type="dxa" w:w="1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SOUND</w:t>
            </w:r>
          </w:p>
        </w:tc>
        <w:tc>
          <w:tcPr>
            <w:tcW w:type="dxa" w:w="31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Reasonable 24x trailing; grid ballast; JPM Conference catalyst; 9% below peak</w:t>
            </w:r>
          </w:p>
        </w:tc>
      </w:tr>
      <w:tr>
        <w:tc>
          <w:tcPr>
            <w:tcW w:type="dxa" w:w="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12</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NXT.ASX</w:t>
            </w:r>
          </w:p>
        </w:tc>
        <w:tc>
          <w:tcPr>
            <w:tcW w:type="dxa" w:w="1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NextDC</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A$13.24</w:t>
            </w:r>
          </w:p>
        </w:tc>
        <w:tc>
          <w:tcPr>
            <w:tcW w:type="dxa" w:w="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SOUND</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51% below consensus; strongest T1 data in portfolio (ASX legal disclosure); AUD</w:t>
            </w:r>
          </w:p>
        </w:tc>
      </w:tr>
      <w:tr>
        <w:tc>
          <w:tcPr>
            <w:tcW w:type="dxa" w:w="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13</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BHP.ASX</w:t>
            </w:r>
          </w:p>
        </w:tc>
        <w:tc>
          <w:tcPr>
            <w:tcW w:type="dxa" w:w="1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BHP</w:t>
            </w:r>
          </w:p>
        </w:tc>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A$~41</w:t>
            </w:r>
          </w:p>
        </w:tc>
        <w:tc>
          <w:tcPr>
            <w:tcW w:type="dxa" w:w="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STRONG</w:t>
            </w:r>
          </w:p>
        </w:tc>
        <w:tc>
          <w:tcPr>
            <w:tcW w:type="dxa" w:w="1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SOUND</w:t>
            </w:r>
          </w:p>
        </w:tc>
        <w:tc>
          <w:tcPr>
            <w:tcW w:type="dxa" w:w="31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AUD; franking credits; copper structural thesis; low multiple (14x trailing)</w:t>
            </w:r>
          </w:p>
        </w:tc>
      </w:tr>
      <w:tr>
        <w:tc>
          <w:tcPr>
            <w:tcW w:type="dxa" w:w="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14</w:t>
            </w:r>
          </w:p>
        </w:tc>
        <w:tc>
          <w:tcPr>
            <w:tcW w:type="dxa" w:w="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CEG</w:t>
            </w:r>
          </w:p>
        </w:tc>
        <w:tc>
          <w:tcPr>
            <w:tcW w:type="dxa" w:w="17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Constellation</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US$320</w:t>
            </w:r>
          </w:p>
        </w:tc>
        <w:tc>
          <w:tcPr>
            <w:tcW w:type="dxa" w:w="6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4%</w:t>
            </w:r>
          </w:p>
        </w:tc>
        <w:tc>
          <w:tcPr>
            <w:tcW w:type="dxa" w:w="13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ACCEPTABLE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SOUND</w:t>
            </w:r>
          </w:p>
        </w:tc>
        <w:tc>
          <w:tcPr>
            <w:tcW w:type="dxa" w:w="31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Best nuclear operator; 20-yr PPAs contracted; re-rating largely done — reduced weight</w:t>
            </w:r>
          </w:p>
        </w:tc>
      </w:tr>
      <w:tr>
        <w:tc>
          <w:tcPr>
            <w:tcW w:type="dxa" w:w="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15</w:t>
            </w:r>
          </w:p>
        </w:tc>
        <w:tc>
          <w:tcPr>
            <w:tcW w:type="dxa" w:w="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PWR</w:t>
            </w:r>
          </w:p>
        </w:tc>
        <w:tc>
          <w:tcPr>
            <w:tcW w:type="dxa" w:w="17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Quanta</w:t>
            </w:r>
          </w:p>
        </w:tc>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US$572</w:t>
            </w:r>
          </w:p>
        </w:tc>
        <w:tc>
          <w:tcPr>
            <w:tcW w:type="dxa" w:w="6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w:t>
            </w:r>
          </w:p>
        </w:tc>
        <w:tc>
          <w:tcPr>
            <w:tcW w:type="dxa" w:w="13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POOR</w:t>
            </w:r>
          </w:p>
        </w:tc>
        <w:tc>
          <w:tcPr>
            <w:tcW w:type="dxa" w:w="1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SOUND</w:t>
            </w:r>
          </w:p>
        </w:tc>
        <w:tc>
          <w:tcPr>
            <w:tcW w:type="dxa" w:w="31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Excellent business; ABOVE consensus target; hard-capped at 3% per construction rules; watch Investor Day March 31</w:t>
            </w:r>
          </w:p>
        </w:tc>
      </w:tr>
    </w:tbl>
    <w:p>
      <w:pPr>
        <w:spacing w:before="15" w:after="55"/>
        <w:jc w:val="left"/>
      </w:pPr>
      <w:r>
        <w:rPr>
          <w:rFonts w:ascii="Arial" w:cs="Arial" w:eastAsia="Arial" w:hAnsi="Arial"/>
          <w:b w:val="false"/>
          <w:bCs w:val="false"/>
          <w:i/>
          <w:iCs/>
          <w:color w:val="64748B"/>
          <w:sz w:val="16"/>
          <w:szCs w:val="16"/>
        </w:rPr>
        <w:t xml:space="preserve">Source: All prices as of 18–19 March 2026. Weights are model weights — not required to sum to 100% of a full portfolio. Adjust to individual tax position, liquidity needs, and existing holdings.</w:t>
      </w:r>
    </w:p>
    <w:p>
      <w:pPr>
        <w:spacing w:before="80" w:after="0"/>
      </w:pPr>
      <w:r>
        <w:rPr>
          <w:rFonts w:ascii="Arial" w:cs="Arial" w:eastAsia="Arial" w:hAnsi="Arial"/>
          <w:b w:val="false"/>
          <w:bCs w:val="false"/>
          <w:i w:val="false"/>
          <w:iCs w:val="false"/>
          <w:color w:val="2D3748"/>
          <w:sz w:val="20"/>
          <w:szCs w:val="20"/>
        </w:rPr>
        <w:t xml:space="preserve"/>
      </w:r>
    </w:p>
    <w:p>
      <w:pPr>
        <w:pStyle w:val="Heading2"/>
        <w:spacing w:before="220" w:after="80"/>
      </w:pPr>
      <w:r>
        <w:rPr>
          <w:rFonts w:ascii="Arial" w:cs="Arial" w:eastAsia="Arial" w:hAnsi="Arial"/>
          <w:b/>
          <w:bCs/>
          <w:i w:val="false"/>
          <w:iCs w:val="false"/>
          <w:color w:val="134E4A"/>
          <w:sz w:val="22"/>
          <w:szCs w:val="22"/>
        </w:rPr>
        <w:t xml:space="preserve">Scenario Analysis — A$500,000 Deployment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900"/>
        <w:gridCol w:w="4660"/>
      </w:tblGrid>
      <w:tr>
        <w:tc>
          <w:tcPr>
            <w:tcW w:type="dxa" w:w="12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Scenario</w:t>
            </w:r>
          </w:p>
        </w:tc>
        <w:tc>
          <w:tcPr>
            <w:tcW w:type="dxa" w:w="14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5-Yr CAGR [HV]</w:t>
            </w:r>
          </w:p>
        </w:tc>
        <w:tc>
          <w:tcPr>
            <w:tcW w:type="dxa" w:w="14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A$500k grows to</w:t>
            </w:r>
          </w:p>
        </w:tc>
        <w:tc>
          <w:tcPr>
            <w:tcW w:type="dxa" w:w="90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Probability</w:t>
            </w:r>
          </w:p>
        </w:tc>
        <w:tc>
          <w:tcPr>
            <w:tcW w:type="dxa" w:w="4660"/>
            <w:tcBorders>
              <w:top w:val="single" w:color="CBD5E1" w:sz="1"/>
              <w:left w:val="single" w:color="CBD5E1" w:sz="1"/>
              <w:bottom w:val="single" w:color="CBD5E1" w:sz="1"/>
              <w:right w:val="single" w:color="CBD5E1" w:sz="1"/>
            </w:tcBorders>
            <w:shd w:fill="134E4A" w:val="clear"/>
            <w:tcMar>
              <w:top w:type="dxa" w:w="80"/>
              <w:left w:type="dxa" w:w="110"/>
              <w:bottom w:type="dxa" w:w="80"/>
              <w:right w:type="dxa" w:w="110"/>
            </w:tcMar>
          </w:tcPr>
          <w:p>
            <w:pPr>
              <w:spacing w:before="70" w:after="70"/>
              <w:jc w:val="left"/>
            </w:pPr>
            <w:r>
              <w:rPr>
                <w:rFonts w:ascii="Arial" w:cs="Arial" w:eastAsia="Arial" w:hAnsi="Arial"/>
                <w:b/>
                <w:bCs/>
                <w:i w:val="false"/>
                <w:iCs w:val="false"/>
                <w:color w:val="FFFFFF"/>
                <w:sz w:val="16"/>
                <w:szCs w:val="16"/>
              </w:rPr>
              <w:t xml:space="preserve">What breaks it</w:t>
            </w:r>
          </w:p>
        </w:tc>
      </w:tr>
      <w:tr>
        <w:tc>
          <w:tcPr>
            <w:tcW w:type="dxa" w:w="1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Bull</w:t>
            </w:r>
          </w:p>
        </w:tc>
        <w:tc>
          <w:tcPr>
            <w:tcW w:type="dxa" w:w="14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~28–34%</w:t>
            </w:r>
          </w:p>
        </w:tc>
        <w:tc>
          <w:tcPr>
            <w:tcW w:type="dxa" w:w="14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~A$1.7–2.1M</w:t>
            </w:r>
          </w:p>
        </w:tc>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~20%</w:t>
            </w:r>
          </w:p>
        </w:tc>
        <w:tc>
          <w:tcPr>
            <w:tcW w:type="dxa" w:w="46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AI capex sustains; copper deficit arrives; VST power prices stay elevated; FIX backlog converts at record pace</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Base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~16–20%</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~A$1.05–1.25M</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~55%</w:t>
            </w:r>
          </w:p>
        </w:tc>
        <w:tc>
          <w:tcPr>
            <w:tcW w:type="dxa" w:w="4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AI buildout continues at current pace; no efficiency shock; macro within historical norms; no TSMC disruption</w:t>
            </w:r>
          </w:p>
        </w:tc>
      </w:tr>
      <w:tr>
        <w:tc>
          <w:tcPr>
            <w:tcW w:type="dxa" w:w="12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Bear</w:t>
            </w:r>
          </w:p>
        </w:tc>
        <w:tc>
          <w:tcPr>
            <w:tcW w:type="dxa" w:w="14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~3–7%</w:t>
            </w:r>
          </w:p>
        </w:tc>
        <w:tc>
          <w:tcPr>
            <w:tcW w:type="dxa" w:w="14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~A$580–700k</w:t>
            </w:r>
          </w:p>
        </w:tc>
        <w:tc>
          <w:tcPr>
            <w:tcW w:type="dxa" w:w="90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~20%</w:t>
            </w:r>
          </w:p>
        </w:tc>
        <w:tc>
          <w:tcPr>
            <w:tcW w:type="dxa" w:w="4660"/>
            <w:tcBorders>
              <w:top w:val="single" w:color="CBD5E1" w:sz="1"/>
              <w:left w:val="single" w:color="CBD5E1" w:sz="1"/>
              <w:bottom w:val="single" w:color="CBD5E1" w:sz="1"/>
              <w:right w:val="single" w:color="CBD5E1" w:sz="1"/>
            </w:tcBorders>
            <w:shd w:fill="F7F8FA"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AI efficiency shock reduces GPU demand 30%+; one major hyperscaler pauses capex; copper demand miss</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Severe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~−8 to −15%</w:t>
            </w:r>
          </w:p>
        </w:tc>
        <w:tc>
          <w:tcPr>
            <w:tcW w:type="dxa" w:w="14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~A$250–350k</w:t>
            </w:r>
          </w:p>
        </w:tc>
        <w:tc>
          <w:tcPr>
            <w:tcW w:type="dxa" w:w="90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~5%</w:t>
            </w:r>
          </w:p>
        </w:tc>
        <w:tc>
          <w:tcPr>
            <w:tcW w:type="dxa" w:w="4660"/>
            <w:tcBorders>
              <w:top w:val="single" w:color="CBD5E1" w:sz="1"/>
              <w:left w:val="single" w:color="CBD5E1" w:sz="1"/>
              <w:bottom w:val="single" w:color="CBD5E1" w:sz="1"/>
              <w:right w:val="single" w:color="CBD5E1" w:sz="1"/>
            </w:tcBorders>
            <w:shd w:fill="FFFFFF" w:val="clear"/>
            <w:tcMar>
              <w:top w:type="dxa" w:w="70"/>
              <w:left w:type="dxa" w:w="110"/>
              <w:bottom w:type="dxa" w:w="70"/>
              <w:right w:type="dxa" w:w="110"/>
            </w:tcMar>
          </w:tcPr>
          <w:p>
            <w:pPr>
              <w:spacing w:before="70" w:after="70"/>
              <w:jc w:val="left"/>
            </w:pPr>
            <w:r>
              <w:rPr>
                <w:rFonts w:ascii="Arial" w:cs="Arial" w:eastAsia="Arial" w:hAnsi="Arial"/>
                <w:b w:val="false"/>
                <w:bCs w:val="false"/>
                <w:i w:val="false"/>
                <w:iCs w:val="false"/>
                <w:color w:val="2D3748"/>
                <w:sz w:val="17"/>
                <w:szCs w:val="17"/>
              </w:rPr>
              <w:t xml:space="preserve">Taiwan Strait escalation (TSMC + correlated compute drawdown) + simultaneous AI spending collapse + global recession</w:t>
            </w:r>
          </w:p>
        </w:tc>
      </w:tr>
    </w:tbl>
    <w:p>
      <w:pPr>
        <w:spacing w:before="30" w:after="30"/>
        <w:jc w:val="left"/>
      </w:pPr>
      <w:r>
        <w:rPr>
          <w:rFonts w:ascii="Arial" w:cs="Arial" w:eastAsia="Arial" w:hAnsi="Arial"/>
          <w:b w:val="false"/>
          <w:bCs w:val="false"/>
          <w:i/>
          <w:iCs/>
          <w:color w:val="64748B"/>
          <w:sz w:val="17"/>
          <w:szCs w:val="17"/>
        </w:rPr>
        <w:t xml:space="preserve">[HOUSE VIEW] — all scenario returns are model estimates, not forecasts. Probabilities are subjective and may be wrong.</w:t>
      </w:r>
    </w:p>
    <w:p>
      <w:pPr>
        <w:spacing w:before="100" w:after="0"/>
      </w:pPr>
      <w:r>
        <w:rPr>
          <w:rFonts w:ascii="Arial" w:cs="Arial" w:eastAsia="Arial" w:hAnsi="Arial"/>
          <w:b w:val="false"/>
          <w:bCs w:val="false"/>
          <w:i w:val="false"/>
          <w:iCs w:val="false"/>
          <w:color w:val="2D3748"/>
          <w:sz w:val="20"/>
          <w:szCs w:val="20"/>
        </w:rPr>
        <w:t xml:space="preserve"/>
      </w:r>
    </w:p>
    callout =&gt; null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shd w:fill="1A2E4A" w:val="clear"/>
            <w:tcMar>
              <w:top w:type="dxa" w:w="0"/>
              <w:left w:type="dxa" w:w="0"/>
              <w:bottom w:type="dxa" w:w="0"/>
              <w:right w:type="dxa" w:w="0"/>
            </w:tcMar>
          </w:tcPr>
          <w:p>
            <w:pPr>
              <w:spacing w:before="70" w:after="70"/>
              <w:jc w:val="left"/>
            </w:pPr>
            <w:r>
              <w:rPr>
                <w:rFonts w:ascii="Arial" w:cs="Arial" w:eastAsia="Arial" w:hAnsi="Arial"/>
                <w:b w:val="false"/>
                <w:bCs w:val="false"/>
                <w:i w:val="false"/>
                <w:iCs w:val="false"/>
                <w:color w:val="2D3748"/>
                <w:sz w:val="20"/>
                <w:szCs w:val="20"/>
              </w:rPr>
              <w:t xml:space="preserve"/>
            </w:r>
          </w:p>
        </w:tc>
        <w:tc>
          <w:tcPr>
            <w:tcW w:type="dxa" w:w="9160"/>
            <w:shd w:fill="DBEAFE" w:val="clear"/>
            <w:tcMar>
              <w:top w:type="dxa" w:w="110"/>
              <w:left w:type="dxa" w:w="160"/>
              <w:bottom w:type="dxa" w:w="110"/>
              <w:right w:type="dxa" w:w="160"/>
            </w:tcMar>
          </w:tcPr>
          <w:p>
            <w:pPr>
              <w:spacing w:before="70" w:after="50"/>
              <w:jc w:val="left"/>
            </w:pPr>
            <w:r>
              <w:rPr>
                <w:rFonts w:ascii="Arial" w:cs="Arial" w:eastAsia="Arial" w:hAnsi="Arial"/>
                <w:b/>
                <w:bCs/>
                <w:i w:val="false"/>
                <w:iCs w:val="false"/>
                <w:color w:val="1A2E4A"/>
                <w:sz w:val="18"/>
                <w:szCs w:val="18"/>
              </w:rPr>
              <w:t xml:space="preserve">HONEST CEILING STATEMENT</w:t>
            </w:r>
          </w:p>
          <w:p>
            <w:pPr>
              <w:spacing w:before="70" w:after="70"/>
              <w:jc w:val="left"/>
            </w:pPr>
            <w:r>
              <w:rPr>
                <w:rFonts w:ascii="Arial" w:cs="Arial" w:eastAsia="Arial" w:hAnsi="Arial"/>
                <w:b w:val="false"/>
                <w:bCs w:val="false"/>
                <w:i w:val="false"/>
                <w:iCs w:val="false"/>
                <w:color w:val="2D3748"/>
                <w:sz w:val="19"/>
                <w:szCs w:val="19"/>
              </w:rPr>
              <w:t xml:space="preserve">This pipeline, running on public-source data with no Bloomberg, FactSet, or LSEG access, targets a quality ceiling of approximately 8.4–8.8/10. Reaching true terminal-grade quality (9.1–9.3/10) requires licensed consensus data, estimate revision history, and broker-by-broker coverage that cannot be replicated from public sources. The workflow is designed to be honest about this ceiling. The most important gaps are: (1) no consensus estimate revisions history — we cannot show whether estimates are rising or falling across brokers; (2) no broker-by-broker target distribution — our consensus figures are aggregated platform snapshots; (3) approximate historical multiple data — Macrotrends and Koyfin free tier provide partial histories, not institutional-grade multiple bands.</w:t>
            </w:r>
          </w:p>
        </w:tc>
      </w:tr>
    </w:tbl>
    <w:p>
      <w:pPr>
        <w:spacing w:before="80" w:after="0"/>
      </w:pPr>
      <w:r>
        <w:rPr>
          <w:rFonts w:ascii="Arial" w:cs="Arial" w:eastAsia="Arial" w:hAnsi="Arial"/>
          <w:b w:val="false"/>
          <w:bCs w:val="false"/>
          <w:i w:val="false"/>
          <w:iCs w:val="false"/>
          <w:color w:val="2D3748"/>
          <w:sz w:val="20"/>
          <w:szCs w:val="20"/>
        </w:rPr>
        <w:t xml:space="preserve"/>
      </w:r>
    </w:p>
    <w:p>
      <w:pPr>
        <w:spacing w:before="60" w:after="60"/>
        <w:jc w:val="left"/>
      </w:pPr>
      <w:r>
        <w:rPr>
          <w:rFonts w:ascii="Arial" w:cs="Arial" w:eastAsia="Arial" w:hAnsi="Arial"/>
          <w:b w:val="false"/>
          <w:bCs w:val="false"/>
          <w:i w:val="false"/>
          <w:iCs w:val="false"/>
          <w:color w:val="2D3748"/>
          <w:sz w:val="19"/>
          <w:szCs w:val="19"/>
        </w:rPr>
        <w:t xml:space="preserve">Not financial product advice. Not produced by or affiliated with any regulated financial institution. For educational and informational purposes only. Verify all prices before acting. Consult a licensed financial services professional before making investment decisions.</w:t>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before="50" w:after="0"/>
    </w:pPr>
    <w:r>
      <w:rPr>
        <w:rFonts w:ascii="Arial" w:cs="Arial" w:eastAsia="Arial" w:hAnsi="Arial"/>
        <w:b w:val="false"/>
        <w:bCs w:val="false"/>
        <w:i/>
        <w:iCs/>
        <w:color w:val="64748B"/>
        <w:sz w:val="13"/>
        <w:szCs w:val="13"/>
      </w:rPr>
      <w:t xml:space="preserve">EDUCATIONAL PURPOSES ONLY. NOT FINANCIAL PRODUCT ADVICE. NOT AFFILIATED WITH ANY REGULATED INSTITUTION. VERIFY PRICES BEFORE INVESTING.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spacing w:before="0" w:after="50"/>
    </w:pPr>
    <w:r>
      <w:rPr>
        <w:rFonts w:ascii="Arial" w:cs="Arial" w:eastAsia="Arial" w:hAnsi="Arial"/>
        <w:b/>
        <w:bCs/>
        <w:i w:val="false"/>
        <w:iCs w:val="false"/>
        <w:color w:val="1A2E4A"/>
        <w:sz w:val="14"/>
        <w:szCs w:val="14"/>
      </w:rPr>
      <w:t xml:space="preserve">PRIVATE CLIENT RESEARCH  ·  AI INFRASTRUCTURE 15-STOCK FRAMEWORK  ·  V5.0  ·  8-STAGE PIPELINE</w:t>
    </w:r>
    <w:r>
      <w:rPr>
        <w:rFonts w:ascii="Arial" w:cs="Arial" w:eastAsia="Arial" w:hAnsi="Arial"/>
        <w:b w:val="false"/>
        <w:bCs w:val="false"/>
        <w:i w:val="false"/>
        <w:iCs w:val="false"/>
        <w:color w:val="64748B"/>
        <w:sz w:val="14"/>
        <w:szCs w:val="14"/>
      </w:rPr>
      <w:t xml:space="preserve">   ·  19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1A2E4A"/>
      <w:sz w:val="28"/>
      <w:szCs w:val="28"/>
    </w:rPr>
  </w:style>
  <w:style w:type="paragraph" w:styleId="Heading2">
    <w:name w:val="Heading 2"/>
    <w:basedOn w:val="Normal"/>
    <w:next w:val="Normal"/>
    <w:qFormat/>
    <w:pPr>
      <w:spacing w:before="220" w:after="80"/>
      <w:outlineLvl w:val="1"/>
    </w:pPr>
    <w:rPr>
      <w:rFonts w:ascii="Arial" w:cs="Arial" w:eastAsia="Arial" w:hAnsi="Arial"/>
      <w:b/>
      <w:bCs/>
      <w:color w:val="1A2E4A"/>
      <w:sz w:val="22"/>
      <w:szCs w:val="22"/>
    </w:rPr>
  </w:style>
  <w:style w:type="paragraph" w:styleId="Heading3">
    <w:name w:val="Heading 3"/>
    <w:basedOn w:val="Normal"/>
    <w:next w:val="Normal"/>
    <w:qFormat/>
    <w:pPr>
      <w:spacing w:before="160" w:after="50"/>
      <w:outlineLvl w:val="2"/>
    </w:pPr>
    <w:rPr>
      <w:rFonts w:ascii="Arial" w:cs="Arial" w:eastAsia="Arial" w:hAnsi="Arial"/>
      <w:b/>
      <w:bCs/>
      <w:color w:val="2D3748"/>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2026-03-19T04:57:54.003Z</dcterms:created>
  <dcterms:modified xsi:type="dcterms:W3CDTF">2026-03-19T04:57:54.004Z</dcterms:modified>
</cp:coreProperties>
</file>

<file path=docProps/custom.xml><?xml version="1.0" encoding="utf-8"?>
<Properties xmlns="http://schemas.openxmlformats.org/officeDocument/2006/custom-properties" xmlns:vt="http://schemas.openxmlformats.org/officeDocument/2006/docPropsVTypes"/>
</file>