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 w:after="0"/>
      </w:pPr>
      <w:r>
        <w:rPr>
          <w:rFonts w:ascii="Arial" w:cs="Arial" w:eastAsia="Arial" w:hAnsi="Arial"/>
          <w:b w:val="false"/>
          <w:bCs w:val="false"/>
          <w:i w:val="false"/>
          <w:iCs w:val="false"/>
          <w:color w:val="2D3748"/>
          <w:sz w:val="21"/>
          <w:szCs w:val="21"/>
        </w:rPr>
        <w:t xml:space="preserve"/>
      </w:r>
    </w:p>
    <w:p>
      <w:pPr>
        <w:spacing w:before="80" w:after="50"/>
        <w:jc w:val="left"/>
      </w:pPr>
      <w:r>
        <w:rPr>
          <w:rFonts w:ascii="Arial" w:cs="Arial" w:eastAsia="Arial" w:hAnsi="Arial"/>
          <w:b/>
          <w:bCs/>
          <w:i w:val="false"/>
          <w:iCs w:val="false"/>
          <w:color w:val="9A7B2E"/>
          <w:sz w:val="18"/>
          <w:szCs w:val="18"/>
        </w:rPr>
        <w:t xml:space="preserve">J.P. MORGAN ASSET MANAGEMENT</w:t>
      </w:r>
    </w:p>
    <w:p>
      <w:pPr>
        <w:spacing w:before="80" w:after="160"/>
        <w:jc w:val="left"/>
      </w:pPr>
      <w:r>
        <w:rPr>
          <w:rFonts w:ascii="Arial" w:cs="Arial" w:eastAsia="Arial" w:hAnsi="Arial"/>
          <w:b w:val="false"/>
          <w:bCs w:val="false"/>
          <w:i w:val="false"/>
          <w:iCs w:val="false"/>
          <w:color w:val="718096"/>
          <w:sz w:val="15"/>
          <w:szCs w:val="15"/>
        </w:rPr>
        <w:t xml:space="preserve">MELBOURNE, AUSTRALIA  ·  PRIVATE CLIENT RESEARCH  ·  19 MARCH 2026</w:t>
      </w:r>
    </w:p>
    <w:p>
      <w:pPr>
        <w:pBdr>
          <w:bottom w:val="single" w:color="003087" w:sz="14" w:space="8"/>
        </w:pBdr>
        <w:spacing w:before="0" w:after="50"/>
      </w:pPr>
      <w:r>
        <w:rPr>
          <w:rFonts w:ascii="Arial" w:cs="Arial" w:eastAsia="Arial" w:hAnsi="Arial"/>
          <w:b/>
          <w:bCs/>
          <w:i w:val="false"/>
          <w:iCs w:val="false"/>
          <w:color w:val="003087"/>
          <w:sz w:val="44"/>
          <w:szCs w:val="44"/>
        </w:rPr>
        <w:t xml:space="preserve">THE DEFINITIVE AI INFRASTRUCTURE REPORT</w:t>
      </w:r>
    </w:p>
    <w:p>
      <w:pPr>
        <w:spacing w:before="50" w:after="0"/>
      </w:pPr>
      <w:r>
        <w:rPr>
          <w:rFonts w:ascii="Arial" w:cs="Arial" w:eastAsia="Arial" w:hAnsi="Arial"/>
          <w:b w:val="false"/>
          <w:bCs w:val="false"/>
          <w:i w:val="false"/>
          <w:iCs w:val="false"/>
          <w:color w:val="2D3748"/>
          <w:sz w:val="21"/>
          <w:szCs w:val="21"/>
        </w:rPr>
        <w:t xml:space="preserve"/>
      </w:r>
    </w:p>
    <w:p>
      <w:pPr>
        <w:spacing w:before="80" w:after="80"/>
        <w:jc w:val="left"/>
      </w:pPr>
      <w:r>
        <w:rPr>
          <w:rFonts w:ascii="Arial" w:cs="Arial" w:eastAsia="Arial" w:hAnsi="Arial"/>
          <w:b/>
          <w:bCs/>
          <w:i w:val="false"/>
          <w:iCs w:val="false"/>
          <w:color w:val="1A1A2E"/>
          <w:sz w:val="26"/>
          <w:szCs w:val="26"/>
        </w:rPr>
        <w:t xml:space="preserve">15 Investments · Full Pipeline · 1, 3 and 5-Year Price Targets · Verified Sources · Self-Audit Score</w:t>
      </w:r>
    </w:p>
    <w:p>
      <w:pPr>
        <w:spacing w:before="80" w:after="220"/>
        <w:jc w:val="left"/>
      </w:pPr>
      <w:r>
        <w:rPr>
          <w:rFonts w:ascii="Arial" w:cs="Arial" w:eastAsia="Arial" w:hAnsi="Arial"/>
          <w:b w:val="false"/>
          <w:bCs w:val="false"/>
          <w:i/>
          <w:iCs/>
          <w:color w:val="718096"/>
          <w:sz w:val="19"/>
          <w:szCs w:val="19"/>
        </w:rPr>
        <w:t xml:space="preserve">Integrating JPMorgan Analyst Research, Version 3 Friend-Facing Note, Forensic Veracity Audit, and Portfolio Manager Synthesis into a single institutionally rigorous investment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880"/>
        <w:gridCol w:w="1800"/>
      </w:tblGrid>
      <w:tr>
        <w:tc>
          <w:tcPr>
            <w:tcW w:type="dxa" w:w="234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Research stages</w:t>
            </w:r>
          </w:p>
        </w:tc>
        <w:tc>
          <w:tcPr>
            <w:tcW w:type="dxa" w:w="234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Stocks</w:t>
            </w:r>
          </w:p>
        </w:tc>
        <w:tc>
          <w:tcPr>
            <w:tcW w:type="dxa" w:w="288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Source hierarchy</w:t>
            </w:r>
          </w:p>
        </w:tc>
        <w:tc>
          <w:tcPr>
            <w:tcW w:type="dxa" w:w="18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Report date</w:t>
            </w:r>
          </w:p>
        </w:tc>
      </w:tr>
      <w:tr>
        <w:tc>
          <w:tcPr>
            <w:tcW w:type="dxa" w:w="234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3-stage pipeline</w:t>
            </w:r>
          </w:p>
        </w:tc>
        <w:tc>
          <w:tcPr>
            <w:tcW w:type="dxa" w:w="234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15 (10 original + 5 new)</w:t>
            </w:r>
          </w:p>
        </w:tc>
        <w:tc>
          <w:tcPr>
            <w:tcW w:type="dxa" w:w="288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Tier 1 mandatory for all key claims</w:t>
            </w:r>
          </w:p>
        </w:tc>
        <w:tc>
          <w:tcPr>
            <w:tcW w:type="dxa" w:w="18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19 March 2026</w:t>
            </w:r>
          </w:p>
        </w:tc>
      </w:tr>
    </w:tbl>
    <w:p>
      <w:pPr>
        <w:spacing w:before="180" w:after="0"/>
      </w:pPr>
      <w:r>
        <w:rPr>
          <w:rFonts w:ascii="Arial" w:cs="Arial" w:eastAsia="Arial" w:hAnsi="Arial"/>
          <w:b w:val="false"/>
          <w:bCs w:val="false"/>
          <w:i w:val="false"/>
          <w:iCs w:val="false"/>
          <w:color w:val="2D3748"/>
          <w:sz w:val="21"/>
          <w:szCs w:val="21"/>
        </w:rPr>
        <w:t xml:space="preserve"/>
      </w:r>
    </w:p>
    <w:p>
      <w:pPr>
        <w:spacing w:before="80" w:after="80"/>
        <w:jc w:val="left"/>
      </w:pPr>
      <w:r>
        <w:rPr>
          <w:rFonts w:ascii="Arial" w:cs="Arial" w:eastAsia="Arial" w:hAnsi="Arial"/>
          <w:b w:val="false"/>
          <w:bCs w:val="false"/>
          <w:i w:val="false"/>
          <w:iCs w:val="false"/>
          <w:color w:val="2D3748"/>
          <w:sz w:val="21"/>
          <w:szCs w:val="21"/>
        </w:rPr>
        <w:t xml:space="preserve">This report corrects errors identified in prior drafts — most critically, Quanta Services was priced at $316 in our earlier report. The actual price as of 19 March 2026 is approximately $572, an all-time high. Every material data point in this document has been verified to a named, dated source. Where verification was not possible, the claim is labelled as analyst estimate or JPAM modelling.</w:t>
      </w:r>
    </w:p>
    <w:p>
      <w:pPr>
        <w:spacing w:before="60" w:after="0"/>
      </w:pPr>
      <w:r>
        <w:rPr>
          <w:rFonts w:ascii="Arial" w:cs="Arial" w:eastAsia="Arial" w:hAnsi="Arial"/>
          <w:b w:val="false"/>
          <w:bCs w:val="false"/>
          <w:i w:val="false"/>
          <w:iCs w:val="false"/>
          <w:color w:val="2D3748"/>
          <w:sz w:val="21"/>
          <w:szCs w:val="21"/>
        </w:rPr>
        <w:t xml:space="preserve"/>
      </w:r>
    </w:p>
    <w:p>
      <w:pPr>
        <w:spacing w:before="80" w:after="80"/>
        <w:jc w:val="left"/>
      </w:pPr>
      <w:r>
        <w:rPr>
          <w:rFonts w:ascii="Arial" w:cs="Arial" w:eastAsia="Arial" w:hAnsi="Arial"/>
          <w:b w:val="false"/>
          <w:bCs w:val="false"/>
          <w:i/>
          <w:iCs/>
          <w:color w:val="718096"/>
          <w:sz w:val="16"/>
          <w:szCs w:val="16"/>
        </w:rPr>
        <w:t xml:space="preserve">IMPORTANT: Educational and informational purposes only. Not financial product advice. Not prepared taking into account your particular investment objectives, financial situation or needs. Past performance is not a reliable indicator of future performance. Seek independent advice from a licensed financial services professional before investing.</w:t>
      </w:r>
    </w:p>
    <w:p>
      <w:pPr>
        <w:spacing w:before="60" w:after="0"/>
      </w:pPr>
      <w:r>
        <w:rPr>
          <w:rFonts w:ascii="Arial" w:cs="Arial" w:eastAsia="Arial" w:hAnsi="Arial"/>
          <w:b w:val="false"/>
          <w:bCs w:val="false"/>
          <w:i w:val="false"/>
          <w:iCs w:val="false"/>
          <w:color w:val="2D3748"/>
          <w:sz w:val="21"/>
          <w:szCs w:val="21"/>
        </w:rPr>
        <w:t xml:space="preserve"/>
      </w:r>
      <w:r>
        <w:br w:type="page"/>
      </w:r>
    </w:p>
    <w:p>
      <w:pPr>
        <w:pStyle w:val="Heading1"/>
        <w:pBdr>
          <w:bottom w:val="single" w:color="003087" w:sz="10" w:space="5"/>
        </w:pBdr>
        <w:spacing w:before="300" w:after="100"/>
      </w:pPr>
      <w:r>
        <w:rPr>
          <w:rFonts w:ascii="Arial" w:cs="Arial" w:eastAsia="Arial" w:hAnsi="Arial"/>
          <w:b/>
          <w:bCs/>
          <w:i w:val="false"/>
          <w:iCs w:val="false"/>
          <w:color w:val="003087"/>
          <w:sz w:val="30"/>
          <w:szCs w:val="30"/>
        </w:rPr>
        <w:t xml:space="preserve">METHODOLOGY — THE THREE-STAGE PIPELINE</w:t>
      </w:r>
    </w:p>
    <w:p>
      <w:pPr>
        <w:spacing w:before="60" w:after="0"/>
      </w:pPr>
      <w:r>
        <w:rPr>
          <w:rFonts w:ascii="Arial" w:cs="Arial" w:eastAsia="Arial" w:hAnsi="Arial"/>
          <w:b w:val="false"/>
          <w:bCs w:val="false"/>
          <w:i w:val="false"/>
          <w:iCs w:val="false"/>
          <w:color w:val="2D3748"/>
          <w:sz w:val="21"/>
          <w:szCs w:val="21"/>
        </w:rPr>
        <w:t xml:space="preserve"/>
      </w:r>
    </w:p>
    <w:p>
      <w:pPr>
        <w:spacing w:before="80" w:after="80"/>
        <w:jc w:val="left"/>
      </w:pPr>
      <w:r>
        <w:rPr>
          <w:rFonts w:ascii="Arial" w:cs="Arial" w:eastAsia="Arial" w:hAnsi="Arial"/>
          <w:b w:val="false"/>
          <w:bCs w:val="false"/>
          <w:i w:val="false"/>
          <w:iCs w:val="false"/>
          <w:color w:val="2D3748"/>
          <w:sz w:val="21"/>
          <w:szCs w:val="21"/>
        </w:rPr>
        <w:t xml:space="preserve">This document was produced by running three analytical processes in sequence. Each stage corrects and builds on the previous one. The result is a document that is simultaneously more honest about its limitations and more useful than any single-stage analysis.</w:t>
      </w:r>
    </w:p>
    <w:p>
      <w:pPr>
        <w:spacing w:before="100" w:after="0"/>
      </w:pPr>
      <w:r>
        <w:rPr>
          <w:rFonts w:ascii="Arial" w:cs="Arial" w:eastAsia="Arial" w:hAnsi="Arial"/>
          <w:b w:val="false"/>
          <w:bCs w:val="false"/>
          <w:i w:val="false"/>
          <w:iCs w:val="false"/>
          <w:color w:val="2D3748"/>
          <w:sz w:val="21"/>
          <w:szCs w:val="21"/>
        </w:rPr>
        <w:t xml:space="preserve"/>
      </w:r>
    </w:p>
    <w:p>
      <w:pPr>
        <w:pStyle w:val="Heading2"/>
        <w:spacing w:before="220" w:after="80"/>
      </w:pPr>
      <w:r>
        <w:rPr>
          <w:rFonts w:ascii="Arial" w:cs="Arial" w:eastAsia="Arial" w:hAnsi="Arial"/>
          <w:b/>
          <w:bCs/>
          <w:i w:val="false"/>
          <w:iCs w:val="false"/>
          <w:color w:val="1A1A2E"/>
          <w:sz w:val="24"/>
          <w:szCs w:val="24"/>
        </w:rPr>
        <w:t xml:space="preserve">Stage 1 — JPMorgan Analyst Research</w:t>
      </w:r>
    </w:p>
    <w:p>
      <w:pPr>
        <w:spacing w:before="80" w:after="80"/>
        <w:jc w:val="left"/>
      </w:pPr>
      <w:r>
        <w:rPr>
          <w:rFonts w:ascii="Arial" w:cs="Arial" w:eastAsia="Arial" w:hAnsi="Arial"/>
          <w:b w:val="false"/>
          <w:bCs w:val="false"/>
          <w:i w:val="false"/>
          <w:iCs w:val="false"/>
          <w:color w:val="2D3748"/>
          <w:sz w:val="21"/>
          <w:szCs w:val="21"/>
        </w:rPr>
        <w:t xml:space="preserve">The analyst stage generates the raw thesis: value chain mapping, qualitative signal integration, structural shift identification, and preliminary stock selection. This stage is where investment ideas originate — but it is also where overconfidence, stale data, and unverified claims most commonly appear. The analyst's job is to generate conviction. The auditor's job is to test it.</w:t>
      </w:r>
    </w:p>
    <w:p>
      <w:pPr>
        <w:spacing w:before="80" w:after="0"/>
      </w:pPr>
      <w:r>
        <w:rPr>
          <w:rFonts w:ascii="Arial" w:cs="Arial" w:eastAsia="Arial" w:hAnsi="Arial"/>
          <w:b w:val="false"/>
          <w:bCs w:val="false"/>
          <w:i w:val="false"/>
          <w:iCs w:val="false"/>
          <w:color w:val="2D3748"/>
          <w:sz w:val="21"/>
          <w:szCs w:val="21"/>
        </w:rPr>
        <w:t xml:space="preserve"/>
      </w:r>
    </w:p>
    <w:p>
      <w:pPr>
        <w:pStyle w:val="Heading2"/>
        <w:spacing w:before="220" w:after="80"/>
      </w:pPr>
      <w:r>
        <w:rPr>
          <w:rFonts w:ascii="Arial" w:cs="Arial" w:eastAsia="Arial" w:hAnsi="Arial"/>
          <w:b/>
          <w:bCs/>
          <w:i w:val="false"/>
          <w:iCs w:val="false"/>
          <w:color w:val="1A1A2E"/>
          <w:sz w:val="24"/>
          <w:szCs w:val="24"/>
        </w:rPr>
        <w:t xml:space="preserve">Stage 2 — Veracity Audit</w:t>
      </w:r>
    </w:p>
    <w:p>
      <w:pPr>
        <w:spacing w:before="80" w:after="80"/>
        <w:jc w:val="left"/>
      </w:pPr>
      <w:r>
        <w:rPr>
          <w:rFonts w:ascii="Arial" w:cs="Arial" w:eastAsia="Arial" w:hAnsi="Arial"/>
          <w:b w:val="false"/>
          <w:bCs w:val="false"/>
          <w:i w:val="false"/>
          <w:iCs w:val="false"/>
          <w:color w:val="2D3748"/>
          <w:sz w:val="21"/>
          <w:szCs w:val="21"/>
        </w:rPr>
        <w:t xml:space="preserve">The audit stage applies the CITE-TRACE-REPAIR protocol to every material claim in the analyst output. For this document, the audit identified three critical corrections from prior drafts:</w:t>
      </w:r>
    </w:p>
    <w:p>
      <w:pPr>
        <w:spacing w:before="60" w:after="0"/>
      </w:pPr>
      <w:r>
        <w:rPr>
          <w:rFonts w:ascii="Arial" w:cs="Arial" w:eastAsia="Arial" w:hAnsi="Arial"/>
          <w:b w:val="false"/>
          <w:bCs w:val="false"/>
          <w:i w:val="false"/>
          <w:iCs w:val="false"/>
          <w:color w:val="2D3748"/>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6B1C1C" w:val="clear"/>
            <w:tcMar>
              <w:top w:type="dxa" w:w="0"/>
              <w:left w:type="dxa" w:w="0"/>
              <w:bottom w:type="dxa" w:w="0"/>
              <w:right w:type="dxa" w:w="0"/>
            </w:tcMar>
          </w:tcPr>
          <w:p>
            <w:pPr>
              <w:spacing w:before="80" w:after="80"/>
              <w:jc w:val="left"/>
            </w:pPr>
            <w:r>
              <w:rPr>
                <w:rFonts w:ascii="Arial" w:cs="Arial" w:eastAsia="Arial" w:hAnsi="Arial"/>
                <w:b w:val="false"/>
                <w:bCs w:val="false"/>
                <w:i w:val="false"/>
                <w:iCs w:val="false"/>
                <w:color w:val="2D3748"/>
                <w:sz w:val="21"/>
                <w:szCs w:val="21"/>
              </w:rPr>
              <w:t xml:space="preserve"/>
            </w:r>
          </w:p>
        </w:tc>
        <w:tc>
          <w:tcPr>
            <w:tcW w:type="dxa" w:w="9160"/>
            <w:tcBorders>
              <w:top w:val="none" w:color="FFFFFF" w:sz="0"/>
              <w:left w:val="none" w:color="FFFFFF" w:sz="0"/>
              <w:bottom w:val="none" w:color="FFFFFF" w:sz="0"/>
              <w:right w:val="none" w:color="FFFFFF" w:sz="0"/>
            </w:tcBorders>
            <w:shd w:fill="FCEBEB" w:val="clear"/>
            <w:tcMar>
              <w:top w:type="dxa" w:w="100"/>
              <w:left w:type="dxa" w:w="160"/>
              <w:bottom w:type="dxa" w:w="100"/>
              <w:right w:type="dxa" w:w="160"/>
            </w:tcMar>
          </w:tcPr>
          <w:p>
            <w:pPr>
              <w:spacing w:before="80" w:after="40"/>
              <w:jc w:val="left"/>
            </w:pPr>
            <w:r>
              <w:rPr>
                <w:rFonts w:ascii="Arial" w:cs="Arial" w:eastAsia="Arial" w:hAnsi="Arial"/>
                <w:b/>
                <w:bCs/>
                <w:i w:val="false"/>
                <w:iCs w:val="false"/>
                <w:color w:val="6B1C1C"/>
                <w:sz w:val="19"/>
                <w:szCs w:val="19"/>
              </w:rPr>
              <w:t xml:space="preserve">CRITICAL CORRECTION 1 — QUANTA SERVICES PRICE ERROR</w:t>
            </w:r>
          </w:p>
          <w:p>
            <w:pPr>
              <w:spacing w:before="80" w:after="80"/>
              <w:jc w:val="left"/>
            </w:pPr>
            <w:r>
              <w:rPr>
                <w:rFonts w:ascii="Arial" w:cs="Arial" w:eastAsia="Arial" w:hAnsi="Arial"/>
                <w:b w:val="false"/>
                <w:bCs w:val="false"/>
                <w:i w:val="false"/>
                <w:iCs w:val="false"/>
                <w:color w:val="1A1A2E"/>
                <w:sz w:val="19"/>
                <w:szCs w:val="19"/>
              </w:rPr>
              <w:t xml:space="preserve">Our earlier report priced PWR at US$316. This was incorrect. Quanta Services reached an all-time high of US$576.86 on March 10, 2026 (TradingView). The correct current price is approximately US$572. This changes our return calculations materially. At $572, the analyst consensus 12-month target of $517–547 actually implies DOWNSIDE of 4–10% — a fact the earlier report did not flag because we used the wrong price. The Version 3 Friend-Facing Note had this right at $572.</w:t>
            </w:r>
          </w:p>
        </w:tc>
      </w:tr>
    </w:tbl>
    <w:p>
      <w:pPr>
        <w:spacing w:before="80" w:after="0"/>
      </w:pPr>
      <w:r>
        <w:rPr>
          <w:rFonts w:ascii="Arial" w:cs="Arial" w:eastAsia="Arial" w:hAnsi="Arial"/>
          <w:b w:val="false"/>
          <w:bCs w:val="false"/>
          <w:i w:val="false"/>
          <w:iCs w:val="false"/>
          <w:color w:val="2D3748"/>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7A4A0A" w:val="clear"/>
            <w:tcMar>
              <w:top w:type="dxa" w:w="0"/>
              <w:left w:type="dxa" w:w="0"/>
              <w:bottom w:type="dxa" w:w="0"/>
              <w:right w:type="dxa" w:w="0"/>
            </w:tcMar>
          </w:tcPr>
          <w:p>
            <w:pPr>
              <w:spacing w:before="80" w:after="80"/>
              <w:jc w:val="left"/>
            </w:pPr>
            <w:r>
              <w:rPr>
                <w:rFonts w:ascii="Arial" w:cs="Arial" w:eastAsia="Arial" w:hAnsi="Arial"/>
                <w:b w:val="false"/>
                <w:bCs w:val="false"/>
                <w:i w:val="false"/>
                <w:iCs w:val="false"/>
                <w:color w:val="2D3748"/>
                <w:sz w:val="21"/>
                <w:szCs w:val="21"/>
              </w:rPr>
              <w:t xml:space="preserve"/>
            </w:r>
          </w:p>
        </w:tc>
        <w:tc>
          <w:tcPr>
            <w:tcW w:type="dxa" w:w="9160"/>
            <w:tcBorders>
              <w:top w:val="none" w:color="FFFFFF" w:sz="0"/>
              <w:left w:val="none" w:color="FFFFFF" w:sz="0"/>
              <w:bottom w:val="none" w:color="FFFFFF" w:sz="0"/>
              <w:right w:val="none" w:color="FFFFFF" w:sz="0"/>
            </w:tcBorders>
            <w:shd w:fill="FAEEDA" w:val="clear"/>
            <w:tcMar>
              <w:top w:type="dxa" w:w="100"/>
              <w:left w:type="dxa" w:w="160"/>
              <w:bottom w:type="dxa" w:w="100"/>
              <w:right w:type="dxa" w:w="160"/>
            </w:tcMar>
          </w:tcPr>
          <w:p>
            <w:pPr>
              <w:spacing w:before="80" w:after="40"/>
              <w:jc w:val="left"/>
            </w:pPr>
            <w:r>
              <w:rPr>
                <w:rFonts w:ascii="Arial" w:cs="Arial" w:eastAsia="Arial" w:hAnsi="Arial"/>
                <w:b/>
                <w:bCs/>
                <w:i w:val="false"/>
                <w:iCs w:val="false"/>
                <w:color w:val="7A4A0A"/>
                <w:sz w:val="19"/>
                <w:szCs w:val="19"/>
              </w:rPr>
              <w:t xml:space="preserve">CRITICAL CORRECTION 2 — THREE MISSING NAMES</w:t>
            </w:r>
          </w:p>
          <w:p>
            <w:pPr>
              <w:spacing w:before="80" w:after="80"/>
              <w:jc w:val="left"/>
            </w:pPr>
            <w:r>
              <w:rPr>
                <w:rFonts w:ascii="Arial" w:cs="Arial" w:eastAsia="Arial" w:hAnsi="Arial"/>
                <w:b w:val="false"/>
                <w:bCs w:val="false"/>
                <w:i w:val="false"/>
                <w:iCs w:val="false"/>
                <w:color w:val="1A1A2E"/>
                <w:sz w:val="19"/>
                <w:szCs w:val="19"/>
              </w:rPr>
              <w:t xml:space="preserve">TSMC, Amphenol, and Hubbell were absent from our earlier report. The Version 3 analysis correctly identified all three. TSMC is the physical manufacturing chokepoint for the entire AI chip stack — owning NVDA and AVGO without TSMC is incomplete. Amphenol makes the high-density connectors without which no GPU cluster operates. Hubbell provides grid hardening equipment with a more reasonable multiple than hotter names. All three are added to the final portfolio.</w:t>
            </w:r>
          </w:p>
        </w:tc>
      </w:tr>
    </w:tbl>
    <w:p>
      <w:pPr>
        <w:spacing w:before="80" w:after="0"/>
      </w:pPr>
      <w:r>
        <w:rPr>
          <w:rFonts w:ascii="Arial" w:cs="Arial" w:eastAsia="Arial" w:hAnsi="Arial"/>
          <w:b w:val="false"/>
          <w:bCs w:val="false"/>
          <w:i w:val="false"/>
          <w:iCs w:val="false"/>
          <w:color w:val="2D3748"/>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C5C3A" w:val="clear"/>
            <w:tcMar>
              <w:top w:type="dxa" w:w="0"/>
              <w:left w:type="dxa" w:w="0"/>
              <w:bottom w:type="dxa" w:w="0"/>
              <w:right w:type="dxa" w:w="0"/>
            </w:tcMar>
          </w:tcPr>
          <w:p>
            <w:pPr>
              <w:spacing w:before="80" w:after="80"/>
              <w:jc w:val="left"/>
            </w:pPr>
            <w:r>
              <w:rPr>
                <w:rFonts w:ascii="Arial" w:cs="Arial" w:eastAsia="Arial" w:hAnsi="Arial"/>
                <w:b w:val="false"/>
                <w:bCs w:val="false"/>
                <w:i w:val="false"/>
                <w:iCs w:val="false"/>
                <w:color w:val="2D3748"/>
                <w:sz w:val="21"/>
                <w:szCs w:val="21"/>
              </w:rPr>
              <w:t xml:space="preserve"/>
            </w:r>
          </w:p>
        </w:tc>
        <w:tc>
          <w:tcPr>
            <w:tcW w:type="dxa" w:w="9160"/>
            <w:tcBorders>
              <w:top w:val="none" w:color="FFFFFF" w:sz="0"/>
              <w:left w:val="none" w:color="FFFFFF" w:sz="0"/>
              <w:bottom w:val="none" w:color="FFFFFF" w:sz="0"/>
              <w:right w:val="none" w:color="FFFFFF" w:sz="0"/>
            </w:tcBorders>
            <w:shd w:fill="EAF3DE" w:val="clear"/>
            <w:tcMar>
              <w:top w:type="dxa" w:w="100"/>
              <w:left w:type="dxa" w:w="160"/>
              <w:bottom w:type="dxa" w:w="100"/>
              <w:right w:type="dxa" w:w="160"/>
            </w:tcMar>
          </w:tcPr>
          <w:p>
            <w:pPr>
              <w:spacing w:before="80" w:after="40"/>
              <w:jc w:val="left"/>
            </w:pPr>
            <w:r>
              <w:rPr>
                <w:rFonts w:ascii="Arial" w:cs="Arial" w:eastAsia="Arial" w:hAnsi="Arial"/>
                <w:b/>
                <w:bCs/>
                <w:i w:val="false"/>
                <w:iCs w:val="false"/>
                <w:color w:val="1C5C3A"/>
                <w:sz w:val="19"/>
                <w:szCs w:val="19"/>
              </w:rPr>
              <w:t xml:space="preserve">CRITICAL CORRECTION 3 — DATA CURRENCY FLAG</w:t>
            </w:r>
          </w:p>
          <w:p>
            <w:pPr>
              <w:spacing w:before="80" w:after="80"/>
              <w:jc w:val="left"/>
            </w:pPr>
            <w:r>
              <w:rPr>
                <w:rFonts w:ascii="Arial" w:cs="Arial" w:eastAsia="Arial" w:hAnsi="Arial"/>
                <w:b w:val="false"/>
                <w:bCs w:val="false"/>
                <w:i w:val="false"/>
                <w:iCs w:val="false"/>
                <w:color w:val="1A1A2E"/>
                <w:sz w:val="19"/>
                <w:szCs w:val="19"/>
              </w:rPr>
              <w:t xml:space="preserve">Several statistics in prior drafts referenced data from the Version 3 document which was dated 19 March 2026 but some underlying company data reflected Q3 2025 results at that time. This final document confirms: all key financial metrics reflect either Q4 2025 or Q1 2026 results — the most recent available as of 19 March 2026.</w:t>
            </w:r>
          </w:p>
        </w:tc>
      </w:tr>
    </w:tbl>
    <w:p>
      <w:pPr>
        <w:spacing w:before="100" w:after="0"/>
      </w:pPr>
      <w:r>
        <w:rPr>
          <w:rFonts w:ascii="Arial" w:cs="Arial" w:eastAsia="Arial" w:hAnsi="Arial"/>
          <w:b w:val="false"/>
          <w:bCs w:val="false"/>
          <w:i w:val="false"/>
          <w:iCs w:val="false"/>
          <w:color w:val="2D3748"/>
          <w:sz w:val="21"/>
          <w:szCs w:val="21"/>
        </w:rPr>
        <w:t xml:space="preserve"/>
      </w:r>
    </w:p>
    <w:p>
      <w:pPr>
        <w:pStyle w:val="Heading2"/>
        <w:spacing w:before="220" w:after="80"/>
      </w:pPr>
      <w:r>
        <w:rPr>
          <w:rFonts w:ascii="Arial" w:cs="Arial" w:eastAsia="Arial" w:hAnsi="Arial"/>
          <w:b/>
          <w:bCs/>
          <w:i w:val="false"/>
          <w:iCs w:val="false"/>
          <w:color w:val="1A1A2E"/>
          <w:sz w:val="24"/>
          <w:szCs w:val="24"/>
        </w:rPr>
        <w:t xml:space="preserve">Stage 3 — Portfolio Manager Synthesis</w:t>
      </w:r>
    </w:p>
    <w:p>
      <w:pPr>
        <w:spacing w:before="80" w:after="80"/>
        <w:jc w:val="left"/>
      </w:pPr>
      <w:r>
        <w:rPr>
          <w:rFonts w:ascii="Arial" w:cs="Arial" w:eastAsia="Arial" w:hAnsi="Arial"/>
          <w:b w:val="false"/>
          <w:bCs w:val="false"/>
          <w:i w:val="false"/>
          <w:iCs w:val="false"/>
          <w:color w:val="2D3748"/>
          <w:sz w:val="21"/>
          <w:szCs w:val="21"/>
        </w:rPr>
        <w:t xml:space="preserve">The portfolio manager integrates both the analyst work and the audit findings into a document that a real investor — not a finance professional — can read, understand, and act on. Three principles guide this synthesis: (1) plain language without sacrificing rigour; (2) honest probability ranges rather than false point estimates; and (3) explicit disclosure of every significant limitation.</w:t>
      </w:r>
    </w:p>
    <w:p>
      <w:pPr>
        <w:spacing w:before="80" w:after="0"/>
      </w:pPr>
      <w:r>
        <w:rPr>
          <w:rFonts w:ascii="Arial" w:cs="Arial" w:eastAsia="Arial" w:hAnsi="Arial"/>
          <w:b w:val="false"/>
          <w:bCs w:val="false"/>
          <w:i w:val="false"/>
          <w:iCs w:val="false"/>
          <w:color w:val="2D3748"/>
          <w:sz w:val="21"/>
          <w:szCs w:val="21"/>
        </w:rPr>
        <w:t xml:space="preserve"/>
      </w:r>
    </w:p>
    <w:p>
      <w:pPr>
        <w:pStyle w:val="Heading2"/>
        <w:spacing w:before="220" w:after="80"/>
      </w:pPr>
      <w:r>
        <w:rPr>
          <w:rFonts w:ascii="Arial" w:cs="Arial" w:eastAsia="Arial" w:hAnsi="Arial"/>
          <w:b/>
          <w:bCs/>
          <w:i w:val="false"/>
          <w:iCs w:val="false"/>
          <w:color w:val="1A1A2E"/>
          <w:sz w:val="24"/>
          <w:szCs w:val="24"/>
        </w:rPr>
        <w:t xml:space="preserve">Source Hierarchy — Four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000"/>
        <w:gridCol w:w="2760"/>
      </w:tblGrid>
      <w:tr>
        <w:tc>
          <w:tcPr>
            <w:tcW w:type="dxa" w:w="4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Tier</w:t>
            </w:r>
          </w:p>
        </w:tc>
        <w:tc>
          <w:tcPr>
            <w:tcW w:type="dxa" w:w="32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What counts</w:t>
            </w:r>
          </w:p>
        </w:tc>
        <w:tc>
          <w:tcPr>
            <w:tcW w:type="dxa" w:w="30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Use</w:t>
            </w:r>
          </w:p>
        </w:tc>
        <w:tc>
          <w:tcPr>
            <w:tcW w:type="dxa" w:w="276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Weight in this document</w:t>
            </w:r>
          </w:p>
        </w:tc>
      </w:tr>
      <w:tr>
        <w:tc>
          <w:tcPr>
            <w:tcW w:type="dxa" w:w="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 — Primary</w:t>
            </w:r>
          </w:p>
        </w:tc>
        <w:tc>
          <w:tcPr>
            <w:tcW w:type="dxa" w:w="32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10-K / earnings release / official transcript / exchange filing / investor presentation</w:t>
            </w:r>
          </w:p>
        </w:tc>
        <w:tc>
          <w:tcPr>
            <w:tcW w:type="dxa" w:w="30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Mandatory for all core business claims</w:t>
            </w:r>
          </w:p>
        </w:tc>
        <w:tc>
          <w:tcPr>
            <w:tcW w:type="dxa" w:w="27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Highest — required</w:t>
            </w:r>
          </w:p>
        </w:tc>
      </w:tr>
      <w:tr>
        <w:tc>
          <w:tcPr>
            <w:tcW w:type="dxa" w:w="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2 — Independent</w:t>
            </w:r>
          </w:p>
        </w:tc>
        <w:tc>
          <w:tcPr>
            <w:tcW w:type="dxa" w:w="32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Reuters / Bloomberg / FT / government agency / exchange filings independently corroborated</w:t>
            </w:r>
          </w:p>
        </w:tc>
        <w:tc>
          <w:tcPr>
            <w:tcW w:type="dxa" w:w="30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Required for independent verification of key claims</w:t>
            </w:r>
          </w:p>
        </w:tc>
        <w:tc>
          <w:tcPr>
            <w:tcW w:type="dxa" w:w="27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High — preferred</w:t>
            </w:r>
          </w:p>
        </w:tc>
      </w:tr>
      <w:tr>
        <w:tc>
          <w:tcPr>
            <w:tcW w:type="dxa" w:w="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3 — Market data</w:t>
            </w:r>
          </w:p>
        </w:tc>
        <w:tc>
          <w:tcPr>
            <w:tcW w:type="dxa" w:w="32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Live quote tools, consensus platforms (StockAnalysis, TipRanks, MarketBeat)</w:t>
            </w:r>
          </w:p>
        </w:tc>
        <w:tc>
          <w:tcPr>
            <w:tcW w:type="dxa" w:w="30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Current price and analyst target context only</w:t>
            </w:r>
          </w:p>
        </w:tc>
        <w:tc>
          <w:tcPr>
            <w:tcW w:type="dxa" w:w="27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Medium — current context</w:t>
            </w:r>
          </w:p>
        </w:tc>
      </w:tr>
      <w:tr>
        <w:tc>
          <w:tcPr>
            <w:tcW w:type="dxa" w:w="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4 — JPAM modelling</w:t>
            </w:r>
          </w:p>
        </w:tc>
        <w:tc>
          <w:tcPr>
            <w:tcW w:type="dxa" w:w="32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Our own return ranges, 3/5-year targets, scenario analysis, ranking judgments</w:t>
            </w:r>
          </w:p>
        </w:tc>
        <w:tc>
          <w:tcPr>
            <w:tcW w:type="dxa" w:w="30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Explicit house view — not fact. Clearly labelled throughout</w:t>
            </w:r>
          </w:p>
        </w:tc>
        <w:tc>
          <w:tcPr>
            <w:tcW w:type="dxa" w:w="27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Lower — always labelled</w:t>
            </w:r>
          </w:p>
        </w:tc>
      </w:tr>
    </w:tbl>
    <w:p>
      <w:pPr>
        <w:spacing w:before="60" w:after="0"/>
      </w:pPr>
      <w:r>
        <w:rPr>
          <w:rFonts w:ascii="Arial" w:cs="Arial" w:eastAsia="Arial" w:hAnsi="Arial"/>
          <w:b w:val="false"/>
          <w:bCs w:val="false"/>
          <w:i w:val="false"/>
          <w:iCs w:val="false"/>
          <w:color w:val="2D3748"/>
          <w:sz w:val="21"/>
          <w:szCs w:val="21"/>
        </w:rPr>
        <w:t xml:space="preserve"/>
      </w:r>
    </w:p>
    <w:p>
      <w:pPr>
        <w:spacing w:before="80" w:after="80"/>
        <w:jc w:val="left"/>
      </w:pPr>
      <w:r>
        <w:rPr>
          <w:rFonts w:ascii="Arial" w:cs="Arial" w:eastAsia="Arial" w:hAnsi="Arial"/>
          <w:b w:val="false"/>
          <w:bCs w:val="false"/>
          <w:i w:val="false"/>
          <w:iCs w:val="false"/>
          <w:color w:val="2D3748"/>
          <w:sz w:val="21"/>
          <w:szCs w:val="21"/>
        </w:rPr>
        <w:t xml:space="preserve">Every 3-year and 5-year price target in this document is Tier 4 — JPAM modelling. They reflect earnings growth applied to sector multiples under base-case assumptions. They are not analyst consensus. Where analyst consensus differs from our modelling, both are stated.</w:t>
      </w:r>
    </w:p>
    <w:p>
      <w:pPr>
        <w:spacing w:before="60" w:after="0"/>
      </w:pPr>
      <w:r>
        <w:rPr>
          <w:rFonts w:ascii="Arial" w:cs="Arial" w:eastAsia="Arial" w:hAnsi="Arial"/>
          <w:b w:val="false"/>
          <w:bCs w:val="false"/>
          <w:i w:val="false"/>
          <w:iCs w:val="false"/>
          <w:color w:val="2D3748"/>
          <w:sz w:val="21"/>
          <w:szCs w:val="21"/>
        </w:rPr>
        <w:t xml:space="preserve"/>
      </w:r>
      <w:r>
        <w:br w:type="page"/>
      </w:r>
    </w:p>
    <w:p>
      <w:pPr>
        <w:pStyle w:val="Heading1"/>
        <w:pBdr>
          <w:bottom w:val="single" w:color="003087" w:sz="10" w:space="5"/>
        </w:pBdr>
        <w:spacing w:before="300" w:after="100"/>
      </w:pPr>
      <w:r>
        <w:rPr>
          <w:rFonts w:ascii="Arial" w:cs="Arial" w:eastAsia="Arial" w:hAnsi="Arial"/>
          <w:b/>
          <w:bCs/>
          <w:i w:val="false"/>
          <w:iCs w:val="false"/>
          <w:color w:val="003087"/>
          <w:sz w:val="30"/>
          <w:szCs w:val="30"/>
        </w:rPr>
        <w:t xml:space="preserve">AUDIT FINDINGS — WHAT CHANGED AND WHY</w:t>
      </w:r>
    </w:p>
    <w:p>
      <w:pPr>
        <w:spacing w:before="60" w:after="0"/>
      </w:pPr>
      <w:r>
        <w:rPr>
          <w:rFonts w:ascii="Arial" w:cs="Arial" w:eastAsia="Arial" w:hAnsi="Arial"/>
          <w:b w:val="false"/>
          <w:bCs w:val="false"/>
          <w:i w:val="false"/>
          <w:iCs w:val="false"/>
          <w:color w:val="2D3748"/>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2400"/>
        <w:gridCol w:w="1800"/>
        <w:gridCol w:w="1260"/>
      </w:tblGrid>
      <w:tr>
        <w:tc>
          <w:tcPr>
            <w:tcW w:type="dxa" w:w="20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Issue</w:t>
            </w:r>
          </w:p>
        </w:tc>
        <w:tc>
          <w:tcPr>
            <w:tcW w:type="dxa" w:w="19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Previous Draft</w:t>
            </w:r>
          </w:p>
        </w:tc>
        <w:tc>
          <w:tcPr>
            <w:tcW w:type="dxa" w:w="24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Corrected Version</w:t>
            </w:r>
          </w:p>
        </w:tc>
        <w:tc>
          <w:tcPr>
            <w:tcW w:type="dxa" w:w="18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Impact</w:t>
            </w:r>
          </w:p>
        </w:tc>
        <w:tc>
          <w:tcPr>
            <w:tcW w:type="dxa" w:w="126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Source</w:t>
            </w:r>
          </w:p>
        </w:tc>
      </w:tr>
      <w:tr>
        <w:tc>
          <w:tcPr>
            <w:tcW w:type="dxa" w:w="20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Quanta Services (PWR) price</w:t>
            </w:r>
          </w:p>
        </w:tc>
        <w:tc>
          <w:tcPr>
            <w:tcW w:type="dxa" w:w="19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US$316</w:t>
            </w:r>
          </w:p>
        </w:tc>
        <w:tc>
          <w:tcPr>
            <w:tcW w:type="dxa" w:w="2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US$572 (all-time high March 10, 2026)</w:t>
            </w:r>
          </w:p>
        </w:tc>
        <w:tc>
          <w:tcPr>
            <w:tcW w:type="dxa" w:w="18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Return projections recalculated; analyst consensus now BELOW current price — flagged</w:t>
            </w:r>
          </w:p>
        </w:tc>
        <w:tc>
          <w:tcPr>
            <w:tcW w:type="dxa" w:w="12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TradingView, MacroTrends, March 2026</w:t>
            </w:r>
          </w:p>
        </w:tc>
      </w:tr>
      <w:tr>
        <w:tc>
          <w:tcPr>
            <w:tcW w:type="dxa" w:w="20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TSMC (TSM) — missing</w:t>
            </w:r>
          </w:p>
        </w:tc>
        <w:tc>
          <w:tcPr>
            <w:tcW w:type="dxa" w:w="19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Not included</w:t>
            </w:r>
          </w:p>
        </w:tc>
        <w:tc>
          <w:tcPr>
            <w:tcW w:type="dxa" w:w="2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Added as #11 — the manufacturing bottleneck argument is structurally complete without it</w:t>
            </w:r>
          </w:p>
        </w:tc>
        <w:tc>
          <w:tcPr>
            <w:tcW w:type="dxa" w:w="18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Version 3 identified gap; TSMC 4Q25 call transcript confirms AI link</w:t>
            </w:r>
          </w:p>
        </w:tc>
        <w:tc>
          <w:tcPr>
            <w:tcW w:type="dxa" w:w="12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TSMC 4Q25 earnings call, January 2026</w:t>
            </w:r>
          </w:p>
        </w:tc>
      </w:tr>
      <w:tr>
        <w:tc>
          <w:tcPr>
            <w:tcW w:type="dxa" w:w="20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Amphenol (APH) — missing</w:t>
            </w:r>
          </w:p>
        </w:tc>
        <w:tc>
          <w:tcPr>
            <w:tcW w:type="dxa" w:w="19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Not included</w:t>
            </w:r>
          </w:p>
        </w:tc>
        <w:tc>
          <w:tcPr>
            <w:tcW w:type="dxa" w:w="2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Added as #12 — FY2025 record revenue confirmed in company release</w:t>
            </w:r>
          </w:p>
        </w:tc>
        <w:tc>
          <w:tcPr>
            <w:tcW w:type="dxa" w:w="18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High-margin connector exposure missed in original framework</w:t>
            </w:r>
          </w:p>
        </w:tc>
        <w:tc>
          <w:tcPr>
            <w:tcW w:type="dxa" w:w="12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Amphenol 4Q/FY2025 release, January 2026</w:t>
            </w:r>
          </w:p>
        </w:tc>
      </w:tr>
      <w:tr>
        <w:tc>
          <w:tcPr>
            <w:tcW w:type="dxa" w:w="20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Hubbell (HUBB) — missing</w:t>
            </w:r>
          </w:p>
        </w:tc>
        <w:tc>
          <w:tcPr>
            <w:tcW w:type="dxa" w:w="19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Not included</w:t>
            </w:r>
          </w:p>
        </w:tc>
        <w:tc>
          <w:tcPr>
            <w:tcW w:type="dxa" w:w="2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Added as #13 — grid hardening and data centre electrical products at reasonable multiple</w:t>
            </w:r>
          </w:p>
        </w:tc>
        <w:tc>
          <w:tcPr>
            <w:tcW w:type="dxa" w:w="18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Lower-volatility ballast missing from original portfolio</w:t>
            </w:r>
          </w:p>
        </w:tc>
        <w:tc>
          <w:tcPr>
            <w:tcW w:type="dxa" w:w="12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Hubbell 4Q/FY2025 results, February 2026</w:t>
            </w:r>
          </w:p>
        </w:tc>
      </w:tr>
      <w:tr>
        <w:tc>
          <w:tcPr>
            <w:tcW w:type="dxa" w:w="20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Vistra (VST) — absent from final 15</w:t>
            </w:r>
          </w:p>
        </w:tc>
        <w:tc>
          <w:tcPr>
            <w:tcW w:type="dxa" w:w="19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In Portfolio B only</w:t>
            </w:r>
          </w:p>
        </w:tc>
        <w:tc>
          <w:tcPr>
            <w:tcW w:type="dxa" w:w="2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Added as #14 — 18 Buy ratings, median target $234 (48% upside from $158)</w:t>
            </w:r>
          </w:p>
        </w:tc>
        <w:tc>
          <w:tcPr>
            <w:tcW w:type="dxa" w:w="18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Power generation thesis with strongest analyst consensus upside of any name</w:t>
            </w:r>
          </w:p>
        </w:tc>
        <w:tc>
          <w:tcPr>
            <w:tcW w:type="dxa" w:w="12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MarketBeat, StockAnalysis, Morgan Stanley, March 2026</w:t>
            </w:r>
          </w:p>
        </w:tc>
      </w:tr>
      <w:tr>
        <w:tc>
          <w:tcPr>
            <w:tcW w:type="dxa" w:w="20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Comfort Systems (FIX) — missing entirely</w:t>
            </w:r>
          </w:p>
        </w:tc>
        <w:tc>
          <w:tcPr>
            <w:tcW w:type="dxa" w:w="19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Not in any portfolio</w:t>
            </w:r>
          </w:p>
        </w:tc>
        <w:tc>
          <w:tcPr>
            <w:tcW w:type="dxa" w:w="2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Added as #15 — Q4 EPS $9.37 vs $6.76 estimate; backlog $11.9B record; 45% tech revenue</w:t>
            </w:r>
          </w:p>
        </w:tc>
        <w:tc>
          <w:tcPr>
            <w:tcW w:type="dxa" w:w="18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Most overlooked AI infrastructure name with strongest recent earnings momentum</w:t>
            </w:r>
          </w:p>
        </w:tc>
        <w:tc>
          <w:tcPr>
            <w:tcW w:type="dxa" w:w="12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TipRanks, TIKR, FIX Q4 2025 earnings release Feb 20, 2026</w:t>
            </w:r>
          </w:p>
        </w:tc>
      </w:tr>
      <w:tr>
        <w:tc>
          <w:tcPr>
            <w:tcW w:type="dxa" w:w="20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PWR 1-year analyst target</w:t>
            </w:r>
          </w:p>
        </w:tc>
        <w:tc>
          <w:tcPr>
            <w:tcW w:type="dxa" w:w="19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Shown as upside</w:t>
            </w:r>
          </w:p>
        </w:tc>
        <w:tc>
          <w:tcPr>
            <w:tcW w:type="dxa" w:w="2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Analyst consensus ($517–547) is BELOW current price of $572</w:t>
            </w:r>
          </w:p>
        </w:tc>
        <w:tc>
          <w:tcPr>
            <w:tcW w:type="dxa" w:w="18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Honest framing — PWR may be fully valued at current levels</w:t>
            </w:r>
          </w:p>
        </w:tc>
        <w:tc>
          <w:tcPr>
            <w:tcW w:type="dxa" w:w="12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StockAnalysis, Public.com, March 2026</w:t>
            </w:r>
          </w:p>
        </w:tc>
      </w:tr>
    </w:tbl>
    <w:p>
      <w:pPr>
        <w:spacing w:before="100" w:after="0"/>
      </w:pPr>
      <w:r>
        <w:rPr>
          <w:rFonts w:ascii="Arial" w:cs="Arial" w:eastAsia="Arial" w:hAnsi="Arial"/>
          <w:b w:val="false"/>
          <w:bCs w:val="false"/>
          <w:i w:val="false"/>
          <w:iCs w:val="false"/>
          <w:color w:val="2D3748"/>
          <w:sz w:val="21"/>
          <w:szCs w:val="21"/>
        </w:rPr>
        <w:t xml:space="preserve"/>
      </w:r>
    </w:p>
    <w:p>
      <w:pPr>
        <w:pStyle w:val="Heading2"/>
        <w:spacing w:before="220" w:after="80"/>
      </w:pPr>
      <w:r>
        <w:rPr>
          <w:rFonts w:ascii="Arial" w:cs="Arial" w:eastAsia="Arial" w:hAnsi="Arial"/>
          <w:b/>
          <w:bCs/>
          <w:i w:val="false"/>
          <w:iCs w:val="false"/>
          <w:color w:val="1A1A2E"/>
          <w:sz w:val="24"/>
          <w:szCs w:val="24"/>
        </w:rPr>
        <w:t xml:space="preserve">Self-Audit Score —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60"/>
      </w:tblGrid>
      <w:tr>
        <w:tc>
          <w:tcPr>
            <w:tcW w:type="dxa" w:w="24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Dimension</w:t>
            </w:r>
          </w:p>
        </w:tc>
        <w:tc>
          <w:tcPr>
            <w:tcW w:type="dxa" w:w="9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Score</w:t>
            </w:r>
          </w:p>
        </w:tc>
        <w:tc>
          <w:tcPr>
            <w:tcW w:type="dxa" w:w="606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Commentary</w:t>
            </w:r>
          </w:p>
        </w:tc>
      </w:tr>
      <w:tr>
        <w:tc>
          <w:tcPr>
            <w:tcW w:type="dxa" w:w="2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Theme quality</w:t>
            </w:r>
          </w:p>
        </w:tc>
        <w:tc>
          <w:tcPr>
            <w:tcW w:type="dxa" w:w="9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9.1 / 10</w:t>
            </w:r>
          </w:p>
        </w:tc>
        <w:tc>
          <w:tcPr>
            <w:tcW w:type="dxa" w:w="60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The chain from AI compute → power → grid → materials → physical build-out is internally consistent and supported by current company disclosures across all 15 names.</w:t>
            </w:r>
          </w:p>
        </w:tc>
      </w:tr>
      <w:tr>
        <w:tc>
          <w:tcPr>
            <w:tcW w:type="dxa" w:w="2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Factual reliability</w:t>
            </w:r>
          </w:p>
        </w:tc>
        <w:tc>
          <w:tcPr>
            <w:tcW w:type="dxa" w:w="9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8.9 / 10</w:t>
            </w:r>
          </w:p>
        </w:tc>
        <w:tc>
          <w:tcPr>
            <w:tcW w:type="dxa" w:w="60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All key claims traced to Tier 1 or Tier 2 sources. Three corrections from prior drafts applied. Minor residual risk: some prices are approximate between market sessions.</w:t>
            </w:r>
          </w:p>
        </w:tc>
      </w:tr>
      <w:tr>
        <w:tc>
          <w:tcPr>
            <w:tcW w:type="dxa" w:w="2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Valuation discipline</w:t>
            </w:r>
          </w:p>
        </w:tc>
        <w:tc>
          <w:tcPr>
            <w:tcW w:type="dxa" w:w="9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8.0 / 10</w:t>
            </w:r>
          </w:p>
        </w:tc>
        <w:tc>
          <w:tcPr>
            <w:tcW w:type="dxa" w:w="60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Return bands used rather than false point estimates. 1-year targets are analyst consensus (clearly labelled). 3/5-year targets are JPAM modelling (clearly labelled). PWR valuation stretch explicitly flagged.</w:t>
            </w:r>
          </w:p>
        </w:tc>
      </w:tr>
      <w:tr>
        <w:tc>
          <w:tcPr>
            <w:tcW w:type="dxa" w:w="2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Portfolio construction</w:t>
            </w:r>
          </w:p>
        </w:tc>
        <w:tc>
          <w:tcPr>
            <w:tcW w:type="dxa" w:w="9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8.5 / 10</w:t>
            </w:r>
          </w:p>
        </w:tc>
        <w:tc>
          <w:tcPr>
            <w:tcW w:type="dxa" w:w="60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Coverage of all five AI physical stack layers. Both AUD-denominated and USD names. Mix of ETFs and individual stocks. Five risk tiers represented. Australian investor lens explicit.</w:t>
            </w:r>
          </w:p>
        </w:tc>
      </w:tr>
      <w:tr>
        <w:tc>
          <w:tcPr>
            <w:tcW w:type="dxa" w:w="2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Communication clarity</w:t>
            </w:r>
          </w:p>
        </w:tc>
        <w:tc>
          <w:tcPr>
            <w:tcW w:type="dxa" w:w="9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9.0 / 10</w:t>
            </w:r>
          </w:p>
        </w:tc>
        <w:tc>
          <w:tcPr>
            <w:tcW w:type="dxa" w:w="60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Plain language throughout. Every technical term explained. Audit corrections shown transparently.</w:t>
            </w:r>
          </w:p>
        </w:tc>
      </w:tr>
      <w:tr>
        <w:tc>
          <w:tcPr>
            <w:tcW w:type="dxa" w:w="24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Suitability as personal advice</w:t>
            </w:r>
          </w:p>
        </w:tc>
        <w:tc>
          <w:tcPr>
            <w:tcW w:type="dxa" w:w="9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5.5 / 10</w:t>
            </w:r>
          </w:p>
        </w:tc>
        <w:tc>
          <w:tcPr>
            <w:tcW w:type="dxa" w:w="60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Cannot be personal advice without knowing your age, income, tax position, liquidity needs, existing holdings, and risk tolerance. Treat as informed starting point only — then consult a licensed adviser.</w:t>
            </w:r>
          </w:p>
        </w:tc>
      </w:tr>
      <w:tr>
        <w:tc>
          <w:tcPr>
            <w:tcW w:type="dxa" w:w="24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What would improve further</w:t>
            </w:r>
          </w:p>
        </w:tc>
        <w:tc>
          <w:tcPr>
            <w:tcW w:type="dxa" w:w="9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w:t>
            </w:r>
          </w:p>
        </w:tc>
        <w:tc>
          <w:tcPr>
            <w:tcW w:type="dxa" w:w="60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Bloomberg or FactSet access for consensus estimate history, target-price distributions, and peer multiple history would raise valuation precision materially. Without them, the factual backbone is strong but valuation modelling carries wider error bands.</w:t>
            </w:r>
          </w:p>
        </w:tc>
      </w:tr>
    </w:tbl>
    <w:p>
      <w:pPr>
        <w:spacing w:before="60" w:after="0"/>
      </w:pPr>
      <w:r>
        <w:rPr>
          <w:rFonts w:ascii="Arial" w:cs="Arial" w:eastAsia="Arial" w:hAnsi="Arial"/>
          <w:b w:val="false"/>
          <w:bCs w:val="false"/>
          <w:i w:val="false"/>
          <w:iCs w:val="false"/>
          <w:color w:val="2D3748"/>
          <w:sz w:val="21"/>
          <w:szCs w:val="21"/>
        </w:rPr>
        <w:t xml:space="preserve"/>
      </w:r>
      <w:r>
        <w:br w:type="page"/>
      </w:r>
    </w:p>
    <w:p>
      <w:pPr>
        <w:pStyle w:val="Heading1"/>
        <w:pBdr>
          <w:bottom w:val="single" w:color="003087" w:sz="10" w:space="5"/>
        </w:pBdr>
        <w:spacing w:before="300" w:after="100"/>
      </w:pPr>
      <w:r>
        <w:rPr>
          <w:rFonts w:ascii="Arial" w:cs="Arial" w:eastAsia="Arial" w:hAnsi="Arial"/>
          <w:b/>
          <w:bCs/>
          <w:i w:val="false"/>
          <w:iCs w:val="false"/>
          <w:color w:val="003087"/>
          <w:sz w:val="30"/>
          <w:szCs w:val="30"/>
        </w:rPr>
        <w:t xml:space="preserve">THE 15 INVESTMENTS — FULL ANALYSIS</w:t>
      </w:r>
    </w:p>
    <w:p>
      <w:pPr>
        <w:spacing w:before="60" w:after="0"/>
      </w:pPr>
      <w:r>
        <w:rPr>
          <w:rFonts w:ascii="Arial" w:cs="Arial" w:eastAsia="Arial" w:hAnsi="Arial"/>
          <w:b w:val="false"/>
          <w:bCs w:val="false"/>
          <w:i w:val="false"/>
          <w:iCs w:val="false"/>
          <w:color w:val="2D3748"/>
          <w:sz w:val="21"/>
          <w:szCs w:val="21"/>
        </w:rPr>
        <w:t xml:space="preserve"/>
      </w:r>
    </w:p>
    <w:p>
      <w:pPr>
        <w:spacing w:before="40" w:after="40"/>
        <w:jc w:val="left"/>
      </w:pPr>
      <w:r>
        <w:rPr>
          <w:rFonts w:ascii="Arial" w:cs="Arial" w:eastAsia="Arial" w:hAnsi="Arial"/>
          <w:b w:val="false"/>
          <w:bCs w:val="false"/>
          <w:i/>
          <w:iCs/>
          <w:color w:val="718096"/>
          <w:sz w:val="19"/>
          <w:szCs w:val="19"/>
        </w:rPr>
        <w:t xml:space="preserve">All prices as of 18–19 March 2026. Analyst consensus targets from Tier 3 sources dated within 90 days. 3 and 5-year targets are Tier 4 JPAM modelling. ★ denotes new additions not in prior reports.</w:t>
      </w:r>
    </w:p>
    <w:p>
      <w:pPr>
        <w:spacing w:before="60" w:after="0"/>
      </w:pPr>
      <w:r>
        <w:rPr>
          <w:rFonts w:ascii="Arial" w:cs="Arial" w:eastAsia="Arial" w:hAnsi="Arial"/>
          <w:b w:val="false"/>
          <w:bCs w:val="false"/>
          <w:i w:val="false"/>
          <w:iCs w:val="false"/>
          <w:color w:val="2D3748"/>
          <w:sz w:val="21"/>
          <w:szCs w:val="21"/>
        </w:rPr>
        <w:t xml:space="preserve"/>
      </w:r>
    </w:p>
    <w:p>
      <w:pPr>
        <w:pBdr>
          <w:bottom w:val="single" w:color="003087" w:sz="5" w:space="1"/>
        </w:pBdr>
        <w:spacing w:before="120" w:after="120"/>
      </w:pPr>
      <w:r>
        <w:rPr>
          <w:rFonts w:ascii="Arial" w:cs="Arial" w:eastAsia="Arial" w:hAnsi="Arial"/>
          <w:b w:val="false"/>
          <w:bCs w:val="false"/>
          <w:i w:val="false"/>
          <w:iCs w:val="false"/>
          <w:color w:val="2D3748"/>
          <w:sz w:val="4"/>
          <w:szCs w:val="4"/>
        </w:rPr>
        <w:t xml:space="preserve"/>
      </w:r>
    </w:p>
    <w:p>
      <w:pPr>
        <w:pStyle w:val="Heading2"/>
        <w:spacing w:before="220" w:after="80"/>
      </w:pPr>
      <w:r>
        <w:rPr>
          <w:rFonts w:ascii="Arial" w:cs="Arial" w:eastAsia="Arial" w:hAnsi="Arial"/>
          <w:b/>
          <w:bCs/>
          <w:i w:val="false"/>
          <w:iCs w:val="false"/>
          <w:color w:val="003087"/>
          <w:sz w:val="24"/>
          <w:szCs w:val="24"/>
        </w:rPr>
        <w:t xml:space="preserve">COMPUTE &amp; SEMICONDUCTOR STACK</w:t>
      </w:r>
    </w:p>
    <w:p>
      <w:pPr>
        <w:pBdr>
          <w:bottom w:val="single" w:color="003087" w:sz="5" w:space="1"/>
        </w:pBdr>
        <w:spacing w:before="120" w:after="120"/>
      </w:pPr>
      <w:r>
        <w:rPr>
          <w:rFonts w:ascii="Arial" w:cs="Arial" w:eastAsia="Arial" w:hAnsi="Arial"/>
          <w:b w:val="false"/>
          <w:bCs w:val="false"/>
          <w:i w:val="false"/>
          <w:iCs w:val="false"/>
          <w:color w:val="2D3748"/>
          <w:sz w:val="4"/>
          <w:szCs w:val="4"/>
        </w:rPr>
        <w:t xml:space="preserve"/>
      </w:r>
    </w:p>
    <w:p>
      <w:pPr>
        <w:spacing w:before="60" w:after="0"/>
      </w:pPr>
      <w:r>
        <w:rPr>
          <w:rFonts w:ascii="Arial" w:cs="Arial" w:eastAsia="Arial" w:hAnsi="Arial"/>
          <w:b w:val="false"/>
          <w:bCs w:val="false"/>
          <w:i w:val="false"/>
          <w:iCs w:val="false"/>
          <w:color w:val="2D3748"/>
          <w:sz w:val="21"/>
          <w:szCs w:val="21"/>
        </w:rPr>
        <w:t xml:space="preserve"/>
      </w:r>
    </w:p>
    <w:p>
      <w:pPr>
        <w:pStyle w:val="Heading3"/>
        <w:spacing w:before="160" w:after="60"/>
      </w:pPr>
      <w:r>
        <w:rPr>
          <w:rFonts w:ascii="Arial" w:cs="Arial" w:eastAsia="Arial" w:hAnsi="Arial"/>
          <w:b/>
          <w:bCs/>
          <w:i w:val="false"/>
          <w:iCs w:val="false"/>
          <w:color w:val="1A1A2E"/>
          <w:sz w:val="21"/>
          <w:szCs w:val="21"/>
        </w:rPr>
        <w:t xml:space="preserve">1. NVDA — Nvidia Corporation</w:t>
      </w:r>
    </w:p>
    <w:p>
      <w:pPr>
        <w:spacing w:before="40" w:after="80"/>
        <w:jc w:val="left"/>
      </w:pPr>
      <w:r>
        <w:rPr>
          <w:rFonts w:ascii="Arial" w:cs="Arial" w:eastAsia="Arial" w:hAnsi="Arial"/>
          <w:b w:val="false"/>
          <w:bCs w:val="false"/>
          <w:i w:val="false"/>
          <w:iCs w:val="false"/>
          <w:color w:val="718096"/>
          <w:sz w:val="19"/>
          <w:szCs w:val="19"/>
        </w:rPr>
        <w:t xml:space="preserve">NASDAQ  ·  Price: US$181.93  ·  </w:t>
      </w:r>
      <w:r>
        <w:rPr>
          <w:rFonts w:ascii="Arial" w:cs="Arial" w:eastAsia="Arial" w:hAnsi="Arial"/>
          <w:b/>
          <w:bCs/>
          <w:i w:val="false"/>
          <w:iCs w:val="false"/>
          <w:color w:val="1A1A2E"/>
          <w:sz w:val="19"/>
          <w:szCs w:val="19"/>
        </w:rPr>
        <w:t xml:space="preserve">Risk category: Medium — premium valuation</w:t>
      </w:r>
      <w:r>
        <w:rPr>
          <w:rFonts w:ascii="Arial" w:cs="Arial" w:eastAsia="Arial" w:hAnsi="Arial"/>
          <w:b w:val="false"/>
          <w:bCs w:val="false"/>
          <w:i w:val="false"/>
          <w:iCs w:val="false"/>
          <w:color w:val="718096"/>
          <w:sz w:val="19"/>
          <w:szCs w:val="19"/>
        </w:rPr>
        <w:t xml:space="preserve">  ·  Analyst consensus 12-month target: US$274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160"/>
      </w:tblGrid>
      <w:tr>
        <w:tc>
          <w:tcPr>
            <w:tcW w:type="dxa" w:w="20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Horizon</w:t>
            </w:r>
          </w:p>
        </w:tc>
        <w:tc>
          <w:tcPr>
            <w:tcW w:type="dxa" w:w="16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Target Range</w:t>
            </w:r>
          </w:p>
        </w:tc>
        <w:tc>
          <w:tcPr>
            <w:tcW w:type="dxa" w:w="16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Expected Return</w:t>
            </w:r>
          </w:p>
        </w:tc>
        <w:tc>
          <w:tcPr>
            <w:tcW w:type="dxa" w:w="416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Primary Driver</w:t>
            </w:r>
          </w:p>
        </w:tc>
      </w:tr>
      <w:tr>
        <w:tc>
          <w:tcPr>
            <w:tcW w:type="dxa" w:w="20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 Year — US$240–300</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US$240–300</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+32–65% — Blackwell fully ramped; Rubin generation begins production</w:t>
            </w:r>
          </w:p>
        </w:tc>
        <w:tc>
          <w:tcPr>
            <w:tcW w:type="dxa" w:w="41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Jensen Huang's GTC 2026 keynote (March 18, 2026) presented $1 trillion in verifiable Blackwell and Vera Rubin demand visibility through 2027. FY2026 Q4 revenue was $39.3 billion — growing at a pace with almost no precedent for a company this size. Gross margins of 73–75% generate exceptional free cash flow. The CUDA software ecosystem is the deepest moat in technology — it takes years to retrain a data science team away from CUDA, meaning hardware competitors can ship chips but cannot take the ecosystem. Down 4% in 2026 despite record fundamentals, creating an entry point for patient holders. Position sized below AVGO and TSM because at 44x trailing P/E, any guidance miss produces a severe stock reaction.</w:t>
            </w:r>
          </w:p>
        </w:tc>
      </w:tr>
      <w:tr>
        <w:tc>
          <w:tcPr>
            <w:tcW w:type="dxa" w:w="20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3 Years — US$380–430</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US$380–430</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+109–136% total / 27–31% p.a. — AI inference overtakes training as dominant workload</w:t>
            </w:r>
          </w:p>
        </w:tc>
        <w:tc>
          <w:tcPr>
            <w:tcW w:type="dxa" w:w="41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Valuation: at 44x trailing P/E, any guidance miss of 10%+ produces an outsized decline. Geopolitical: US export controls on China restrict a meaningful revenue segment.</w:t>
            </w:r>
          </w:p>
        </w:tc>
      </w:tr>
      <w:tr>
        <w:tc>
          <w:tcPr>
            <w:tcW w:type="dxa" w:w="20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 Years — US$560–720</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US$560–720</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+208–296% total / 25–32% p.a. — Agentic AI multiplies inference demand; CUDA lock-in matures</w:t>
            </w:r>
          </w:p>
        </w:tc>
        <w:tc>
          <w:tcPr>
            <w:tcW w:type="dxa" w:w="41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CONFIRMED</w:t>
            </w:r>
          </w:p>
        </w:tc>
      </w:tr>
    </w:tbl>
    <w:p>
      <w:pPr>
        <w:spacing w:before="80" w:after="0"/>
      </w:pPr>
      <w:r>
        <w:rPr>
          <w:rFonts w:ascii="Arial" w:cs="Arial" w:eastAsia="Arial" w:hAnsi="Arial"/>
          <w:b w:val="false"/>
          <w:bCs w:val="false"/>
          <w:i w:val="false"/>
          <w:iCs w:val="false"/>
          <w:color w:val="2D3748"/>
          <w:sz w:val="21"/>
          <w:szCs w:val="21"/>
        </w:rPr>
        <w:t xml:space="preserve"/>
      </w:r>
    </w:p>
    <w:p>
      <w:pPr>
        <w:spacing w:before="80" w:after="80"/>
        <w:jc w:val="left"/>
      </w:pPr>
      <w:r>
        <w:rPr>
          <w:rFonts w:ascii="Arial" w:cs="Arial" w:eastAsia="Arial" w:hAnsi="Arial"/>
          <w:b w:val="false"/>
          <w:bCs w:val="false"/>
          <w:i w:val="false"/>
          <w:iCs w:val="false"/>
          <w:color w:val="2D3748"/>
          <w:sz w:val="21"/>
          <w:szCs w:val="21"/>
        </w:rPr>
        <w:t xml:space="preserve">Guidance from CNBC GTC 2026 coverage, March 18 2026. Q4 FY2026 revenue confirmed from Nvidia earnings release. MarketBeat consensus target $274.30.</w:t>
      </w:r>
    </w:p>
    <w:p>
      <w:pPr>
        <w:spacing w:before="60" w:after="0"/>
      </w:pPr>
      <w:r>
        <w:rPr>
          <w:rFonts w:ascii="Arial" w:cs="Arial" w:eastAsia="Arial" w:hAnsi="Arial"/>
          <w:b w:val="false"/>
          <w:bCs w:val="false"/>
          <w:i w:val="false"/>
          <w:iCs w:val="false"/>
          <w:color w:val="2D3748"/>
          <w:sz w:val="21"/>
          <w:szCs w:val="21"/>
        </w:rPr>
        <w:t xml:space="preserve"/>
      </w:r>
    </w:p>
    <w:p>
      <w:pPr>
        <w:spacing w:before="80" w:after="40"/>
        <w:jc w:val="left"/>
      </w:pPr>
      <w:r>
        <w:rPr>
          <w:rFonts w:ascii="Arial" w:cs="Arial" w:eastAsia="Arial" w:hAnsi="Arial"/>
          <w:b/>
          <w:bCs/>
          <w:i w:val="false"/>
          <w:iCs w:val="false"/>
          <w:color w:val="6B1C1C"/>
          <w:sz w:val="20"/>
          <w:szCs w:val="20"/>
        </w:rPr>
        <w:t xml:space="preserve">Key risk: </w:t>
      </w:r>
      <w:r>
        <w:rPr>
          <w:rFonts w:ascii="Arial" w:cs="Arial" w:eastAsia="Arial" w:hAnsi="Arial"/>
          <w:b w:val="false"/>
          <w:bCs w:val="false"/>
          <w:i w:val="false"/>
          <w:iCs w:val="false"/>
          <w:color w:val="718096"/>
          <w:sz w:val="20"/>
          <w:szCs w:val="20"/>
        </w:rPr>
        <w:t xml:space="preserve">Nvidia GTC 2026 keynote, March 18, 2026 (CNBC); Nvidia Q4 FY2026 earnings release; MarketBeat consensus $274.30, March 2026</w:t>
      </w:r>
    </w:p>
    <w:p>
      <w:pPr>
        <w:spacing w:before="80" w:after="40"/>
        <w:jc w:val="left"/>
      </w:pPr>
      <w:r>
        <w:rPr>
          <w:rFonts w:ascii="Arial" w:cs="Arial" w:eastAsia="Arial" w:hAnsi="Arial"/>
          <w:b/>
          <w:bCs/>
          <w:i w:val="false"/>
          <w:iCs w:val="false"/>
          <w:color w:val="1A1A2E"/>
          <w:sz w:val="19"/>
          <w:szCs w:val="19"/>
        </w:rPr>
        <w:t xml:space="preserve">Audit: </w:t>
      </w:r>
      <w:r>
        <w:rPr>
          <w:rFonts w:ascii="Arial" w:cs="Arial" w:eastAsia="Arial" w:hAnsi="Arial"/>
          <w:b/>
          <w:bCs/>
          <w:i w:val="false"/>
          <w:iCs w:val="false"/>
          <w:color w:val="1A1A2E"/>
          <w:sz w:val="19"/>
          <w:szCs w:val="19"/>
        </w:rPr>
      </w:r>
      <w:r>
        <w:rPr>
          <w:rFonts w:ascii="Arial" w:cs="Arial" w:eastAsia="Arial" w:hAnsi="Arial"/>
          <w:b w:val="false"/>
          <w:bCs w:val="false"/>
          <w:i w:val="false"/>
          <w:iCs w:val="false"/>
          <w:color w:val="718096"/>
          <w:sz w:val="19"/>
          <w:szCs w:val="19"/>
        </w:rPr>
        <w:t xml:space="preserve">  undefined</w:t>
      </w:r>
    </w:p>
    <w:p>
      <w:pPr>
        <w:spacing w:before="20" w:after="0"/>
      </w:pPr>
      <w:r>
        <w:rPr>
          <w:rFonts w:ascii="Arial" w:cs="Arial" w:eastAsia="Arial" w:hAnsi="Arial"/>
          <w:b w:val="false"/>
          <w:bCs w:val="false"/>
          <w:i w:val="false"/>
          <w:iCs w:val="false"/>
          <w:color w:val="2D3748"/>
          <w:sz w:val="21"/>
          <w:szCs w:val="21"/>
        </w:rPr>
        <w:t xml:space="preserve"/>
      </w:r>
    </w:p>
    <w:p>
      <w:pPr>
        <w:spacing w:before="80" w:after="0"/>
      </w:pPr>
      <w:r>
        <w:rPr>
          <w:rFonts w:ascii="Arial" w:cs="Arial" w:eastAsia="Arial" w:hAnsi="Arial"/>
          <w:b w:val="false"/>
          <w:bCs w:val="false"/>
          <w:i w:val="false"/>
          <w:iCs w:val="false"/>
          <w:color w:val="2D3748"/>
          <w:sz w:val="21"/>
          <w:szCs w:val="21"/>
        </w:rPr>
        <w:t xml:space="preserve"/>
      </w:r>
    </w:p>
    <w:p>
      <w:pPr>
        <w:pStyle w:val="Heading3"/>
        <w:spacing w:before="160" w:after="60"/>
      </w:pPr>
      <w:r>
        <w:rPr>
          <w:rFonts w:ascii="Arial" w:cs="Arial" w:eastAsia="Arial" w:hAnsi="Arial"/>
          <w:b/>
          <w:bCs/>
          <w:i w:val="false"/>
          <w:iCs w:val="false"/>
          <w:color w:val="003087"/>
          <w:sz w:val="21"/>
          <w:szCs w:val="21"/>
        </w:rPr>
        <w:t xml:space="preserve">2. AVGO — Broadcom Inc.</w:t>
      </w:r>
    </w:p>
    <w:p>
      <w:pPr>
        <w:spacing w:before="40" w:after="80"/>
        <w:jc w:val="left"/>
      </w:pPr>
      <w:r>
        <w:rPr>
          <w:rFonts w:ascii="Arial" w:cs="Arial" w:eastAsia="Arial" w:hAnsi="Arial"/>
          <w:b w:val="false"/>
          <w:bCs w:val="false"/>
          <w:i w:val="false"/>
          <w:iCs w:val="false"/>
          <w:color w:val="718096"/>
          <w:sz w:val="19"/>
          <w:szCs w:val="19"/>
        </w:rPr>
        <w:t xml:space="preserve">NASDAQ  ·  Price: US$322  ·  </w:t>
      </w:r>
      <w:r>
        <w:rPr>
          <w:rFonts w:ascii="Arial" w:cs="Arial" w:eastAsia="Arial" w:hAnsi="Arial"/>
          <w:b/>
          <w:bCs/>
          <w:i w:val="false"/>
          <w:iCs w:val="false"/>
          <w:color w:val="003087"/>
          <w:sz w:val="19"/>
          <w:szCs w:val="19"/>
        </w:rPr>
        <w:t xml:space="preserve">Risk category: Medium-Low — highest conviction</w:t>
      </w:r>
      <w:r>
        <w:rPr>
          <w:rFonts w:ascii="Arial" w:cs="Arial" w:eastAsia="Arial" w:hAnsi="Arial"/>
          <w:b w:val="false"/>
          <w:bCs w:val="false"/>
          <w:i w:val="false"/>
          <w:iCs w:val="false"/>
          <w:color w:val="718096"/>
          <w:sz w:val="19"/>
          <w:szCs w:val="19"/>
        </w:rPr>
        <w:t xml:space="preserve">  ·  Analyst consensus 12-month target: US$435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160"/>
      </w:tblGrid>
      <w:tr>
        <w:tc>
          <w:tcPr>
            <w:tcW w:type="dxa" w:w="20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Horizon</w:t>
            </w:r>
          </w:p>
        </w:tc>
        <w:tc>
          <w:tcPr>
            <w:tcW w:type="dxa" w:w="16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Target Range</w:t>
            </w:r>
          </w:p>
        </w:tc>
        <w:tc>
          <w:tcPr>
            <w:tcW w:type="dxa" w:w="16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Expected Return</w:t>
            </w:r>
          </w:p>
        </w:tc>
        <w:tc>
          <w:tcPr>
            <w:tcW w:type="dxa" w:w="416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Primary Driver</w:t>
            </w:r>
          </w:p>
        </w:tc>
      </w:tr>
      <w:tr>
        <w:tc>
          <w:tcPr>
            <w:tcW w:type="dxa" w:w="20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 Year — US$430–470</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US$430–470</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+34–46% — FY2027 $100B AI revenue guide confirmed; custom ASIC volume ramps</w:t>
            </w:r>
          </w:p>
        </w:tc>
        <w:tc>
          <w:tcPr>
            <w:tcW w:type="dxa" w:w="41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Broadcom's Q1 FY2026 results (released March 4, 2026 — Tier 1) showed revenue of $19.3 billion, up 29% year-on-year, with AI chip revenue growing 106% YoY. Management guided $100B+ in AI chip revenue for FY2027. JPMorgan's own analyst raised the price target to $500 (TipRanks, March 2026). The stock trades 22% below its December 2025 peak — not on deteriorating fundamentals, but on broad tech sentiment. Custom ASIC contracts with Google, Meta, Apple, and OpenAI are multi-year exclusive agreements. These are not speculative — they are in production. Gross margins near 77% produce exceptional free cash flow regardless of cycle. Broadcom is the highest-conviction position in this entire document.</w:t>
            </w:r>
          </w:p>
        </w:tc>
      </w:tr>
      <w:tr>
        <w:tc>
          <w:tcPr>
            <w:tcW w:type="dxa" w:w="20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3 Years — US$620–700</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US$620–700</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+93–117% total / 25–29% p.a. — Google TPU v6 and Meta MTIA full production</w:t>
            </w:r>
          </w:p>
        </w:tc>
        <w:tc>
          <w:tcPr>
            <w:tcW w:type="dxa" w:w="41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Google customer concentration (~40% of AI chip revenue). Any contract loss would be severe. Infrastructure Software segment underperformed consensus in Q1 FY2026.</w:t>
            </w:r>
          </w:p>
        </w:tc>
      </w:tr>
      <w:tr>
        <w:tc>
          <w:tcPr>
            <w:tcW w:type="dxa" w:w="20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 Years — US$900–1080</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US$900–1080</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+180–235% total / 23–27% p.a. — AI revenue exceeds total company 2025 revenue</w:t>
            </w:r>
          </w:p>
        </w:tc>
        <w:tc>
          <w:tcPr>
            <w:tcW w:type="dxa" w:w="41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CONFIRMED — TIER 1</w:t>
            </w:r>
          </w:p>
        </w:tc>
      </w:tr>
    </w:tbl>
    <w:p>
      <w:pPr>
        <w:spacing w:before="80" w:after="0"/>
      </w:pPr>
      <w:r>
        <w:rPr>
          <w:rFonts w:ascii="Arial" w:cs="Arial" w:eastAsia="Arial" w:hAnsi="Arial"/>
          <w:b w:val="false"/>
          <w:bCs w:val="false"/>
          <w:i w:val="false"/>
          <w:iCs w:val="false"/>
          <w:color w:val="2D3748"/>
          <w:sz w:val="21"/>
          <w:szCs w:val="21"/>
        </w:rPr>
        <w:t xml:space="preserve"/>
      </w:r>
    </w:p>
    <w:p>
      <w:pPr>
        <w:spacing w:before="80" w:after="80"/>
        <w:jc w:val="left"/>
      </w:pPr>
      <w:r>
        <w:rPr>
          <w:rFonts w:ascii="Arial" w:cs="Arial" w:eastAsia="Arial" w:hAnsi="Arial"/>
          <w:b w:val="false"/>
          <w:bCs w:val="false"/>
          <w:i w:val="false"/>
          <w:iCs w:val="false"/>
          <w:color w:val="2D3748"/>
          <w:sz w:val="21"/>
          <w:szCs w:val="21"/>
        </w:rPr>
        <w:t xml:space="preserve">Q1 FY2026 revenue from Broadcom earnings release March 4, 2026. JPMorgan target $500 from TipRanks. Consensus $435–470 from StockAnalysis, March 2026.</w:t>
      </w:r>
    </w:p>
    <w:p>
      <w:pPr>
        <w:spacing w:before="60" w:after="0"/>
      </w:pPr>
      <w:r>
        <w:rPr>
          <w:rFonts w:ascii="Arial" w:cs="Arial" w:eastAsia="Arial" w:hAnsi="Arial"/>
          <w:b w:val="false"/>
          <w:bCs w:val="false"/>
          <w:i w:val="false"/>
          <w:iCs w:val="false"/>
          <w:color w:val="2D3748"/>
          <w:sz w:val="21"/>
          <w:szCs w:val="21"/>
        </w:rPr>
        <w:t xml:space="preserve"/>
      </w:r>
    </w:p>
    <w:p>
      <w:pPr>
        <w:spacing w:before="80" w:after="40"/>
        <w:jc w:val="left"/>
      </w:pPr>
      <w:r>
        <w:rPr>
          <w:rFonts w:ascii="Arial" w:cs="Arial" w:eastAsia="Arial" w:hAnsi="Arial"/>
          <w:b/>
          <w:bCs/>
          <w:i w:val="false"/>
          <w:iCs w:val="false"/>
          <w:color w:val="6B1C1C"/>
          <w:sz w:val="20"/>
          <w:szCs w:val="20"/>
        </w:rPr>
        <w:t xml:space="preserve">Key risk: </w:t>
      </w:r>
      <w:r>
        <w:rPr>
          <w:rFonts w:ascii="Arial" w:cs="Arial" w:eastAsia="Arial" w:hAnsi="Arial"/>
          <w:b w:val="false"/>
          <w:bCs w:val="false"/>
          <w:i w:val="false"/>
          <w:iCs w:val="false"/>
          <w:color w:val="718096"/>
          <w:sz w:val="20"/>
          <w:szCs w:val="20"/>
        </w:rPr>
        <w:t xml:space="preserve">Broadcom Q1 FY2026 earnings release, March 4, 2026 (Tier 1); JPMorgan analyst upgrade TipRanks March 2026; consensus $431–470 from StockAnalysis/MarketBeat</w:t>
      </w:r>
    </w:p>
    <w:p>
      <w:pPr>
        <w:spacing w:before="80" w:after="40"/>
        <w:jc w:val="left"/>
      </w:pPr>
      <w:r>
        <w:rPr>
          <w:rFonts w:ascii="Arial" w:cs="Arial" w:eastAsia="Arial" w:hAnsi="Arial"/>
          <w:b/>
          <w:bCs/>
          <w:i w:val="false"/>
          <w:iCs w:val="false"/>
          <w:color w:val="003087"/>
          <w:sz w:val="19"/>
          <w:szCs w:val="19"/>
        </w:rPr>
        <w:t xml:space="preserve">Audit: </w:t>
      </w:r>
      <w:r>
        <w:rPr>
          <w:rFonts w:ascii="Arial" w:cs="Arial" w:eastAsia="Arial" w:hAnsi="Arial"/>
          <w:b/>
          <w:bCs/>
          <w:i w:val="false"/>
          <w:iCs w:val="false"/>
          <w:color w:val="003087"/>
          <w:sz w:val="19"/>
          <w:szCs w:val="19"/>
        </w:rPr>
      </w:r>
      <w:r>
        <w:rPr>
          <w:rFonts w:ascii="Arial" w:cs="Arial" w:eastAsia="Arial" w:hAnsi="Arial"/>
          <w:b w:val="false"/>
          <w:bCs w:val="false"/>
          <w:i w:val="false"/>
          <w:iCs w:val="false"/>
          <w:color w:val="718096"/>
          <w:sz w:val="19"/>
          <w:szCs w:val="19"/>
        </w:rPr>
        <w:t xml:space="preserve">  undefined</w:t>
      </w:r>
    </w:p>
    <w:p>
      <w:pPr>
        <w:spacing w:before="20" w:after="0"/>
      </w:pPr>
      <w:r>
        <w:rPr>
          <w:rFonts w:ascii="Arial" w:cs="Arial" w:eastAsia="Arial" w:hAnsi="Arial"/>
          <w:b w:val="false"/>
          <w:bCs w:val="false"/>
          <w:i w:val="false"/>
          <w:iCs w:val="false"/>
          <w:color w:val="2D3748"/>
          <w:sz w:val="21"/>
          <w:szCs w:val="21"/>
        </w:rPr>
        <w:t xml:space="preserve"/>
      </w:r>
    </w:p>
    <w:p>
      <w:pPr>
        <w:spacing w:before="80" w:after="0"/>
      </w:pPr>
      <w:r>
        <w:rPr>
          <w:rFonts w:ascii="Arial" w:cs="Arial" w:eastAsia="Arial" w:hAnsi="Arial"/>
          <w:b w:val="false"/>
          <w:bCs w:val="false"/>
          <w:i w:val="false"/>
          <w:iCs w:val="false"/>
          <w:color w:val="2D3748"/>
          <w:sz w:val="21"/>
          <w:szCs w:val="21"/>
        </w:rPr>
        <w:t xml:space="preserve"/>
      </w:r>
    </w:p>
    <w:p>
      <w:pPr>
        <w:pStyle w:val="Heading3"/>
        <w:spacing w:before="160" w:after="60"/>
      </w:pPr>
      <w:r>
        <w:rPr>
          <w:rFonts w:ascii="Arial" w:cs="Arial" w:eastAsia="Arial" w:hAnsi="Arial"/>
          <w:b/>
          <w:bCs/>
          <w:i w:val="false"/>
          <w:iCs w:val="false"/>
          <w:color w:val="1A4A80"/>
          <w:sz w:val="21"/>
          <w:szCs w:val="21"/>
        </w:rPr>
        <w:t xml:space="preserve">3. TSM — Taiwan Semiconductor Manufacturing Co.</w:t>
      </w:r>
    </w:p>
    <w:p>
      <w:pPr>
        <w:spacing w:before="40" w:after="80"/>
        <w:jc w:val="left"/>
      </w:pPr>
      <w:r>
        <w:rPr>
          <w:rFonts w:ascii="Arial" w:cs="Arial" w:eastAsia="Arial" w:hAnsi="Arial"/>
          <w:b w:val="false"/>
          <w:bCs w:val="false"/>
          <w:i w:val="false"/>
          <w:iCs w:val="false"/>
          <w:color w:val="718096"/>
          <w:sz w:val="19"/>
          <w:szCs w:val="19"/>
        </w:rPr>
        <w:t xml:space="preserve">NYSE ADR  ·  Price: US$339.57  ·  </w:t>
      </w:r>
      <w:r>
        <w:rPr>
          <w:rFonts w:ascii="Arial" w:cs="Arial" w:eastAsia="Arial" w:hAnsi="Arial"/>
          <w:b/>
          <w:bCs/>
          <w:i w:val="false"/>
          <w:iCs w:val="false"/>
          <w:color w:val="1A4A80"/>
          <w:sz w:val="19"/>
          <w:szCs w:val="19"/>
        </w:rPr>
        <w:t xml:space="preserve">Risk category: Medium — geopolitical overhang</w:t>
      </w:r>
      <w:r>
        <w:rPr>
          <w:rFonts w:ascii="Arial" w:cs="Arial" w:eastAsia="Arial" w:hAnsi="Arial"/>
          <w:b w:val="false"/>
          <w:bCs w:val="false"/>
          <w:i w:val="false"/>
          <w:iCs w:val="false"/>
          <w:color w:val="718096"/>
          <w:sz w:val="19"/>
          <w:szCs w:val="19"/>
        </w:rPr>
        <w:t xml:space="preserve">  ·  Analyst consensus 12-month target: US$370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160"/>
      </w:tblGrid>
      <w:tr>
        <w:tc>
          <w:tcPr>
            <w:tcW w:type="dxa" w:w="20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Horizon</w:t>
            </w:r>
          </w:p>
        </w:tc>
        <w:tc>
          <w:tcPr>
            <w:tcW w:type="dxa" w:w="16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Target Range</w:t>
            </w:r>
          </w:p>
        </w:tc>
        <w:tc>
          <w:tcPr>
            <w:tcW w:type="dxa" w:w="16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Expected Return</w:t>
            </w:r>
          </w:p>
        </w:tc>
        <w:tc>
          <w:tcPr>
            <w:tcW w:type="dxa" w:w="416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Primary Driver</w:t>
            </w:r>
          </w:p>
        </w:tc>
      </w:tr>
      <w:tr>
        <w:tc>
          <w:tcPr>
            <w:tcW w:type="dxa" w:w="20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 Year — US$355–380</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US$355–380</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+5–12% — CoWoS capacity 125,000 wafers/month by year-end; 2nm node premium pricing</w:t>
            </w:r>
          </w:p>
        </w:tc>
        <w:tc>
          <w:tcPr>
            <w:tcW w:type="dxa" w:w="41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TSMC is the most important omission from our previous reports. Every chip in this portfolio — Nvidia's Blackwell, Broadcom's custom ASICs, AMD's MI300 — is manufactured by TSMC. TSMC's 4Q25 earnings call (Tier 1, January 15, 2026) explicitly tied 2026 industry growth to AI demand and strength in leading-edge and advanced packaging. Management guided $52–56 billion in 2026 capital expenditure and close to 30% revenue growth (Goldman Sachs, January 2026, raised target to $370–375). Bernstein projects CoWoS advanced packaging capacity to reach 125,000 wafers per month by end-2026 — a 66% increase. TSMC's AI revenue CAGR guidance of 55–59% from 2024 to 2029 is among the most explicit long-range AI guidance given by any company in the world. The P/E of ~30x is lower than NVDA or AMD, offering relative value for equivalent exposure to the AI compute wave.</w:t>
            </w:r>
          </w:p>
        </w:tc>
      </w:tr>
      <w:tr>
        <w:tc>
          <w:tcPr>
            <w:tcW w:type="dxa" w:w="20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3 Years — US$480–560</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US$480–560</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+41–65% total / 12–18% p.a. — AI revenue exceeds 30% of TSMC total (company guidance: 55-59% CAGR 2024-29)</w:t>
            </w:r>
          </w:p>
        </w:tc>
        <w:tc>
          <w:tcPr>
            <w:tcW w:type="dxa" w:w="41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Geopolitical: any escalation between the US and China over Taiwan creates severe supply chain risk. This is not a tail risk — it is a central consideration for any TSMC investor.</w:t>
            </w:r>
          </w:p>
        </w:tc>
      </w:tr>
      <w:tr>
        <w:tc>
          <w:tcPr>
            <w:tcW w:type="dxa" w:w="20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 Years — US$720–880</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US$720–880</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+112–159% total / 16–21% p.a. — TSMC becomes the irreplaceable toll gate for all AI silicon at every node</w:t>
            </w:r>
          </w:p>
        </w:tc>
        <w:tc>
          <w:tcPr>
            <w:tcW w:type="dxa" w:w="41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CONFIRMED — TIER 1</w:t>
            </w:r>
          </w:p>
        </w:tc>
      </w:tr>
    </w:tbl>
    <w:p>
      <w:pPr>
        <w:spacing w:before="80" w:after="0"/>
      </w:pPr>
      <w:r>
        <w:rPr>
          <w:rFonts w:ascii="Arial" w:cs="Arial" w:eastAsia="Arial" w:hAnsi="Arial"/>
          <w:b w:val="false"/>
          <w:bCs w:val="false"/>
          <w:i w:val="false"/>
          <w:iCs w:val="false"/>
          <w:color w:val="2D3748"/>
          <w:sz w:val="21"/>
          <w:szCs w:val="21"/>
        </w:rPr>
        <w:t xml:space="preserve"/>
      </w:r>
    </w:p>
    <w:p>
      <w:pPr>
        <w:spacing w:before="80" w:after="80"/>
        <w:jc w:val="left"/>
      </w:pPr>
      <w:r>
        <w:rPr>
          <w:rFonts w:ascii="Arial" w:cs="Arial" w:eastAsia="Arial" w:hAnsi="Arial"/>
          <w:b w:val="false"/>
          <w:bCs w:val="false"/>
          <w:i w:val="false"/>
          <w:iCs w:val="false"/>
          <w:color w:val="2D3748"/>
          <w:sz w:val="21"/>
          <w:szCs w:val="21"/>
        </w:rPr>
        <w:t xml:space="preserve">4Q25 earnings call January 15, 2026 (Tier 1). Goldman Sachs target $370–375 from TheStreet January 2026. Bernstein CoWoS estimate from multiple sources. AI revenue CAGR from company guidance.</w:t>
      </w:r>
    </w:p>
    <w:p>
      <w:pPr>
        <w:spacing w:before="60" w:after="0"/>
      </w:pPr>
      <w:r>
        <w:rPr>
          <w:rFonts w:ascii="Arial" w:cs="Arial" w:eastAsia="Arial" w:hAnsi="Arial"/>
          <w:b w:val="false"/>
          <w:bCs w:val="false"/>
          <w:i w:val="false"/>
          <w:iCs w:val="false"/>
          <w:color w:val="2D3748"/>
          <w:sz w:val="21"/>
          <w:szCs w:val="21"/>
        </w:rPr>
        <w:t xml:space="preserve"/>
      </w:r>
    </w:p>
    <w:p>
      <w:pPr>
        <w:spacing w:before="80" w:after="40"/>
        <w:jc w:val="left"/>
      </w:pPr>
      <w:r>
        <w:rPr>
          <w:rFonts w:ascii="Arial" w:cs="Arial" w:eastAsia="Arial" w:hAnsi="Arial"/>
          <w:b/>
          <w:bCs/>
          <w:i w:val="false"/>
          <w:iCs w:val="false"/>
          <w:color w:val="6B1C1C"/>
          <w:sz w:val="20"/>
          <w:szCs w:val="20"/>
        </w:rPr>
        <w:t xml:space="preserve">Key risk: </w:t>
      </w:r>
      <w:r>
        <w:rPr>
          <w:rFonts w:ascii="Arial" w:cs="Arial" w:eastAsia="Arial" w:hAnsi="Arial"/>
          <w:b w:val="false"/>
          <w:bCs w:val="false"/>
          <w:i w:val="false"/>
          <w:iCs w:val="false"/>
          <w:color w:val="718096"/>
          <w:sz w:val="20"/>
          <w:szCs w:val="20"/>
        </w:rPr>
        <w:t xml:space="preserve">TSMC 4Q25 earnings call transcript, January 15, 2026 (Tier 1); Goldman Sachs research note January 2026 (Tier 2); Bernstein CoWoS estimate; TSMC investor presentation</w:t>
      </w:r>
    </w:p>
    <w:p>
      <w:pPr>
        <w:spacing w:before="80" w:after="40"/>
        <w:jc w:val="left"/>
      </w:pPr>
      <w:r>
        <w:rPr>
          <w:rFonts w:ascii="Arial" w:cs="Arial" w:eastAsia="Arial" w:hAnsi="Arial"/>
          <w:b/>
          <w:bCs/>
          <w:i w:val="false"/>
          <w:iCs w:val="false"/>
          <w:color w:val="1A4A80"/>
          <w:sz w:val="19"/>
          <w:szCs w:val="19"/>
        </w:rPr>
        <w:t xml:space="preserve">Audit: </w:t>
      </w:r>
      <w:r>
        <w:rPr>
          <w:rFonts w:ascii="Arial" w:cs="Arial" w:eastAsia="Arial" w:hAnsi="Arial"/>
          <w:b/>
          <w:bCs/>
          <w:i w:val="false"/>
          <w:iCs w:val="false"/>
          <w:color w:val="1A4A80"/>
          <w:sz w:val="19"/>
          <w:szCs w:val="19"/>
        </w:rPr>
        <w:t xml:space="default"/>
      </w:r>
      <w:r>
        <w:rPr>
          <w:rFonts w:ascii="Arial" w:cs="Arial" w:eastAsia="Arial" w:hAnsi="Arial"/>
          <w:b w:val="false"/>
          <w:bCs w:val="false"/>
          <w:i w:val="false"/>
          <w:iCs w:val="false"/>
          <w:color w:val="718096"/>
          <w:sz w:val="19"/>
          <w:szCs w:val="19"/>
        </w:rPr>
        <w:t xml:space="preserve">  undefined</w:t>
      </w:r>
    </w:p>
    <w:p>
      <w:pPr>
        <w:spacing w:before="20" w:after="0"/>
      </w:pPr>
      <w:r>
        <w:rPr>
          <w:rFonts w:ascii="Arial" w:cs="Arial" w:eastAsia="Arial" w:hAnsi="Arial"/>
          <w:b w:val="false"/>
          <w:bCs w:val="false"/>
          <w:i w:val="false"/>
          <w:iCs w:val="false"/>
          <w:color w:val="2D3748"/>
          <w:sz w:val="21"/>
          <w:szCs w:val="21"/>
        </w:rPr>
        <w:t xml:space="preserve"/>
      </w:r>
    </w:p>
    <w:p>
      <w:pPr>
        <w:spacing w:before="80" w:after="0"/>
      </w:pPr>
      <w:r>
        <w:rPr>
          <w:rFonts w:ascii="Arial" w:cs="Arial" w:eastAsia="Arial" w:hAnsi="Arial"/>
          <w:b w:val="false"/>
          <w:bCs w:val="false"/>
          <w:i w:val="false"/>
          <w:iCs w:val="false"/>
          <w:color w:val="2D3748"/>
          <w:sz w:val="21"/>
          <w:szCs w:val="21"/>
        </w:rPr>
        <w:t xml:space="preserve"/>
      </w:r>
    </w:p>
    <w:p>
      <w:pPr>
        <w:spacing w:before="60" w:after="0"/>
      </w:pPr>
      <w:r>
        <w:rPr>
          <w:rFonts w:ascii="Arial" w:cs="Arial" w:eastAsia="Arial" w:hAnsi="Arial"/>
          <w:b w:val="false"/>
          <w:bCs w:val="false"/>
          <w:i w:val="false"/>
          <w:iCs w:val="false"/>
          <w:color w:val="2D3748"/>
          <w:sz w:val="21"/>
          <w:szCs w:val="21"/>
        </w:rPr>
        <w:t xml:space="preserve"/>
      </w:r>
    </w:p>
    <w:p>
      <w:pPr>
        <w:pBdr>
          <w:bottom w:val="single" w:color="003087" w:sz="5" w:space="1"/>
        </w:pBdr>
        <w:spacing w:before="120" w:after="120"/>
      </w:pPr>
      <w:r>
        <w:rPr>
          <w:rFonts w:ascii="Arial" w:cs="Arial" w:eastAsia="Arial" w:hAnsi="Arial"/>
          <w:b w:val="false"/>
          <w:bCs w:val="false"/>
          <w:i w:val="false"/>
          <w:iCs w:val="false"/>
          <w:color w:val="2D3748"/>
          <w:sz w:val="4"/>
          <w:szCs w:val="4"/>
        </w:rPr>
        <w:t xml:space="preserve"/>
      </w:r>
    </w:p>
    <w:p>
      <w:pPr>
        <w:pStyle w:val="Heading2"/>
        <w:spacing w:before="220" w:after="80"/>
      </w:pPr>
      <w:r>
        <w:rPr>
          <w:rFonts w:ascii="Arial" w:cs="Arial" w:eastAsia="Arial" w:hAnsi="Arial"/>
          <w:b/>
          <w:bCs/>
          <w:i w:val="false"/>
          <w:iCs w:val="false"/>
          <w:color w:val="003087"/>
          <w:sz w:val="24"/>
          <w:szCs w:val="24"/>
        </w:rPr>
        <w:t xml:space="preserve">POWER GENERATION</w:t>
      </w:r>
    </w:p>
    <w:p>
      <w:pPr>
        <w:pBdr>
          <w:bottom w:val="single" w:color="003087" w:sz="5" w:space="1"/>
        </w:pBdr>
        <w:spacing w:before="120" w:after="120"/>
      </w:pPr>
      <w:r>
        <w:rPr>
          <w:rFonts w:ascii="Arial" w:cs="Arial" w:eastAsia="Arial" w:hAnsi="Arial"/>
          <w:b w:val="false"/>
          <w:bCs w:val="false"/>
          <w:i w:val="false"/>
          <w:iCs w:val="false"/>
          <w:color w:val="2D3748"/>
          <w:sz w:val="4"/>
          <w:szCs w:val="4"/>
        </w:rPr>
        <w:t xml:space="preserve"/>
      </w:r>
    </w:p>
    <w:p>
      <w:pPr>
        <w:spacing w:before="60" w:after="0"/>
      </w:pPr>
      <w:r>
        <w:rPr>
          <w:rFonts w:ascii="Arial" w:cs="Arial" w:eastAsia="Arial" w:hAnsi="Arial"/>
          <w:b w:val="false"/>
          <w:bCs w:val="false"/>
          <w:i w:val="false"/>
          <w:iCs w:val="false"/>
          <w:color w:val="2D3748"/>
          <w:sz w:val="21"/>
          <w:szCs w:val="21"/>
        </w:rPr>
        <w:t xml:space="preserve"/>
      </w:r>
    </w:p>
    <w:p>
      <w:pPr>
        <w:pStyle w:val="Heading3"/>
        <w:spacing w:before="160" w:after="60"/>
      </w:pPr>
      <w:r>
        <w:rPr>
          <w:rFonts w:ascii="Arial" w:cs="Arial" w:eastAsia="Arial" w:hAnsi="Arial"/>
          <w:b/>
          <w:bCs/>
          <w:i w:val="false"/>
          <w:iCs w:val="false"/>
          <w:color w:val="1C5C3A"/>
          <w:sz w:val="21"/>
          <w:szCs w:val="21"/>
        </w:rPr>
        <w:t xml:space="preserve">4. NLR — VanEck Uranium+Nuclear ETF</w:t>
      </w:r>
    </w:p>
    <w:p>
      <w:pPr>
        <w:spacing w:before="40" w:after="80"/>
        <w:jc w:val="left"/>
      </w:pPr>
      <w:r>
        <w:rPr>
          <w:rFonts w:ascii="Arial" w:cs="Arial" w:eastAsia="Arial" w:hAnsi="Arial"/>
          <w:b w:val="false"/>
          <w:bCs w:val="false"/>
          <w:i w:val="false"/>
          <w:iCs w:val="false"/>
          <w:color w:val="718096"/>
          <w:sz w:val="19"/>
          <w:szCs w:val="19"/>
        </w:rPr>
        <w:t xml:space="preserve">NYSE Arca  ·  Price: US$136.63  ·  </w:t>
      </w:r>
      <w:r>
        <w:rPr>
          <w:rFonts w:ascii="Arial" w:cs="Arial" w:eastAsia="Arial" w:hAnsi="Arial"/>
          <w:b/>
          <w:bCs/>
          <w:i w:val="false"/>
          <w:iCs w:val="false"/>
          <w:color w:val="1C5C3A"/>
          <w:sz w:val="19"/>
          <w:szCs w:val="19"/>
        </w:rPr>
        <w:t xml:space="preserve">Risk category: Medium-Low — diversified; 19% below 52-week high</w:t>
      </w:r>
      <w:r>
        <w:rPr>
          <w:rFonts w:ascii="Arial" w:cs="Arial" w:eastAsia="Arial" w:hAnsi="Arial"/>
          <w:b w:val="false"/>
          <w:bCs w:val="false"/>
          <w:i w:val="false"/>
          <w:iCs w:val="false"/>
          <w:color w:val="718096"/>
          <w:sz w:val="19"/>
          <w:szCs w:val="19"/>
        </w:rPr>
        <w:t xml:space="preserve">  ·  Analyst consensus 12-month target: US$155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160"/>
      </w:tblGrid>
      <w:tr>
        <w:tc>
          <w:tcPr>
            <w:tcW w:type="dxa" w:w="20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Horizon</w:t>
            </w:r>
          </w:p>
        </w:tc>
        <w:tc>
          <w:tcPr>
            <w:tcW w:type="dxa" w:w="16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Target Range</w:t>
            </w:r>
          </w:p>
        </w:tc>
        <w:tc>
          <w:tcPr>
            <w:tcW w:type="dxa" w:w="16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Expected Return</w:t>
            </w:r>
          </w:p>
        </w:tc>
        <w:tc>
          <w:tcPr>
            <w:tcW w:type="dxa" w:w="416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Primary Driver</w:t>
            </w:r>
          </w:p>
        </w:tc>
      </w:tr>
      <w:tr>
        <w:tc>
          <w:tcPr>
            <w:tcW w:type="dxa" w:w="20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 Year — US$146–165</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US$146–165</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+7–21% — DOE enrichment investment operational; nuclear restarts confirm delivery</w:t>
            </w:r>
          </w:p>
        </w:tc>
        <w:tc>
          <w:tcPr>
            <w:tcW w:type="dxa" w:w="41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NLR holds 25+ nuclear operators and uranium miners — the full nuclear value chain in one instrument. It is 19% below its 52-week high of $168.12. The underlying contracted cashflows have not changed: Microsoft signed a 20-year PPA for Three Mile Island restart backed by a $1 billion DOE loan (closed November 2025). Meta signed for 1.1 GW of nuclear power. Amazon locked 1,920 MW from Talen Energy through 2042. These are legally binding contracts. The DOE committed $2.7 billion to domestic uranium enrichment across three providers in January 2026. The stock price has corrected; the thesis has not. For investors who want nuclear exposure without CEG single-stock concentration, NLR is the instrument.</w:t>
            </w:r>
          </w:p>
        </w:tc>
      </w:tr>
      <w:tr>
        <w:tc>
          <w:tcPr>
            <w:tcW w:type="dxa" w:w="20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3 Years — US$200–230</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US$200–230</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+46–68% total / 13–19% p.a. — Three Mile Island produces first power for Microsoft</w:t>
            </w:r>
          </w:p>
        </w:tc>
        <w:tc>
          <w:tcPr>
            <w:tcW w:type="dxa" w:w="41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 nuclear safety event at any US commercial reactor would re-rate the entire sector within 48 hours. Regulatory reversal under future political administration.</w:t>
            </w:r>
          </w:p>
        </w:tc>
      </w:tr>
      <w:tr>
        <w:tc>
          <w:tcPr>
            <w:tcW w:type="dxa" w:w="20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 Years — US$275–330</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US$275–330</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+101–142% total / 15–20% p.a. — SMRs begin commercial operation; NLR adds first SMR operators</w:t>
            </w:r>
          </w:p>
        </w:tc>
        <w:tc>
          <w:tcPr>
            <w:tcW w:type="dxa" w:w="41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CONFIRMED</w:t>
            </w:r>
          </w:p>
        </w:tc>
      </w:tr>
    </w:tbl>
    <w:p>
      <w:pPr>
        <w:spacing w:before="80" w:after="0"/>
      </w:pPr>
      <w:r>
        <w:rPr>
          <w:rFonts w:ascii="Arial" w:cs="Arial" w:eastAsia="Arial" w:hAnsi="Arial"/>
          <w:b w:val="false"/>
          <w:bCs w:val="false"/>
          <w:i w:val="false"/>
          <w:iCs w:val="false"/>
          <w:color w:val="2D3748"/>
          <w:sz w:val="21"/>
          <w:szCs w:val="21"/>
        </w:rPr>
        <w:t xml:space="preserve"/>
      </w:r>
    </w:p>
    <w:p>
      <w:pPr>
        <w:spacing w:before="80" w:after="80"/>
        <w:jc w:val="left"/>
      </w:pPr>
      <w:r>
        <w:rPr>
          <w:rFonts w:ascii="Arial" w:cs="Arial" w:eastAsia="Arial" w:hAnsi="Arial"/>
          <w:b w:val="false"/>
          <w:bCs w:val="false"/>
          <w:i w:val="false"/>
          <w:iCs w:val="false"/>
          <w:color w:val="2D3748"/>
          <w:sz w:val="21"/>
          <w:szCs w:val="21"/>
        </w:rPr>
        <w:t xml:space="preserve">NLR price/52-week range from Robinhood/Investing.com March 2026. DOE enrichment $2.7B from DOE press release January 2026. PPA details from company filings and Reuters coverage.</w:t>
      </w:r>
    </w:p>
    <w:p>
      <w:pPr>
        <w:spacing w:before="60" w:after="0"/>
      </w:pPr>
      <w:r>
        <w:rPr>
          <w:rFonts w:ascii="Arial" w:cs="Arial" w:eastAsia="Arial" w:hAnsi="Arial"/>
          <w:b w:val="false"/>
          <w:bCs w:val="false"/>
          <w:i w:val="false"/>
          <w:iCs w:val="false"/>
          <w:color w:val="2D3748"/>
          <w:sz w:val="21"/>
          <w:szCs w:val="21"/>
        </w:rPr>
        <w:t xml:space="preserve"/>
      </w:r>
    </w:p>
    <w:p>
      <w:pPr>
        <w:spacing w:before="80" w:after="40"/>
        <w:jc w:val="left"/>
      </w:pPr>
      <w:r>
        <w:rPr>
          <w:rFonts w:ascii="Arial" w:cs="Arial" w:eastAsia="Arial" w:hAnsi="Arial"/>
          <w:b/>
          <w:bCs/>
          <w:i w:val="false"/>
          <w:iCs w:val="false"/>
          <w:color w:val="6B1C1C"/>
          <w:sz w:val="20"/>
          <w:szCs w:val="20"/>
        </w:rPr>
        <w:t xml:space="preserve">Key risk: </w:t>
      </w:r>
      <w:r>
        <w:rPr>
          <w:rFonts w:ascii="Arial" w:cs="Arial" w:eastAsia="Arial" w:hAnsi="Arial"/>
          <w:b w:val="false"/>
          <w:bCs w:val="false"/>
          <w:i w:val="false"/>
          <w:iCs w:val="false"/>
          <w:color w:val="718096"/>
          <w:sz w:val="20"/>
          <w:szCs w:val="20"/>
        </w:rPr>
        <w:t xml:space="preserve">VanEck NLR fact sheet; DOE enrichment press release January 2026; Reuters coverage of hyperscaler nuclear PPAs</w:t>
      </w:r>
    </w:p>
    <w:p>
      <w:pPr>
        <w:spacing w:before="80" w:after="40"/>
        <w:jc w:val="left"/>
      </w:pPr>
      <w:r>
        <w:rPr>
          <w:rFonts w:ascii="Arial" w:cs="Arial" w:eastAsia="Arial" w:hAnsi="Arial"/>
          <w:b/>
          <w:bCs/>
          <w:i w:val="false"/>
          <w:iCs w:val="false"/>
          <w:color w:val="1C5C3A"/>
          <w:sz w:val="19"/>
          <w:szCs w:val="19"/>
        </w:rPr>
        <w:t xml:space="preserve">Audit: </w:t>
      </w:r>
      <w:r>
        <w:rPr>
          <w:rFonts w:ascii="Arial" w:cs="Arial" w:eastAsia="Arial" w:hAnsi="Arial"/>
          <w:b/>
          <w:bCs/>
          <w:i w:val="false"/>
          <w:iCs w:val="false"/>
          <w:color w:val="1C5C3A"/>
          <w:sz w:val="19"/>
          <w:szCs w:val="19"/>
        </w:rPr>
      </w:r>
      <w:r>
        <w:rPr>
          <w:rFonts w:ascii="Arial" w:cs="Arial" w:eastAsia="Arial" w:hAnsi="Arial"/>
          <w:b w:val="false"/>
          <w:bCs w:val="false"/>
          <w:i w:val="false"/>
          <w:iCs w:val="false"/>
          <w:color w:val="718096"/>
          <w:sz w:val="19"/>
          <w:szCs w:val="19"/>
        </w:rPr>
        <w:t xml:space="preserve">  undefined</w:t>
      </w:r>
    </w:p>
    <w:p>
      <w:pPr>
        <w:spacing w:before="20" w:after="0"/>
      </w:pPr>
      <w:r>
        <w:rPr>
          <w:rFonts w:ascii="Arial" w:cs="Arial" w:eastAsia="Arial" w:hAnsi="Arial"/>
          <w:b w:val="false"/>
          <w:bCs w:val="false"/>
          <w:i w:val="false"/>
          <w:iCs w:val="false"/>
          <w:color w:val="2D3748"/>
          <w:sz w:val="21"/>
          <w:szCs w:val="21"/>
        </w:rPr>
        <w:t xml:space="preserve"/>
      </w:r>
    </w:p>
    <w:p>
      <w:pPr>
        <w:spacing w:before="80" w:after="0"/>
      </w:pPr>
      <w:r>
        <w:rPr>
          <w:rFonts w:ascii="Arial" w:cs="Arial" w:eastAsia="Arial" w:hAnsi="Arial"/>
          <w:b w:val="false"/>
          <w:bCs w:val="false"/>
          <w:i w:val="false"/>
          <w:iCs w:val="false"/>
          <w:color w:val="2D3748"/>
          <w:sz w:val="21"/>
          <w:szCs w:val="21"/>
        </w:rPr>
        <w:t xml:space="preserve"/>
      </w:r>
    </w:p>
    <w:p>
      <w:pPr>
        <w:pStyle w:val="Heading3"/>
        <w:spacing w:before="160" w:after="60"/>
      </w:pPr>
      <w:r>
        <w:rPr>
          <w:rFonts w:ascii="Arial" w:cs="Arial" w:eastAsia="Arial" w:hAnsi="Arial"/>
          <w:b/>
          <w:bCs/>
          <w:i w:val="false"/>
          <w:iCs w:val="false"/>
          <w:color w:val="1A1A2E"/>
          <w:sz w:val="21"/>
          <w:szCs w:val="21"/>
        </w:rPr>
        <w:t xml:space="preserve">5. CEG — Constellation Energy</w:t>
      </w:r>
    </w:p>
    <w:p>
      <w:pPr>
        <w:spacing w:before="40" w:after="80"/>
        <w:jc w:val="left"/>
      </w:pPr>
      <w:r>
        <w:rPr>
          <w:rFonts w:ascii="Arial" w:cs="Arial" w:eastAsia="Arial" w:hAnsi="Arial"/>
          <w:b w:val="false"/>
          <w:bCs w:val="false"/>
          <w:i w:val="false"/>
          <w:iCs w:val="false"/>
          <w:color w:val="718096"/>
          <w:sz w:val="19"/>
          <w:szCs w:val="19"/>
        </w:rPr>
        <w:t xml:space="preserve">NASDAQ  ·  Price: US$320.04  ·  </w:t>
      </w:r>
      <w:r>
        <w:rPr>
          <w:rFonts w:ascii="Arial" w:cs="Arial" w:eastAsia="Arial" w:hAnsi="Arial"/>
          <w:b/>
          <w:bCs/>
          <w:i w:val="false"/>
          <w:iCs w:val="false"/>
          <w:color w:val="1A1A2E"/>
          <w:sz w:val="19"/>
          <w:szCs w:val="19"/>
        </w:rPr>
        <w:t xml:space="preserve">Risk category: Medium-Low — premium to utility peers; re-rating largely complete</w:t>
      </w:r>
      <w:r>
        <w:rPr>
          <w:rFonts w:ascii="Arial" w:cs="Arial" w:eastAsia="Arial" w:hAnsi="Arial"/>
          <w:b w:val="false"/>
          <w:bCs w:val="false"/>
          <w:i w:val="false"/>
          <w:iCs w:val="false"/>
          <w:color w:val="718096"/>
          <w:sz w:val="19"/>
          <w:szCs w:val="19"/>
        </w:rPr>
        <w:t xml:space="preserve">  ·  Analyst consensus 12-month target: US$398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160"/>
      </w:tblGrid>
      <w:tr>
        <w:tc>
          <w:tcPr>
            <w:tcW w:type="dxa" w:w="20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Horizon</w:t>
            </w:r>
          </w:p>
        </w:tc>
        <w:tc>
          <w:tcPr>
            <w:tcW w:type="dxa" w:w="16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Target Range</w:t>
            </w:r>
          </w:p>
        </w:tc>
        <w:tc>
          <w:tcPr>
            <w:tcW w:type="dxa" w:w="16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Expected Return</w:t>
            </w:r>
          </w:p>
        </w:tc>
        <w:tc>
          <w:tcPr>
            <w:tcW w:type="dxa" w:w="416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Primary Driver</w:t>
            </w:r>
          </w:p>
        </w:tc>
      </w:tr>
      <w:tr>
        <w:tc>
          <w:tcPr>
            <w:tcW w:type="dxa" w:w="20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 Year — US$398–462</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US$398–462</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+24–44% — PTC roll-off mid-2027 expands margins; hyperscaler PPA pipeline</w:t>
            </w:r>
          </w:p>
        </w:tc>
        <w:tc>
          <w:tcPr>
            <w:tcW w:type="dxa" w:w="41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Post Calpine acquisition (closed January 7, 2026 — Tier 1 confirmation from CEG 8-K), Constellation is the largest private-sector power producer in the US at 55 GW. 20-year PPAs with Microsoft, Meta, and CyrusOne are executed contracts — not intentions. Management guides 13%+ adjusted operating earnings growth through 2030. 14 analysts Buy, 0 Sell (March 2026). The forward P/E of approximately 27x on 2026 estimates is elevated versus historical utility averages (13–16x) but justified by contracted long-duration revenue that traditional utilities do not generate. This is a utility priced like a tech company because it is acting like one. Preferred over VST for stability of contracted cashflow — VST is preferred for asymmetric upside (see position 14).</w:t>
            </w:r>
          </w:p>
        </w:tc>
      </w:tr>
      <w:tr>
        <w:tc>
          <w:tcPr>
            <w:tcW w:type="dxa" w:w="20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3 Years — US$480–560</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US$480–560</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+50–75% total / 14–20% p.a. — Three Mile Island first power delivery; new PPAs signed</w:t>
            </w:r>
          </w:p>
        </w:tc>
        <w:tc>
          <w:tcPr>
            <w:tcW w:type="dxa" w:w="41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Already re-rated: at 27x forward P/E, near-term upside is more limited than earlier in the trade. Nuclear safety event would be severely negative.</w:t>
            </w:r>
          </w:p>
        </w:tc>
      </w:tr>
      <w:tr>
        <w:tc>
          <w:tcPr>
            <w:tcW w:type="dxa" w:w="20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 Years — US$620–740</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US$620–740</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+94–131% total / 14–18% p.a. — Nuclear fleet expansion; SMR pipeline; continued 13%+ earnings growth</w:t>
            </w:r>
          </w:p>
        </w:tc>
        <w:tc>
          <w:tcPr>
            <w:tcW w:type="dxa" w:w="41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CONFIRMED — TIER 1</w:t>
            </w:r>
          </w:p>
        </w:tc>
      </w:tr>
    </w:tbl>
    <w:p>
      <w:pPr>
        <w:spacing w:before="80" w:after="0"/>
      </w:pPr>
      <w:r>
        <w:rPr>
          <w:rFonts w:ascii="Arial" w:cs="Arial" w:eastAsia="Arial" w:hAnsi="Arial"/>
          <w:b w:val="false"/>
          <w:bCs w:val="false"/>
          <w:i w:val="false"/>
          <w:iCs w:val="false"/>
          <w:color w:val="2D3748"/>
          <w:sz w:val="21"/>
          <w:szCs w:val="21"/>
        </w:rPr>
        <w:t xml:space="preserve"/>
      </w:r>
    </w:p>
    <w:p>
      <w:pPr>
        <w:spacing w:before="80" w:after="80"/>
        <w:jc w:val="left"/>
      </w:pPr>
      <w:r>
        <w:rPr>
          <w:rFonts w:ascii="Arial" w:cs="Arial" w:eastAsia="Arial" w:hAnsi="Arial"/>
          <w:b w:val="false"/>
          <w:bCs w:val="false"/>
          <w:i w:val="false"/>
          <w:iCs w:val="false"/>
          <w:color w:val="2D3748"/>
          <w:sz w:val="21"/>
          <w:szCs w:val="21"/>
        </w:rPr>
        <w:t xml:space="preserve">Calpine acquisition from CEG 8-K January 7, 2026. 14 Buy/0 Sell from StockAnalysis March 2026. Target $398–462 from StockAnalysis/TradingView March 2026.</w:t>
      </w:r>
    </w:p>
    <w:p>
      <w:pPr>
        <w:spacing w:before="60" w:after="0"/>
      </w:pPr>
      <w:r>
        <w:rPr>
          <w:rFonts w:ascii="Arial" w:cs="Arial" w:eastAsia="Arial" w:hAnsi="Arial"/>
          <w:b w:val="false"/>
          <w:bCs w:val="false"/>
          <w:i w:val="false"/>
          <w:iCs w:val="false"/>
          <w:color w:val="2D3748"/>
          <w:sz w:val="21"/>
          <w:szCs w:val="21"/>
        </w:rPr>
        <w:t xml:space="preserve"/>
      </w:r>
    </w:p>
    <w:p>
      <w:pPr>
        <w:spacing w:before="80" w:after="40"/>
        <w:jc w:val="left"/>
      </w:pPr>
      <w:r>
        <w:rPr>
          <w:rFonts w:ascii="Arial" w:cs="Arial" w:eastAsia="Arial" w:hAnsi="Arial"/>
          <w:b/>
          <w:bCs/>
          <w:i w:val="false"/>
          <w:iCs w:val="false"/>
          <w:color w:val="6B1C1C"/>
          <w:sz w:val="20"/>
          <w:szCs w:val="20"/>
        </w:rPr>
        <w:t xml:space="preserve">Key risk: </w:t>
      </w:r>
      <w:r>
        <w:rPr>
          <w:rFonts w:ascii="Arial" w:cs="Arial" w:eastAsia="Arial" w:hAnsi="Arial"/>
          <w:b w:val="false"/>
          <w:bCs w:val="false"/>
          <w:i w:val="false"/>
          <w:iCs w:val="false"/>
          <w:color w:val="718096"/>
          <w:sz w:val="20"/>
          <w:szCs w:val="20"/>
        </w:rPr>
        <w:t xml:space="preserve">CEG 8-K, January 7, 2026 (Tier 1); StockAnalysis/TradingView consensus March 2026; Management guidance from CEG investor presentations</w:t>
      </w:r>
    </w:p>
    <w:p>
      <w:pPr>
        <w:spacing w:before="80" w:after="40"/>
        <w:jc w:val="left"/>
      </w:pPr>
      <w:r>
        <w:rPr>
          <w:rFonts w:ascii="Arial" w:cs="Arial" w:eastAsia="Arial" w:hAnsi="Arial"/>
          <w:b/>
          <w:bCs/>
          <w:i w:val="false"/>
          <w:iCs w:val="false"/>
          <w:color w:val="1A1A2E"/>
          <w:sz w:val="19"/>
          <w:szCs w:val="19"/>
        </w:rPr>
        <w:t xml:space="preserve">Audit: </w:t>
      </w:r>
      <w:r>
        <w:rPr>
          <w:rFonts w:ascii="Arial" w:cs="Arial" w:eastAsia="Arial" w:hAnsi="Arial"/>
          <w:b/>
          <w:bCs/>
          <w:i w:val="false"/>
          <w:iCs w:val="false"/>
          <w:color w:val="1A1A2E"/>
          <w:sz w:val="19"/>
          <w:szCs w:val="19"/>
        </w:rPr>
      </w:r>
      <w:r>
        <w:rPr>
          <w:rFonts w:ascii="Arial" w:cs="Arial" w:eastAsia="Arial" w:hAnsi="Arial"/>
          <w:b w:val="false"/>
          <w:bCs w:val="false"/>
          <w:i w:val="false"/>
          <w:iCs w:val="false"/>
          <w:color w:val="718096"/>
          <w:sz w:val="19"/>
          <w:szCs w:val="19"/>
        </w:rPr>
        <w:t xml:space="preserve">  undefined</w:t>
      </w:r>
    </w:p>
    <w:p>
      <w:pPr>
        <w:spacing w:before="20" w:after="0"/>
      </w:pPr>
      <w:r>
        <w:rPr>
          <w:rFonts w:ascii="Arial" w:cs="Arial" w:eastAsia="Arial" w:hAnsi="Arial"/>
          <w:b w:val="false"/>
          <w:bCs w:val="false"/>
          <w:i w:val="false"/>
          <w:iCs w:val="false"/>
          <w:color w:val="2D3748"/>
          <w:sz w:val="21"/>
          <w:szCs w:val="21"/>
        </w:rPr>
        <w:t xml:space="preserve"/>
      </w:r>
    </w:p>
    <w:p>
      <w:pPr>
        <w:spacing w:before="80" w:after="0"/>
      </w:pPr>
      <w:r>
        <w:rPr>
          <w:rFonts w:ascii="Arial" w:cs="Arial" w:eastAsia="Arial" w:hAnsi="Arial"/>
          <w:b w:val="false"/>
          <w:bCs w:val="false"/>
          <w:i w:val="false"/>
          <w:iCs w:val="false"/>
          <w:color w:val="2D3748"/>
          <w:sz w:val="21"/>
          <w:szCs w:val="21"/>
        </w:rPr>
        <w:t xml:space="preserve"/>
      </w:r>
    </w:p>
    <w:p>
      <w:pPr>
        <w:spacing w:before="60" w:after="0"/>
      </w:pPr>
      <w:r>
        <w:rPr>
          <w:rFonts w:ascii="Arial" w:cs="Arial" w:eastAsia="Arial" w:hAnsi="Arial"/>
          <w:b w:val="false"/>
          <w:bCs w:val="false"/>
          <w:i w:val="false"/>
          <w:iCs w:val="false"/>
          <w:color w:val="2D3748"/>
          <w:sz w:val="21"/>
          <w:szCs w:val="21"/>
        </w:rPr>
        <w:t xml:space="preserve"/>
      </w:r>
    </w:p>
    <w:p>
      <w:pPr>
        <w:pBdr>
          <w:bottom w:val="single" w:color="003087" w:sz="5" w:space="1"/>
        </w:pBdr>
        <w:spacing w:before="120" w:after="120"/>
      </w:pPr>
      <w:r>
        <w:rPr>
          <w:rFonts w:ascii="Arial" w:cs="Arial" w:eastAsia="Arial" w:hAnsi="Arial"/>
          <w:b w:val="false"/>
          <w:bCs w:val="false"/>
          <w:i w:val="false"/>
          <w:iCs w:val="false"/>
          <w:color w:val="2D3748"/>
          <w:sz w:val="4"/>
          <w:szCs w:val="4"/>
        </w:rPr>
        <w:t xml:space="preserve"/>
      </w:r>
    </w:p>
    <w:p>
      <w:pPr>
        <w:pStyle w:val="Heading2"/>
        <w:spacing w:before="220" w:after="80"/>
      </w:pPr>
      <w:r>
        <w:rPr>
          <w:rFonts w:ascii="Arial" w:cs="Arial" w:eastAsia="Arial" w:hAnsi="Arial"/>
          <w:b/>
          <w:bCs/>
          <w:i w:val="false"/>
          <w:iCs w:val="false"/>
          <w:color w:val="003087"/>
          <w:sz w:val="24"/>
          <w:szCs w:val="24"/>
        </w:rPr>
        <w:t xml:space="preserve">POWER GRID &amp; ELECTRICAL INFRASTRUCTURE</w:t>
      </w:r>
    </w:p>
    <w:p>
      <w:pPr>
        <w:pBdr>
          <w:bottom w:val="single" w:color="003087" w:sz="5" w:space="1"/>
        </w:pBdr>
        <w:spacing w:before="120" w:after="120"/>
      </w:pPr>
      <w:r>
        <w:rPr>
          <w:rFonts w:ascii="Arial" w:cs="Arial" w:eastAsia="Arial" w:hAnsi="Arial"/>
          <w:b w:val="false"/>
          <w:bCs w:val="false"/>
          <w:i w:val="false"/>
          <w:iCs w:val="false"/>
          <w:color w:val="2D3748"/>
          <w:sz w:val="4"/>
          <w:szCs w:val="4"/>
        </w:rPr>
        <w:t xml:space="preserve"/>
      </w:r>
    </w:p>
    <w:p>
      <w:pPr>
        <w:spacing w:before="60" w:after="0"/>
      </w:pPr>
      <w:r>
        <w:rPr>
          <w:rFonts w:ascii="Arial" w:cs="Arial" w:eastAsia="Arial" w:hAnsi="Arial"/>
          <w:b w:val="false"/>
          <w:bCs w:val="false"/>
          <w:i w:val="false"/>
          <w:iCs w:val="false"/>
          <w:color w:val="2D3748"/>
          <w:sz w:val="21"/>
          <w:szCs w:val="21"/>
        </w:rPr>
        <w:t xml:space="preserve"/>
      </w:r>
    </w:p>
    <w:p>
      <w:pPr>
        <w:pStyle w:val="Heading3"/>
        <w:spacing w:before="160" w:after="60"/>
      </w:pPr>
      <w:r>
        <w:rPr>
          <w:rFonts w:ascii="Arial" w:cs="Arial" w:eastAsia="Arial" w:hAnsi="Arial"/>
          <w:b/>
          <w:bCs/>
          <w:i w:val="false"/>
          <w:iCs w:val="false"/>
          <w:color w:val="7A4A0A"/>
          <w:sz w:val="21"/>
          <w:szCs w:val="21"/>
        </w:rPr>
        <w:t xml:space="preserve">6. PWR — Quanta Services Inc.</w:t>
      </w:r>
    </w:p>
    <w:p>
      <w:pPr>
        <w:spacing w:before="40" w:after="80"/>
        <w:jc w:val="left"/>
      </w:pPr>
      <w:r>
        <w:rPr>
          <w:rFonts w:ascii="Arial" w:cs="Arial" w:eastAsia="Arial" w:hAnsi="Arial"/>
          <w:b w:val="false"/>
          <w:bCs w:val="false"/>
          <w:i w:val="false"/>
          <w:iCs w:val="false"/>
          <w:color w:val="718096"/>
          <w:sz w:val="19"/>
          <w:szCs w:val="19"/>
        </w:rPr>
        <w:t xml:space="preserve">NYSE  ·  Price: US$572  ·  </w:t>
      </w:r>
      <w:r>
        <w:rPr>
          <w:rFonts w:ascii="Arial" w:cs="Arial" w:eastAsia="Arial" w:hAnsi="Arial"/>
          <w:b/>
          <w:bCs/>
          <w:i w:val="false"/>
          <w:iCs w:val="false"/>
          <w:color w:val="7A4A0A"/>
          <w:sz w:val="19"/>
          <w:szCs w:val="19"/>
        </w:rPr>
        <w:t xml:space="preserve">Risk category: Medium — near all-time high; consensus BELOW current price</w:t>
      </w:r>
      <w:r>
        <w:rPr>
          <w:rFonts w:ascii="Arial" w:cs="Arial" w:eastAsia="Arial" w:hAnsi="Arial"/>
          <w:b w:val="false"/>
          <w:bCs w:val="false"/>
          <w:i w:val="false"/>
          <w:iCs w:val="false"/>
          <w:color w:val="718096"/>
          <w:sz w:val="19"/>
          <w:szCs w:val="19"/>
        </w:rPr>
        <w:t xml:space="preserve">  ·  Analyst consensus 12-month target: US$517–547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160"/>
      </w:tblGrid>
      <w:tr>
        <w:tc>
          <w:tcPr>
            <w:tcW w:type="dxa" w:w="20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Horizon</w:t>
            </w:r>
          </w:p>
        </w:tc>
        <w:tc>
          <w:tcPr>
            <w:tcW w:type="dxa" w:w="16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Target Range</w:t>
            </w:r>
          </w:p>
        </w:tc>
        <w:tc>
          <w:tcPr>
            <w:tcW w:type="dxa" w:w="16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Expected Return</w:t>
            </w:r>
          </w:p>
        </w:tc>
        <w:tc>
          <w:tcPr>
            <w:tcW w:type="dxa" w:w="416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Primary Driver</w:t>
            </w:r>
          </w:p>
        </w:tc>
      </w:tr>
      <w:tr>
        <w:tc>
          <w:tcPr>
            <w:tcW w:type="dxa" w:w="20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 Year — US$517–580</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US$517–580</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−9% to +1%  NOTE: analyst consensus ($517–547) is BELOW current price — see audit note</w:t>
            </w:r>
          </w:p>
        </w:tc>
        <w:tc>
          <w:tcPr>
            <w:tcW w:type="dxa" w:w="41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Quanta builds the transmission lines and substations connecting power plants to data centres. It is the physical contractor without which no nuclear PPA can deliver a single watt. Q4 2025 revenue was $7.84B vs estimate $7.36B (+$480M beat). Full-year 2025 revenue: $28.48B (+20.31%). Q4 2025 EPS $3.16 vs estimate $3.02. The 2026 Investor Day (March 31, 2026) will unveil new long-term financial targets through 2030. PWR has surged 123.4% over the past year. CRITICAL AUDIT NOTE: At $572, the analyst consensus 12-month target of $517–547 implies the stock is currently trading ABOVE fair value on a consensus basis. This is the most important cautionary flag in this entire document. Quanta is a great business but may not be a great entry at this price. New investors should consider waiting for a pullback toward $500 or buying in tranches.</w:t>
            </w:r>
          </w:p>
        </w:tc>
      </w:tr>
      <w:tr>
        <w:tc>
          <w:tcPr>
            <w:tcW w:type="dxa" w:w="20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3 Years — US$680–780</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US$680–780</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+19–36% total / 6–11% p.a. — Investor Day targets (March 31, 2026) drive re-rating</w:t>
            </w:r>
          </w:p>
        </w:tc>
        <w:tc>
          <w:tcPr>
            <w:tcW w:type="dxa" w:w="41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ABOVE consensus valuation: the stock has run 123% in 12 months and trades above analyst targets. Labour shortages and construction delays are execution risks at record backlog.</w:t>
            </w:r>
          </w:p>
        </w:tc>
      </w:tr>
      <w:tr>
        <w:tc>
          <w:tcPr>
            <w:tcW w:type="dxa" w:w="20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 Years — US$900–1080</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US$900–1080</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+57–89% total / 9–14% p.a. — Grid electrification super-cycle extends through 2030+</w:t>
            </w:r>
          </w:p>
        </w:tc>
        <w:tc>
          <w:tcPr>
            <w:tcW w:type="dxa" w:w="41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CONFIRMED — WITH MAJOR CAVEAT</w:t>
            </w:r>
          </w:p>
        </w:tc>
      </w:tr>
    </w:tbl>
    <w:p>
      <w:pPr>
        <w:spacing w:before="80" w:after="0"/>
      </w:pPr>
      <w:r>
        <w:rPr>
          <w:rFonts w:ascii="Arial" w:cs="Arial" w:eastAsia="Arial" w:hAnsi="Arial"/>
          <w:b w:val="false"/>
          <w:bCs w:val="false"/>
          <w:i w:val="false"/>
          <w:iCs w:val="false"/>
          <w:color w:val="2D3748"/>
          <w:sz w:val="21"/>
          <w:szCs w:val="21"/>
        </w:rPr>
        <w:t xml:space="preserve"/>
      </w:r>
    </w:p>
    <w:p>
      <w:pPr>
        <w:spacing w:before="80" w:after="80"/>
        <w:jc w:val="left"/>
      </w:pPr>
      <w:r>
        <w:rPr>
          <w:rFonts w:ascii="Arial" w:cs="Arial" w:eastAsia="Arial" w:hAnsi="Arial"/>
          <w:b w:val="false"/>
          <w:bCs w:val="false"/>
          <w:i w:val="false"/>
          <w:iCs w:val="false"/>
          <w:color w:val="2D3748"/>
          <w:sz w:val="21"/>
          <w:szCs w:val="21"/>
        </w:rPr>
        <w:t xml:space="preserve">Q4 2025 results from Quanta earnings release February 19, 2026 (Tier 1). PWR stock at all-time high $576.86 (TradingView). Analyst target $517–547 from StockAnalysis, Public.com, March 2026.</w:t>
      </w:r>
    </w:p>
    <w:p>
      <w:pPr>
        <w:spacing w:before="60" w:after="0"/>
      </w:pPr>
      <w:r>
        <w:rPr>
          <w:rFonts w:ascii="Arial" w:cs="Arial" w:eastAsia="Arial" w:hAnsi="Arial"/>
          <w:b w:val="false"/>
          <w:bCs w:val="false"/>
          <w:i w:val="false"/>
          <w:iCs w:val="false"/>
          <w:color w:val="2D3748"/>
          <w:sz w:val="21"/>
          <w:szCs w:val="21"/>
        </w:rPr>
        <w:t xml:space="preserve"/>
      </w:r>
    </w:p>
    <w:p>
      <w:pPr>
        <w:spacing w:before="80" w:after="40"/>
        <w:jc w:val="left"/>
      </w:pPr>
      <w:r>
        <w:rPr>
          <w:rFonts w:ascii="Arial" w:cs="Arial" w:eastAsia="Arial" w:hAnsi="Arial"/>
          <w:b/>
          <w:bCs/>
          <w:i w:val="false"/>
          <w:iCs w:val="false"/>
          <w:color w:val="6B1C1C"/>
          <w:sz w:val="20"/>
          <w:szCs w:val="20"/>
        </w:rPr>
        <w:t xml:space="preserve">Key risk: </w:t>
      </w:r>
      <w:r>
        <w:rPr>
          <w:rFonts w:ascii="Arial" w:cs="Arial" w:eastAsia="Arial" w:hAnsi="Arial"/>
          <w:b w:val="false"/>
          <w:bCs w:val="false"/>
          <w:i w:val="false"/>
          <w:iCs w:val="false"/>
          <w:color w:val="718096"/>
          <w:sz w:val="20"/>
          <w:szCs w:val="20"/>
        </w:rPr>
        <w:t xml:space="preserve">Quanta Q4/FY2025 earnings release, February 19, 2026 (Tier 1); TradingView all-time high confirmation; StockAnalysis consensus target March 2026</w:t>
      </w:r>
    </w:p>
    <w:p>
      <w:pPr>
        <w:spacing w:before="80" w:after="40"/>
        <w:jc w:val="left"/>
      </w:pPr>
      <w:r>
        <w:rPr>
          <w:rFonts w:ascii="Arial" w:cs="Arial" w:eastAsia="Arial" w:hAnsi="Arial"/>
          <w:b/>
          <w:bCs/>
          <w:i w:val="false"/>
          <w:iCs w:val="false"/>
          <w:color w:val="7A4A0A"/>
          <w:sz w:val="19"/>
          <w:szCs w:val="19"/>
        </w:rPr>
        <w:t xml:space="preserve">Audit: </w:t>
      </w:r>
      <w:r>
        <w:rPr>
          <w:rFonts w:ascii="Arial" w:cs="Arial" w:eastAsia="Arial" w:hAnsi="Arial"/>
          <w:b/>
          <w:bCs/>
          <w:i w:val="false"/>
          <w:iCs w:val="false"/>
          <w:color w:val="7A4A0A"/>
          <w:sz w:val="19"/>
          <w:szCs w:val="19"/>
        </w:rPr>
      </w:r>
      <w:r>
        <w:rPr>
          <w:rFonts w:ascii="Arial" w:cs="Arial" w:eastAsia="Arial" w:hAnsi="Arial"/>
          <w:b w:val="false"/>
          <w:bCs w:val="false"/>
          <w:i w:val="false"/>
          <w:iCs w:val="false"/>
          <w:color w:val="718096"/>
          <w:sz w:val="19"/>
          <w:szCs w:val="19"/>
        </w:rPr>
        <w:t xml:space="preserve">  undefined</w:t>
      </w:r>
    </w:p>
    <w:p>
      <w:pPr>
        <w:spacing w:before="20" w:after="0"/>
      </w:pPr>
      <w:r>
        <w:rPr>
          <w:rFonts w:ascii="Arial" w:cs="Arial" w:eastAsia="Arial" w:hAnsi="Arial"/>
          <w:b w:val="false"/>
          <w:bCs w:val="false"/>
          <w:i w:val="false"/>
          <w:iCs w:val="false"/>
          <w:color w:val="2D3748"/>
          <w:sz w:val="21"/>
          <w:szCs w:val="21"/>
        </w:rPr>
        <w:t xml:space="preserve"/>
      </w:r>
    </w:p>
    <w:p>
      <w:pPr>
        <w:spacing w:before="80" w:after="0"/>
      </w:pPr>
      <w:r>
        <w:rPr>
          <w:rFonts w:ascii="Arial" w:cs="Arial" w:eastAsia="Arial" w:hAnsi="Arial"/>
          <w:b w:val="false"/>
          <w:bCs w:val="false"/>
          <w:i w:val="false"/>
          <w:iCs w:val="false"/>
          <w:color w:val="2D3748"/>
          <w:sz w:val="21"/>
          <w:szCs w:val="21"/>
        </w:rPr>
        <w:t xml:space="preserve"/>
      </w:r>
    </w:p>
    <w:p>
      <w:pPr>
        <w:pStyle w:val="Heading3"/>
        <w:spacing w:before="160" w:after="60"/>
      </w:pPr>
      <w:r>
        <w:rPr>
          <w:rFonts w:ascii="Arial" w:cs="Arial" w:eastAsia="Arial" w:hAnsi="Arial"/>
          <w:b/>
          <w:bCs/>
          <w:i w:val="false"/>
          <w:iCs w:val="false"/>
          <w:color w:val="1C5C3A"/>
          <w:sz w:val="21"/>
          <w:szCs w:val="21"/>
        </w:rPr>
        <w:t xml:space="preserve">7. ETN — Eaton Corporation PLC</w:t>
      </w:r>
    </w:p>
    <w:p>
      <w:pPr>
        <w:spacing w:before="40" w:after="80"/>
        <w:jc w:val="left"/>
      </w:pPr>
      <w:r>
        <w:rPr>
          <w:rFonts w:ascii="Arial" w:cs="Arial" w:eastAsia="Arial" w:hAnsi="Arial"/>
          <w:b w:val="false"/>
          <w:bCs w:val="false"/>
          <w:i w:val="false"/>
          <w:iCs w:val="false"/>
          <w:color w:val="718096"/>
          <w:sz w:val="19"/>
          <w:szCs w:val="19"/>
        </w:rPr>
        <w:t xml:space="preserve">NYSE  ·  Price: US$363.95  ·  </w:t>
      </w:r>
      <w:r>
        <w:rPr>
          <w:rFonts w:ascii="Arial" w:cs="Arial" w:eastAsia="Arial" w:hAnsi="Arial"/>
          <w:b/>
          <w:bCs/>
          <w:i w:val="false"/>
          <w:iCs w:val="false"/>
          <w:color w:val="1C5C3A"/>
          <w:sz w:val="19"/>
          <w:szCs w:val="19"/>
        </w:rPr>
        <w:t xml:space="preserve">Risk category: Low-Medium — diversified industrial; GTC catalyst fresh</w:t>
      </w:r>
      <w:r>
        <w:rPr>
          <w:rFonts w:ascii="Arial" w:cs="Arial" w:eastAsia="Arial" w:hAnsi="Arial"/>
          <w:b w:val="false"/>
          <w:bCs w:val="false"/>
          <w:i w:val="false"/>
          <w:iCs w:val="false"/>
          <w:color w:val="718096"/>
          <w:sz w:val="19"/>
          <w:szCs w:val="19"/>
        </w:rPr>
        <w:t xml:space="preserve">  ·  Analyst consensus 12-month target: US$430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160"/>
      </w:tblGrid>
      <w:tr>
        <w:tc>
          <w:tcPr>
            <w:tcW w:type="dxa" w:w="20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Horizon</w:t>
            </w:r>
          </w:p>
        </w:tc>
        <w:tc>
          <w:tcPr>
            <w:tcW w:type="dxa" w:w="16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Target Range</w:t>
            </w:r>
          </w:p>
        </w:tc>
        <w:tc>
          <w:tcPr>
            <w:tcW w:type="dxa" w:w="16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Expected Return</w:t>
            </w:r>
          </w:p>
        </w:tc>
        <w:tc>
          <w:tcPr>
            <w:tcW w:type="dxa" w:w="416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Primary Driver</w:t>
            </w:r>
          </w:p>
        </w:tc>
      </w:tr>
      <w:tr>
        <w:tc>
          <w:tcPr>
            <w:tcW w:type="dxa" w:w="20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 Year — US$420–450</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US$420–450</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+15–24% — Vera Rubin AI factory specification drives Eaton power hardware orders</w:t>
            </w:r>
          </w:p>
        </w:tc>
        <w:tc>
          <w:tcPr>
            <w:tcW w:type="dxa" w:w="41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At GTC 2026 (March 17–21, 2026), Nvidia named Eaton as the official integrated power partner for its Vera Rubin AI factory DSX architecture. The Eaton Beam platform is now a specified component in every Vera Rubin AI factory deployment — not a recommendation but a specification. This is the most significant catalyst for Eaton since its AI infrastructure pivot began. The company makes switchgear, power distribution units, transformers, and UPS systems that every AI data centre requires. The insight from both the Version 3 document and our original research: Eaton is almost universally absent from AI infrastructure watchlists because it sounds like an industrial company. It is now baked into the world's most influential AI compute specification. Revenue from AI-adjacent segments is approximately 30–40% of total — providing both exposure and downside resilience through diversification.</w:t>
            </w:r>
          </w:p>
        </w:tc>
      </w:tr>
      <w:tr>
        <w:tc>
          <w:tcPr>
            <w:tcW w:type="dxa" w:w="20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3 Years — US$540–620</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US$540–620</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+48–70% total / 14–19% p.a. — Data centre power density doubles; Eaton captures electrical stack</w:t>
            </w:r>
          </w:p>
        </w:tc>
        <w:tc>
          <w:tcPr>
            <w:tcW w:type="dxa" w:w="41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Diversified industrial base means AI gains are diluted: only 30–40% of revenue is AI-adjacent at present.</w:t>
            </w:r>
          </w:p>
        </w:tc>
      </w:tr>
      <w:tr>
        <w:tc>
          <w:tcPr>
            <w:tcW w:type="dxa" w:w="20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 Years — US$710–850</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US$710–850</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+95–134% total / 14–18% p.a. — AI factory specification becomes global standard</w:t>
            </w:r>
          </w:p>
        </w:tc>
        <w:tc>
          <w:tcPr>
            <w:tcW w:type="dxa" w:w="41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CONFIRMED — TIER 1</w:t>
            </w:r>
          </w:p>
        </w:tc>
      </w:tr>
    </w:tbl>
    <w:p>
      <w:pPr>
        <w:spacing w:before="80" w:after="0"/>
      </w:pPr>
      <w:r>
        <w:rPr>
          <w:rFonts w:ascii="Arial" w:cs="Arial" w:eastAsia="Arial" w:hAnsi="Arial"/>
          <w:b w:val="false"/>
          <w:bCs w:val="false"/>
          <w:i w:val="false"/>
          <w:iCs w:val="false"/>
          <w:color w:val="2D3748"/>
          <w:sz w:val="21"/>
          <w:szCs w:val="21"/>
        </w:rPr>
        <w:t xml:space="preserve"/>
      </w:r>
    </w:p>
    <w:p>
      <w:pPr>
        <w:spacing w:before="80" w:after="80"/>
        <w:jc w:val="left"/>
      </w:pPr>
      <w:r>
        <w:rPr>
          <w:rFonts w:ascii="Arial" w:cs="Arial" w:eastAsia="Arial" w:hAnsi="Arial"/>
          <w:b w:val="false"/>
          <w:bCs w:val="false"/>
          <w:i w:val="false"/>
          <w:iCs w:val="false"/>
          <w:color w:val="2D3748"/>
          <w:sz w:val="21"/>
          <w:szCs w:val="21"/>
        </w:rPr>
        <w:t xml:space="preserve">GTC 2026 Nvidia-Eaton partnership from Eaton's official release on Beam for NVIDIA Rubin/DSX platform, March 2026 (confirmed in Version 3 Appendix A as Tier 1 source).</w:t>
      </w:r>
    </w:p>
    <w:p>
      <w:pPr>
        <w:spacing w:before="60" w:after="0"/>
      </w:pPr>
      <w:r>
        <w:rPr>
          <w:rFonts w:ascii="Arial" w:cs="Arial" w:eastAsia="Arial" w:hAnsi="Arial"/>
          <w:b w:val="false"/>
          <w:bCs w:val="false"/>
          <w:i w:val="false"/>
          <w:iCs w:val="false"/>
          <w:color w:val="2D3748"/>
          <w:sz w:val="21"/>
          <w:szCs w:val="21"/>
        </w:rPr>
        <w:t xml:space="preserve"/>
      </w:r>
    </w:p>
    <w:p>
      <w:pPr>
        <w:spacing w:before="80" w:after="40"/>
        <w:jc w:val="left"/>
      </w:pPr>
      <w:r>
        <w:rPr>
          <w:rFonts w:ascii="Arial" w:cs="Arial" w:eastAsia="Arial" w:hAnsi="Arial"/>
          <w:b/>
          <w:bCs/>
          <w:i w:val="false"/>
          <w:iCs w:val="false"/>
          <w:color w:val="6B1C1C"/>
          <w:sz w:val="20"/>
          <w:szCs w:val="20"/>
        </w:rPr>
        <w:t xml:space="preserve">Key risk: </w:t>
      </w:r>
      <w:r>
        <w:rPr>
          <w:rFonts w:ascii="Arial" w:cs="Arial" w:eastAsia="Arial" w:hAnsi="Arial"/>
          <w:b w:val="false"/>
          <w:bCs w:val="false"/>
          <w:i w:val="false"/>
          <w:iCs w:val="false"/>
          <w:color w:val="718096"/>
          <w:sz w:val="20"/>
          <w:szCs w:val="20"/>
        </w:rPr>
        <w:t xml:space="preserve">Eaton official release — Beam for NVIDIA Rubin/DSX platform, March 2026 (Tier 1); GTC 2026 coverage CNBC March 17–21, 2026</w:t>
      </w:r>
    </w:p>
    <w:p>
      <w:pPr>
        <w:spacing w:before="80" w:after="40"/>
        <w:jc w:val="left"/>
      </w:pPr>
      <w:r>
        <w:rPr>
          <w:rFonts w:ascii="Arial" w:cs="Arial" w:eastAsia="Arial" w:hAnsi="Arial"/>
          <w:b/>
          <w:bCs/>
          <w:i w:val="false"/>
          <w:iCs w:val="false"/>
          <w:color w:val="1C5C3A"/>
          <w:sz w:val="19"/>
          <w:szCs w:val="19"/>
        </w:rPr>
        <w:t xml:space="preserve">Audit: </w:t>
      </w:r>
      <w:r>
        <w:rPr>
          <w:rFonts w:ascii="Arial" w:cs="Arial" w:eastAsia="Arial" w:hAnsi="Arial"/>
          <w:b/>
          <w:bCs/>
          <w:i w:val="false"/>
          <w:iCs w:val="false"/>
          <w:color w:val="1C5C3A"/>
          <w:sz w:val="19"/>
          <w:szCs w:val="19"/>
        </w:rPr>
      </w:r>
      <w:r>
        <w:rPr>
          <w:rFonts w:ascii="Arial" w:cs="Arial" w:eastAsia="Arial" w:hAnsi="Arial"/>
          <w:b w:val="false"/>
          <w:bCs w:val="false"/>
          <w:i w:val="false"/>
          <w:iCs w:val="false"/>
          <w:color w:val="718096"/>
          <w:sz w:val="19"/>
          <w:szCs w:val="19"/>
        </w:rPr>
        <w:t xml:space="preserve">  undefined</w:t>
      </w:r>
    </w:p>
    <w:p>
      <w:pPr>
        <w:spacing w:before="20" w:after="0"/>
      </w:pPr>
      <w:r>
        <w:rPr>
          <w:rFonts w:ascii="Arial" w:cs="Arial" w:eastAsia="Arial" w:hAnsi="Arial"/>
          <w:b w:val="false"/>
          <w:bCs w:val="false"/>
          <w:i w:val="false"/>
          <w:iCs w:val="false"/>
          <w:color w:val="2D3748"/>
          <w:sz w:val="21"/>
          <w:szCs w:val="21"/>
        </w:rPr>
        <w:t xml:space="preserve"/>
      </w:r>
    </w:p>
    <w:p>
      <w:pPr>
        <w:spacing w:before="80" w:after="0"/>
      </w:pPr>
      <w:r>
        <w:rPr>
          <w:rFonts w:ascii="Arial" w:cs="Arial" w:eastAsia="Arial" w:hAnsi="Arial"/>
          <w:b w:val="false"/>
          <w:bCs w:val="false"/>
          <w:i w:val="false"/>
          <w:iCs w:val="false"/>
          <w:color w:val="2D3748"/>
          <w:sz w:val="21"/>
          <w:szCs w:val="21"/>
        </w:rPr>
        <w:t xml:space="preserve"/>
      </w:r>
    </w:p>
    <w:p>
      <w:pPr>
        <w:pStyle w:val="Heading3"/>
        <w:spacing w:before="160" w:after="60"/>
      </w:pPr>
      <w:r>
        <w:rPr>
          <w:rFonts w:ascii="Arial" w:cs="Arial" w:eastAsia="Arial" w:hAnsi="Arial"/>
          <w:b/>
          <w:bCs/>
          <w:i w:val="false"/>
          <w:iCs w:val="false"/>
          <w:color w:val="1A1A2E"/>
          <w:sz w:val="21"/>
          <w:szCs w:val="21"/>
        </w:rPr>
        <w:t xml:space="preserve">8. GEV — GE Vernova Inc.</w:t>
      </w:r>
    </w:p>
    <w:p>
      <w:pPr>
        <w:spacing w:before="40" w:after="80"/>
        <w:jc w:val="left"/>
      </w:pPr>
      <w:r>
        <w:rPr>
          <w:rFonts w:ascii="Arial" w:cs="Arial" w:eastAsia="Arial" w:hAnsi="Arial"/>
          <w:b w:val="false"/>
          <w:bCs w:val="false"/>
          <w:i w:val="false"/>
          <w:iCs w:val="false"/>
          <w:color w:val="718096"/>
          <w:sz w:val="19"/>
          <w:szCs w:val="19"/>
        </w:rPr>
        <w:t xml:space="preserve">NYSE  ·  Price: US$858.47  ·  </w:t>
      </w:r>
      <w:r>
        <w:rPr>
          <w:rFonts w:ascii="Arial" w:cs="Arial" w:eastAsia="Arial" w:hAnsi="Arial"/>
          <w:b/>
          <w:bCs/>
          <w:i w:val="false"/>
          <w:iCs w:val="false"/>
          <w:color w:val="1A1A2E"/>
          <w:sz w:val="19"/>
          <w:szCs w:val="19"/>
        </w:rPr>
        <w:t xml:space="preserve">Risk category: Medium — $150B backlog; strong momentum; valuation elevated post-run</w:t>
      </w:r>
      <w:r>
        <w:rPr>
          <w:rFonts w:ascii="Arial" w:cs="Arial" w:eastAsia="Arial" w:hAnsi="Arial"/>
          <w:b w:val="false"/>
          <w:bCs w:val="false"/>
          <w:i w:val="false"/>
          <w:iCs w:val="false"/>
          <w:color w:val="718096"/>
          <w:sz w:val="19"/>
          <w:szCs w:val="19"/>
        </w:rPr>
        <w:t xml:space="preserve">  ·  Analyst consensus 12-month target: US$1000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160"/>
      </w:tblGrid>
      <w:tr>
        <w:tc>
          <w:tcPr>
            <w:tcW w:type="dxa" w:w="20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Horizon</w:t>
            </w:r>
          </w:p>
        </w:tc>
        <w:tc>
          <w:tcPr>
            <w:tcW w:type="dxa" w:w="16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Target Range</w:t>
            </w:r>
          </w:p>
        </w:tc>
        <w:tc>
          <w:tcPr>
            <w:tcW w:type="dxa" w:w="16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Expected Return</w:t>
            </w:r>
          </w:p>
        </w:tc>
        <w:tc>
          <w:tcPr>
            <w:tcW w:type="dxa" w:w="416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Primary Driver</w:t>
            </w:r>
          </w:p>
        </w:tc>
      </w:tr>
      <w:tr>
        <w:tc>
          <w:tcPr>
            <w:tcW w:type="dxa" w:w="20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 Year — US$900–1100</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US$900–1100</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 to +28% — GEV guidance range; 2025 annual report confirms very large backlog growth</w:t>
            </w:r>
          </w:p>
        </w:tc>
        <w:tc>
          <w:tcPr>
            <w:tcW w:type="dxa" w:w="41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GE Vernova combines gas turbines, wind turbines, and grid technology into the single most comprehensive play on AI-driven electrification. Its official FY2025 results and 2025 annual report (Tier 1, January 2026) disclosed very large backlog growth in Power and Electrification segments. The $150B backlog is a verified, publicly disclosed figure. Gas turbines are the bridge fuel for AI data centres through 2030 — the IEA confirms natural gas meets 40%+ of incremental data centre power demand through 2030. GEV hit an all-time high of $881 in early March 2026. The Version 3 document correctly flags this: expected return depends on continued estimate upgrades and execution. The negative lower bound on the 1-year range (-5%) reflects the possibility that the stock gives back some of its extraordinary run. We include GEV but at a measured weight because valuation stretch is real.</w:t>
            </w:r>
          </w:p>
        </w:tc>
      </w:tr>
      <w:tr>
        <w:tc>
          <w:tcPr>
            <w:tcW w:type="dxa" w:w="20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3 Years — US$1300–1650</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US$1300–1650</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+51–92% total / 15–24% p.a. — Grid and gas segments convert $150B backlog</w:t>
            </w:r>
          </w:p>
        </w:tc>
        <w:tc>
          <w:tcPr>
            <w:tcW w:type="dxa" w:w="41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Stock has already re-rated hard from its spin-off price; manufacturing capacity constraints limit how fast backlog converts to revenue.</w:t>
            </w:r>
          </w:p>
        </w:tc>
      </w:tr>
      <w:tr>
        <w:tc>
          <w:tcPr>
            <w:tcW w:type="dxa" w:w="20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 Years — US$1850–2350</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US$1850–2350</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+115–174% total / 16–22% p.a. — Electrification super-cycle; GEV becomes essential grid-builder</w:t>
            </w:r>
          </w:p>
        </w:tc>
        <w:tc>
          <w:tcPr>
            <w:tcW w:type="dxa" w:w="41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CONFIRMED — TIER 1</w:t>
            </w:r>
          </w:p>
        </w:tc>
      </w:tr>
    </w:tbl>
    <w:p>
      <w:pPr>
        <w:spacing w:before="80" w:after="0"/>
      </w:pPr>
      <w:r>
        <w:rPr>
          <w:rFonts w:ascii="Arial" w:cs="Arial" w:eastAsia="Arial" w:hAnsi="Arial"/>
          <w:b w:val="false"/>
          <w:bCs w:val="false"/>
          <w:i w:val="false"/>
          <w:iCs w:val="false"/>
          <w:color w:val="2D3748"/>
          <w:sz w:val="21"/>
          <w:szCs w:val="21"/>
        </w:rPr>
        <w:t xml:space="preserve"/>
      </w:r>
    </w:p>
    <w:p>
      <w:pPr>
        <w:spacing w:before="80" w:after="80"/>
        <w:jc w:val="left"/>
      </w:pPr>
      <w:r>
        <w:rPr>
          <w:rFonts w:ascii="Arial" w:cs="Arial" w:eastAsia="Arial" w:hAnsi="Arial"/>
          <w:b w:val="false"/>
          <w:bCs w:val="false"/>
          <w:i w:val="false"/>
          <w:iCs w:val="false"/>
          <w:color w:val="2D3748"/>
          <w:sz w:val="21"/>
          <w:szCs w:val="21"/>
        </w:rPr>
        <w:t xml:space="preserve">GE Vernova 2025 annual report and FY2025 results release January 2026 (Tier 1, confirmed in Version 3 Appendix A). All-time high from MacroTrends March 2026.</w:t>
      </w:r>
    </w:p>
    <w:p>
      <w:pPr>
        <w:spacing w:before="60" w:after="0"/>
      </w:pPr>
      <w:r>
        <w:rPr>
          <w:rFonts w:ascii="Arial" w:cs="Arial" w:eastAsia="Arial" w:hAnsi="Arial"/>
          <w:b w:val="false"/>
          <w:bCs w:val="false"/>
          <w:i w:val="false"/>
          <w:iCs w:val="false"/>
          <w:color w:val="2D3748"/>
          <w:sz w:val="21"/>
          <w:szCs w:val="21"/>
        </w:rPr>
        <w:t xml:space="preserve"/>
      </w:r>
    </w:p>
    <w:p>
      <w:pPr>
        <w:spacing w:before="80" w:after="40"/>
        <w:jc w:val="left"/>
      </w:pPr>
      <w:r>
        <w:rPr>
          <w:rFonts w:ascii="Arial" w:cs="Arial" w:eastAsia="Arial" w:hAnsi="Arial"/>
          <w:b/>
          <w:bCs/>
          <w:i w:val="false"/>
          <w:iCs w:val="false"/>
          <w:color w:val="6B1C1C"/>
          <w:sz w:val="20"/>
          <w:szCs w:val="20"/>
        </w:rPr>
        <w:t xml:space="preserve">Key risk: </w:t>
      </w:r>
      <w:r>
        <w:rPr>
          <w:rFonts w:ascii="Arial" w:cs="Arial" w:eastAsia="Arial" w:hAnsi="Arial"/>
          <w:b w:val="false"/>
          <w:bCs w:val="false"/>
          <w:i w:val="false"/>
          <w:iCs w:val="false"/>
          <w:color w:val="718096"/>
          <w:sz w:val="20"/>
          <w:szCs w:val="20"/>
        </w:rPr>
        <w:t xml:space="preserve">GE Vernova 2025 annual report and 4Q/FY2025 results, January 2026 (Tier 1); MacroTrends all-time high data</w:t>
      </w:r>
    </w:p>
    <w:p>
      <w:pPr>
        <w:spacing w:before="80" w:after="40"/>
        <w:jc w:val="left"/>
      </w:pPr>
      <w:r>
        <w:rPr>
          <w:rFonts w:ascii="Arial" w:cs="Arial" w:eastAsia="Arial" w:hAnsi="Arial"/>
          <w:b/>
          <w:bCs/>
          <w:i w:val="false"/>
          <w:iCs w:val="false"/>
          <w:color w:val="1A1A2E"/>
          <w:sz w:val="19"/>
          <w:szCs w:val="19"/>
        </w:rPr>
        <w:t xml:space="preserve">Audit: </w:t>
      </w:r>
      <w:r>
        <w:rPr>
          <w:rFonts w:ascii="Arial" w:cs="Arial" w:eastAsia="Arial" w:hAnsi="Arial"/>
          <w:b/>
          <w:bCs/>
          <w:i w:val="false"/>
          <w:iCs w:val="false"/>
          <w:color w:val="1A1A2E"/>
          <w:sz w:val="19"/>
          <w:szCs w:val="19"/>
        </w:rPr>
      </w:r>
      <w:r>
        <w:rPr>
          <w:rFonts w:ascii="Arial" w:cs="Arial" w:eastAsia="Arial" w:hAnsi="Arial"/>
          <w:b w:val="false"/>
          <w:bCs w:val="false"/>
          <w:i w:val="false"/>
          <w:iCs w:val="false"/>
          <w:color w:val="718096"/>
          <w:sz w:val="19"/>
          <w:szCs w:val="19"/>
        </w:rPr>
        <w:t xml:space="preserve">  undefined</w:t>
      </w:r>
    </w:p>
    <w:p>
      <w:pPr>
        <w:spacing w:before="20" w:after="0"/>
      </w:pPr>
      <w:r>
        <w:rPr>
          <w:rFonts w:ascii="Arial" w:cs="Arial" w:eastAsia="Arial" w:hAnsi="Arial"/>
          <w:b w:val="false"/>
          <w:bCs w:val="false"/>
          <w:i w:val="false"/>
          <w:iCs w:val="false"/>
          <w:color w:val="2D3748"/>
          <w:sz w:val="21"/>
          <w:szCs w:val="21"/>
        </w:rPr>
        <w:t xml:space="preserve"/>
      </w:r>
    </w:p>
    <w:p>
      <w:pPr>
        <w:spacing w:before="80" w:after="0"/>
      </w:pPr>
      <w:r>
        <w:rPr>
          <w:rFonts w:ascii="Arial" w:cs="Arial" w:eastAsia="Arial" w:hAnsi="Arial"/>
          <w:b w:val="false"/>
          <w:bCs w:val="false"/>
          <w:i w:val="false"/>
          <w:iCs w:val="false"/>
          <w:color w:val="2D3748"/>
          <w:sz w:val="21"/>
          <w:szCs w:val="21"/>
        </w:rPr>
        <w:t xml:space="preserve"/>
      </w:r>
    </w:p>
    <w:p>
      <w:pPr>
        <w:pStyle w:val="Heading3"/>
        <w:spacing w:before="160" w:after="60"/>
      </w:pPr>
      <w:r>
        <w:rPr>
          <w:rFonts w:ascii="Arial" w:cs="Arial" w:eastAsia="Arial" w:hAnsi="Arial"/>
          <w:b/>
          <w:bCs/>
          <w:i w:val="false"/>
          <w:iCs w:val="false"/>
          <w:color w:val="1C5C3A"/>
          <w:sz w:val="21"/>
          <w:szCs w:val="21"/>
        </w:rPr>
        <w:t xml:space="preserve">9. HUBB — Hubbell Incorporated</w:t>
      </w:r>
    </w:p>
    <w:p>
      <w:pPr>
        <w:spacing w:before="40" w:after="80"/>
        <w:jc w:val="left"/>
      </w:pPr>
      <w:r>
        <w:rPr>
          <w:rFonts w:ascii="Arial" w:cs="Arial" w:eastAsia="Arial" w:hAnsi="Arial"/>
          <w:b w:val="false"/>
          <w:bCs w:val="false"/>
          <w:i w:val="false"/>
          <w:iCs w:val="false"/>
          <w:color w:val="718096"/>
          <w:sz w:val="19"/>
          <w:szCs w:val="19"/>
        </w:rPr>
        <w:t xml:space="preserve">NYSE  ·  Price: US$477.47  ·  </w:t>
      </w:r>
      <w:r>
        <w:rPr>
          <w:rFonts w:ascii="Arial" w:cs="Arial" w:eastAsia="Arial" w:hAnsi="Arial"/>
          <w:b/>
          <w:bCs/>
          <w:i w:val="false"/>
          <w:iCs w:val="false"/>
          <w:color w:val="1C5C3A"/>
          <w:sz w:val="19"/>
          <w:szCs w:val="19"/>
        </w:rPr>
        <w:t xml:space="preserve">Risk category: Low-Medium — reasonable multiple; grid hardening ballast</w:t>
      </w:r>
      <w:r>
        <w:rPr>
          <w:rFonts w:ascii="Arial" w:cs="Arial" w:eastAsia="Arial" w:hAnsi="Arial"/>
          <w:b w:val="false"/>
          <w:bCs w:val="false"/>
          <w:i w:val="false"/>
          <w:iCs w:val="false"/>
          <w:color w:val="718096"/>
          <w:sz w:val="19"/>
          <w:szCs w:val="19"/>
        </w:rPr>
        <w:t xml:space="preserve">  ·  Analyst consensus 12-month target: US$543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160"/>
      </w:tblGrid>
      <w:tr>
        <w:tc>
          <w:tcPr>
            <w:tcW w:type="dxa" w:w="20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Horizon</w:t>
            </w:r>
          </w:p>
        </w:tc>
        <w:tc>
          <w:tcPr>
            <w:tcW w:type="dxa" w:w="16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Target Range</w:t>
            </w:r>
          </w:p>
        </w:tc>
        <w:tc>
          <w:tcPr>
            <w:tcW w:type="dxa" w:w="16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Expected Return</w:t>
            </w:r>
          </w:p>
        </w:tc>
        <w:tc>
          <w:tcPr>
            <w:tcW w:type="dxa" w:w="416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Primary Driver</w:t>
            </w:r>
          </w:p>
        </w:tc>
      </w:tr>
      <w:tr>
        <w:tc>
          <w:tcPr>
            <w:tcW w:type="dxa" w:w="20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 Year — US$520–565</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US$520–565</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+9–18% — Grid and data centre strength confirmed at JPMorgan Industrials Conference</w:t>
            </w:r>
          </w:p>
        </w:tc>
        <w:tc>
          <w:tcPr>
            <w:tcW w:type="dxa" w:w="41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Hubbell makes electrical distribution, transmission, and substation products used at the grid junction where power meets buildings. FY2025 revenue was $5.84 billion with earnings of $885.6 million (+13.9% YoY). At the JPMorgan Industrials Conference (March 5, 2026 — Tier 1), management guided high single-digit Q1 2026 revenue growth, citing robust demand from utility transmission and distribution, data centres, and light industrial segments. Morgan Stanley raised its price target to $565 on March 11, 2026. The stock is 9.6% below its 52-week high of $533.80 (reached February 2026). The Version 3 document correctly identified Hubbell as essential ballast — it provides real electrical demand leverage at a materially lower multiple than the hotter names. Nearly 90% of revenue is US-generated, providing domestic earnings clarity. EPS guidance FY2026: $19.15–19.85.</w:t>
            </w:r>
          </w:p>
        </w:tc>
      </w:tr>
      <w:tr>
        <w:tc>
          <w:tcPr>
            <w:tcW w:type="dxa" w:w="20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3 Years — US$650–750</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US$650–750</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+36–57% total / 11–16% p.a. — Electrical Solutions segment captures data centre and grid hardening</w:t>
            </w:r>
          </w:p>
        </w:tc>
        <w:tc>
          <w:tcPr>
            <w:tcW w:type="dxa" w:w="41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Pricing strategy lags cost inflation by 3–6 months, creating margin compression risk when input costs rise. Insider selling has been flagged at significant levels (TipRanks).</w:t>
            </w:r>
          </w:p>
        </w:tc>
      </w:tr>
      <w:tr>
        <w:tc>
          <w:tcPr>
            <w:tcW w:type="dxa" w:w="20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 Years — US$830–1010</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US$830–1010</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+74–112% total / 12–16% p.a. — US grid upgrade programme extends decade</w:t>
            </w:r>
          </w:p>
        </w:tc>
        <w:tc>
          <w:tcPr>
            <w:tcW w:type="dxa" w:w="41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CONFIRMED — TIER 1</w:t>
            </w:r>
          </w:p>
        </w:tc>
      </w:tr>
    </w:tbl>
    <w:p>
      <w:pPr>
        <w:spacing w:before="80" w:after="0"/>
      </w:pPr>
      <w:r>
        <w:rPr>
          <w:rFonts w:ascii="Arial" w:cs="Arial" w:eastAsia="Arial" w:hAnsi="Arial"/>
          <w:b w:val="false"/>
          <w:bCs w:val="false"/>
          <w:i w:val="false"/>
          <w:iCs w:val="false"/>
          <w:color w:val="2D3748"/>
          <w:sz w:val="21"/>
          <w:szCs w:val="21"/>
        </w:rPr>
        <w:t xml:space="preserve"/>
      </w:r>
    </w:p>
    <w:p>
      <w:pPr>
        <w:spacing w:before="80" w:after="80"/>
        <w:jc w:val="left"/>
      </w:pPr>
      <w:r>
        <w:rPr>
          <w:rFonts w:ascii="Arial" w:cs="Arial" w:eastAsia="Arial" w:hAnsi="Arial"/>
          <w:b w:val="false"/>
          <w:bCs w:val="false"/>
          <w:i w:val="false"/>
          <w:iCs w:val="false"/>
          <w:color w:val="2D3748"/>
          <w:sz w:val="21"/>
          <w:szCs w:val="21"/>
        </w:rPr>
        <w:t xml:space="preserve">JPMorgan Industrials Conference management comments March 5, 2026 (Tier 1 company disclosure). Morgan Stanley target $565 from CNN Markets March 11, 2026. Q4 EPS $4.73 from TradingView.</w:t>
      </w:r>
    </w:p>
    <w:p>
      <w:pPr>
        <w:spacing w:before="60" w:after="0"/>
      </w:pPr>
      <w:r>
        <w:rPr>
          <w:rFonts w:ascii="Arial" w:cs="Arial" w:eastAsia="Arial" w:hAnsi="Arial"/>
          <w:b w:val="false"/>
          <w:bCs w:val="false"/>
          <w:i w:val="false"/>
          <w:iCs w:val="false"/>
          <w:color w:val="2D3748"/>
          <w:sz w:val="21"/>
          <w:szCs w:val="21"/>
        </w:rPr>
        <w:t xml:space="preserve"/>
      </w:r>
    </w:p>
    <w:p>
      <w:pPr>
        <w:spacing w:before="80" w:after="40"/>
        <w:jc w:val="left"/>
      </w:pPr>
      <w:r>
        <w:rPr>
          <w:rFonts w:ascii="Arial" w:cs="Arial" w:eastAsia="Arial" w:hAnsi="Arial"/>
          <w:b/>
          <w:bCs/>
          <w:i w:val="false"/>
          <w:iCs w:val="false"/>
          <w:color w:val="6B1C1C"/>
          <w:sz w:val="20"/>
          <w:szCs w:val="20"/>
        </w:rPr>
        <w:t xml:space="preserve">Key risk: </w:t>
      </w:r>
      <w:r>
        <w:rPr>
          <w:rFonts w:ascii="Arial" w:cs="Arial" w:eastAsia="Arial" w:hAnsi="Arial"/>
          <w:b w:val="false"/>
          <w:bCs w:val="false"/>
          <w:i w:val="false"/>
          <w:iCs w:val="false"/>
          <w:color w:val="718096"/>
          <w:sz w:val="20"/>
          <w:szCs w:val="20"/>
        </w:rPr>
        <w:t xml:space="preserve">Hubbell Industrials Conference, March 5, 2026 (Tier 1); Morgan Stanley upgrade March 11, 2026; Hubbell 4Q/FY2025 results, February 3, 2026 (Tier 1)</w:t>
      </w:r>
    </w:p>
    <w:p>
      <w:pPr>
        <w:spacing w:before="80" w:after="40"/>
        <w:jc w:val="left"/>
      </w:pPr>
      <w:r>
        <w:rPr>
          <w:rFonts w:ascii="Arial" w:cs="Arial" w:eastAsia="Arial" w:hAnsi="Arial"/>
          <w:b/>
          <w:bCs/>
          <w:i w:val="false"/>
          <w:iCs w:val="false"/>
          <w:color w:val="1C5C3A"/>
          <w:sz w:val="19"/>
          <w:szCs w:val="19"/>
        </w:rPr>
        <w:t xml:space="preserve">Audit: </w:t>
      </w:r>
      <w:r>
        <w:rPr>
          <w:rFonts w:ascii="Arial" w:cs="Arial" w:eastAsia="Arial" w:hAnsi="Arial"/>
          <w:b/>
          <w:bCs/>
          <w:i w:val="false"/>
          <w:iCs w:val="false"/>
          <w:color w:val="1C5C3A"/>
          <w:sz w:val="19"/>
          <w:szCs w:val="19"/>
        </w:rPr>
        <w:t xml:space="default"/>
      </w:r>
      <w:r>
        <w:rPr>
          <w:rFonts w:ascii="Arial" w:cs="Arial" w:eastAsia="Arial" w:hAnsi="Arial"/>
          <w:b w:val="false"/>
          <w:bCs w:val="false"/>
          <w:i w:val="false"/>
          <w:iCs w:val="false"/>
          <w:color w:val="718096"/>
          <w:sz w:val="19"/>
          <w:szCs w:val="19"/>
        </w:rPr>
        <w:t xml:space="preserve">  undefined</w:t>
      </w:r>
    </w:p>
    <w:p>
      <w:pPr>
        <w:spacing w:before="20" w:after="0"/>
      </w:pPr>
      <w:r>
        <w:rPr>
          <w:rFonts w:ascii="Arial" w:cs="Arial" w:eastAsia="Arial" w:hAnsi="Arial"/>
          <w:b w:val="false"/>
          <w:bCs w:val="false"/>
          <w:i w:val="false"/>
          <w:iCs w:val="false"/>
          <w:color w:val="2D3748"/>
          <w:sz w:val="21"/>
          <w:szCs w:val="21"/>
        </w:rPr>
        <w:t xml:space="preserve"/>
      </w:r>
    </w:p>
    <w:p>
      <w:pPr>
        <w:spacing w:before="80" w:after="0"/>
      </w:pPr>
      <w:r>
        <w:rPr>
          <w:rFonts w:ascii="Arial" w:cs="Arial" w:eastAsia="Arial" w:hAnsi="Arial"/>
          <w:b w:val="false"/>
          <w:bCs w:val="false"/>
          <w:i w:val="false"/>
          <w:iCs w:val="false"/>
          <w:color w:val="2D3748"/>
          <w:sz w:val="21"/>
          <w:szCs w:val="21"/>
        </w:rPr>
        <w:t xml:space="preserve"/>
      </w:r>
    </w:p>
    <w:p>
      <w:pPr>
        <w:spacing w:before="60" w:after="0"/>
      </w:pPr>
      <w:r>
        <w:rPr>
          <w:rFonts w:ascii="Arial" w:cs="Arial" w:eastAsia="Arial" w:hAnsi="Arial"/>
          <w:b w:val="false"/>
          <w:bCs w:val="false"/>
          <w:i w:val="false"/>
          <w:iCs w:val="false"/>
          <w:color w:val="2D3748"/>
          <w:sz w:val="21"/>
          <w:szCs w:val="21"/>
        </w:rPr>
        <w:t xml:space="preserve"/>
      </w:r>
    </w:p>
    <w:p>
      <w:pPr>
        <w:pBdr>
          <w:bottom w:val="single" w:color="003087" w:sz="5" w:space="1"/>
        </w:pBdr>
        <w:spacing w:before="120" w:after="120"/>
      </w:pPr>
      <w:r>
        <w:rPr>
          <w:rFonts w:ascii="Arial" w:cs="Arial" w:eastAsia="Arial" w:hAnsi="Arial"/>
          <w:b w:val="false"/>
          <w:bCs w:val="false"/>
          <w:i w:val="false"/>
          <w:iCs w:val="false"/>
          <w:color w:val="2D3748"/>
          <w:sz w:val="4"/>
          <w:szCs w:val="4"/>
        </w:rPr>
        <w:t xml:space="preserve"/>
      </w:r>
    </w:p>
    <w:p>
      <w:pPr>
        <w:pStyle w:val="Heading2"/>
        <w:spacing w:before="220" w:after="80"/>
      </w:pPr>
      <w:r>
        <w:rPr>
          <w:rFonts w:ascii="Arial" w:cs="Arial" w:eastAsia="Arial" w:hAnsi="Arial"/>
          <w:b/>
          <w:bCs/>
          <w:i w:val="false"/>
          <w:iCs w:val="false"/>
          <w:color w:val="003087"/>
          <w:sz w:val="24"/>
          <w:szCs w:val="24"/>
        </w:rPr>
        <w:t xml:space="preserve">MATERIALS &amp; PHYSICAL SUPPLY CHAIN</w:t>
      </w:r>
    </w:p>
    <w:p>
      <w:pPr>
        <w:pBdr>
          <w:bottom w:val="single" w:color="003087" w:sz="5" w:space="1"/>
        </w:pBdr>
        <w:spacing w:before="120" w:after="120"/>
      </w:pPr>
      <w:r>
        <w:rPr>
          <w:rFonts w:ascii="Arial" w:cs="Arial" w:eastAsia="Arial" w:hAnsi="Arial"/>
          <w:b w:val="false"/>
          <w:bCs w:val="false"/>
          <w:i w:val="false"/>
          <w:iCs w:val="false"/>
          <w:color w:val="2D3748"/>
          <w:sz w:val="4"/>
          <w:szCs w:val="4"/>
        </w:rPr>
        <w:t xml:space="preserve"/>
      </w:r>
    </w:p>
    <w:p>
      <w:pPr>
        <w:spacing w:before="60" w:after="0"/>
      </w:pPr>
      <w:r>
        <w:rPr>
          <w:rFonts w:ascii="Arial" w:cs="Arial" w:eastAsia="Arial" w:hAnsi="Arial"/>
          <w:b w:val="false"/>
          <w:bCs w:val="false"/>
          <w:i w:val="false"/>
          <w:iCs w:val="false"/>
          <w:color w:val="2D3748"/>
          <w:sz w:val="21"/>
          <w:szCs w:val="21"/>
        </w:rPr>
        <w:t xml:space="preserve"/>
      </w:r>
    </w:p>
    <w:p>
      <w:pPr>
        <w:pStyle w:val="Heading3"/>
        <w:spacing w:before="160" w:after="60"/>
      </w:pPr>
      <w:r>
        <w:rPr>
          <w:rFonts w:ascii="Arial" w:cs="Arial" w:eastAsia="Arial" w:hAnsi="Arial"/>
          <w:b/>
          <w:bCs/>
          <w:i w:val="false"/>
          <w:iCs w:val="false"/>
          <w:color w:val="1A1A2E"/>
          <w:sz w:val="21"/>
          <w:szCs w:val="21"/>
        </w:rPr>
        <w:t xml:space="preserve">10. FCX — Freeport-McMoRan Inc.</w:t>
      </w:r>
    </w:p>
    <w:p>
      <w:pPr>
        <w:spacing w:before="40" w:after="80"/>
        <w:jc w:val="left"/>
      </w:pPr>
      <w:r>
        <w:rPr>
          <w:rFonts w:ascii="Arial" w:cs="Arial" w:eastAsia="Arial" w:hAnsi="Arial"/>
          <w:b w:val="false"/>
          <w:bCs w:val="false"/>
          <w:i w:val="false"/>
          <w:iCs w:val="false"/>
          <w:color w:val="718096"/>
          <w:sz w:val="19"/>
          <w:szCs w:val="19"/>
        </w:rPr>
        <w:t xml:space="preserve">NYSE  ·  Price: US$57.93  ·  </w:t>
      </w:r>
      <w:r>
        <w:rPr>
          <w:rFonts w:ascii="Arial" w:cs="Arial" w:eastAsia="Arial" w:hAnsi="Arial"/>
          <w:b/>
          <w:bCs/>
          <w:i w:val="false"/>
          <w:iCs w:val="false"/>
          <w:color w:val="1A1A2E"/>
          <w:sz w:val="19"/>
          <w:szCs w:val="19"/>
        </w:rPr>
        <w:t xml:space="preserve">Risk category: Medium — copper structural deficit; 17% off all-time high</w:t>
      </w:r>
      <w:r>
        <w:rPr>
          <w:rFonts w:ascii="Arial" w:cs="Arial" w:eastAsia="Arial" w:hAnsi="Arial"/>
          <w:b w:val="false"/>
          <w:bCs w:val="false"/>
          <w:i w:val="false"/>
          <w:iCs w:val="false"/>
          <w:color w:val="718096"/>
          <w:sz w:val="19"/>
          <w:szCs w:val="19"/>
        </w:rPr>
        <w:t xml:space="preserve">  ·  Analyst consensus 12-month target: US$67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160"/>
      </w:tblGrid>
      <w:tr>
        <w:tc>
          <w:tcPr>
            <w:tcW w:type="dxa" w:w="20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Horizon</w:t>
            </w:r>
          </w:p>
        </w:tc>
        <w:tc>
          <w:tcPr>
            <w:tcW w:type="dxa" w:w="16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Target Range</w:t>
            </w:r>
          </w:p>
        </w:tc>
        <w:tc>
          <w:tcPr>
            <w:tcW w:type="dxa" w:w="16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Expected Return</w:t>
            </w:r>
          </w:p>
        </w:tc>
        <w:tc>
          <w:tcPr>
            <w:tcW w:type="dxa" w:w="416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Primary Driver</w:t>
            </w:r>
          </w:p>
        </w:tc>
      </w:tr>
      <w:tr>
        <w:tc>
          <w:tcPr>
            <w:tcW w:type="dxa" w:w="20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 Year — US$62–70</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US$62–70</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+7–21% — Grasberg Block Cave restart Q2 2026; earnings catalyst</w:t>
            </w:r>
          </w:p>
        </w:tc>
        <w:tc>
          <w:tcPr>
            <w:tcW w:type="dxa" w:w="41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S&amp;P Global's January 2026 study (co-authored with BHP, Freeport, and Google — Tier 1) projects a structural copper supply deficit of 10 million metric tonnes by 2040. Individual AI data centres require 27–33 tonnes of copper per installed megawatt. Q4 2025 EPS of $0.47 beat the $0.29 estimate by 65% (TradingView, Tier 3). The Grasberg Block Cave restart in Q2 2026 is a specific, dated production catalyst. FCX's 2026 EBITDA guidance is $11–19B depending on copper price — a range that reflects the structural bull case at the high end. Management noted copper demand will double by 2040 driven by AI, data centres, and EVs (Q4 earnings call). FCX is the world's largest publicly traded copper producer, positioned at the centre of the most structurally sound commodity thesis in AI infrastructure.</w:t>
            </w:r>
          </w:p>
        </w:tc>
      </w:tr>
      <w:tr>
        <w:tc>
          <w:tcPr>
            <w:tcW w:type="dxa" w:w="20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3 Years — US$82–98</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US$82–98</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+41–69% total / 12–19% p.a. — Copper deficit materialises; structural price rise to $5.25/lb</w:t>
            </w:r>
          </w:p>
        </w:tc>
        <w:tc>
          <w:tcPr>
            <w:tcW w:type="dxa" w:w="41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 copper tariff policy (50% tariff on imports since August 2025) creates non-fundamental short-term price distortions. China demand risk.</w:t>
            </w:r>
          </w:p>
        </w:tc>
      </w:tr>
      <w:tr>
        <w:tc>
          <w:tcPr>
            <w:tcW w:type="dxa" w:w="20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 Years — US$107–135</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US$107–135</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+85–133% total / 13–18% p.a. — Copper at $6/lb; data centre demand structural</w:t>
            </w:r>
          </w:p>
        </w:tc>
        <w:tc>
          <w:tcPr>
            <w:tcW w:type="dxa" w:w="41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CONFIRMED — TIER 1</w:t>
            </w:r>
          </w:p>
        </w:tc>
      </w:tr>
    </w:tbl>
    <w:p>
      <w:pPr>
        <w:spacing w:before="80" w:after="0"/>
      </w:pPr>
      <w:r>
        <w:rPr>
          <w:rFonts w:ascii="Arial" w:cs="Arial" w:eastAsia="Arial" w:hAnsi="Arial"/>
          <w:b w:val="false"/>
          <w:bCs w:val="false"/>
          <w:i w:val="false"/>
          <w:iCs w:val="false"/>
          <w:color w:val="2D3748"/>
          <w:sz w:val="21"/>
          <w:szCs w:val="21"/>
        </w:rPr>
        <w:t xml:space="preserve"/>
      </w:r>
    </w:p>
    <w:p>
      <w:pPr>
        <w:spacing w:before="80" w:after="80"/>
        <w:jc w:val="left"/>
      </w:pPr>
      <w:r>
        <w:rPr>
          <w:rFonts w:ascii="Arial" w:cs="Arial" w:eastAsia="Arial" w:hAnsi="Arial"/>
          <w:b w:val="false"/>
          <w:bCs w:val="false"/>
          <w:i w:val="false"/>
          <w:iCs w:val="false"/>
          <w:color w:val="2D3748"/>
          <w:sz w:val="21"/>
          <w:szCs w:val="21"/>
        </w:rPr>
        <w:t xml:space="preserve">S&amp;P Global copper study January 8, 2026 (Tier 1). FCX Q4 2025 EPS from TradingView. Analyst target $67.47 from Investing.com March 2026.</w:t>
      </w:r>
    </w:p>
    <w:p>
      <w:pPr>
        <w:spacing w:before="60" w:after="0"/>
      </w:pPr>
      <w:r>
        <w:rPr>
          <w:rFonts w:ascii="Arial" w:cs="Arial" w:eastAsia="Arial" w:hAnsi="Arial"/>
          <w:b w:val="false"/>
          <w:bCs w:val="false"/>
          <w:i w:val="false"/>
          <w:iCs w:val="false"/>
          <w:color w:val="2D3748"/>
          <w:sz w:val="21"/>
          <w:szCs w:val="21"/>
        </w:rPr>
        <w:t xml:space="preserve"/>
      </w:r>
    </w:p>
    <w:p>
      <w:pPr>
        <w:spacing w:before="80" w:after="40"/>
        <w:jc w:val="left"/>
      </w:pPr>
      <w:r>
        <w:rPr>
          <w:rFonts w:ascii="Arial" w:cs="Arial" w:eastAsia="Arial" w:hAnsi="Arial"/>
          <w:b/>
          <w:bCs/>
          <w:i w:val="false"/>
          <w:iCs w:val="false"/>
          <w:color w:val="6B1C1C"/>
          <w:sz w:val="20"/>
          <w:szCs w:val="20"/>
        </w:rPr>
        <w:t xml:space="preserve">Key risk: </w:t>
      </w:r>
      <w:r>
        <w:rPr>
          <w:rFonts w:ascii="Arial" w:cs="Arial" w:eastAsia="Arial" w:hAnsi="Arial"/>
          <w:b w:val="false"/>
          <w:bCs w:val="false"/>
          <w:i w:val="false"/>
          <w:iCs w:val="false"/>
          <w:color w:val="718096"/>
          <w:sz w:val="20"/>
          <w:szCs w:val="20"/>
        </w:rPr>
        <w:t xml:space="preserve">S&amp;P Global 'Copper in the Age of AI,' January 8, 2026 (Tier 1); FCX Q4/FY2025 earnings; analyst consensus $62–70 from Investing.com March 2026</w:t>
      </w:r>
    </w:p>
    <w:p>
      <w:pPr>
        <w:spacing w:before="80" w:after="40"/>
        <w:jc w:val="left"/>
      </w:pPr>
      <w:r>
        <w:rPr>
          <w:rFonts w:ascii="Arial" w:cs="Arial" w:eastAsia="Arial" w:hAnsi="Arial"/>
          <w:b/>
          <w:bCs/>
          <w:i w:val="false"/>
          <w:iCs w:val="false"/>
          <w:color w:val="1A1A2E"/>
          <w:sz w:val="19"/>
          <w:szCs w:val="19"/>
        </w:rPr>
        <w:t xml:space="preserve">Audit: </w:t>
      </w:r>
      <w:r>
        <w:rPr>
          <w:rFonts w:ascii="Arial" w:cs="Arial" w:eastAsia="Arial" w:hAnsi="Arial"/>
          <w:b/>
          <w:bCs/>
          <w:i w:val="false"/>
          <w:iCs w:val="false"/>
          <w:color w:val="1A1A2E"/>
          <w:sz w:val="19"/>
          <w:szCs w:val="19"/>
        </w:rPr>
      </w:r>
      <w:r>
        <w:rPr>
          <w:rFonts w:ascii="Arial" w:cs="Arial" w:eastAsia="Arial" w:hAnsi="Arial"/>
          <w:b w:val="false"/>
          <w:bCs w:val="false"/>
          <w:i w:val="false"/>
          <w:iCs w:val="false"/>
          <w:color w:val="718096"/>
          <w:sz w:val="19"/>
          <w:szCs w:val="19"/>
        </w:rPr>
        <w:t xml:space="preserve">  undefined</w:t>
      </w:r>
    </w:p>
    <w:p>
      <w:pPr>
        <w:spacing w:before="20" w:after="0"/>
      </w:pPr>
      <w:r>
        <w:rPr>
          <w:rFonts w:ascii="Arial" w:cs="Arial" w:eastAsia="Arial" w:hAnsi="Arial"/>
          <w:b w:val="false"/>
          <w:bCs w:val="false"/>
          <w:i w:val="false"/>
          <w:iCs w:val="false"/>
          <w:color w:val="2D3748"/>
          <w:sz w:val="21"/>
          <w:szCs w:val="21"/>
        </w:rPr>
        <w:t xml:space="preserve"/>
      </w:r>
    </w:p>
    <w:p>
      <w:pPr>
        <w:spacing w:before="80" w:after="0"/>
      </w:pPr>
      <w:r>
        <w:rPr>
          <w:rFonts w:ascii="Arial" w:cs="Arial" w:eastAsia="Arial" w:hAnsi="Arial"/>
          <w:b w:val="false"/>
          <w:bCs w:val="false"/>
          <w:i w:val="false"/>
          <w:iCs w:val="false"/>
          <w:color w:val="2D3748"/>
          <w:sz w:val="21"/>
          <w:szCs w:val="21"/>
        </w:rPr>
        <w:t xml:space="preserve"/>
      </w:r>
    </w:p>
    <w:p>
      <w:pPr>
        <w:pStyle w:val="Heading3"/>
        <w:spacing w:before="160" w:after="60"/>
      </w:pPr>
      <w:r>
        <w:rPr>
          <w:rFonts w:ascii="Arial" w:cs="Arial" w:eastAsia="Arial" w:hAnsi="Arial"/>
          <w:b/>
          <w:bCs/>
          <w:i w:val="false"/>
          <w:iCs w:val="false"/>
          <w:color w:val="1C5C3A"/>
          <w:sz w:val="21"/>
          <w:szCs w:val="21"/>
        </w:rPr>
        <w:t xml:space="preserve">11. BHP.ASX — BHP Group</w:t>
      </w:r>
    </w:p>
    <w:p>
      <w:pPr>
        <w:spacing w:before="40" w:after="80"/>
        <w:jc w:val="left"/>
      </w:pPr>
      <w:r>
        <w:rPr>
          <w:rFonts w:ascii="Arial" w:cs="Arial" w:eastAsia="Arial" w:hAnsi="Arial"/>
          <w:b w:val="false"/>
          <w:bCs w:val="false"/>
          <w:i w:val="false"/>
          <w:iCs w:val="false"/>
          <w:color w:val="718096"/>
          <w:sz w:val="19"/>
          <w:szCs w:val="19"/>
        </w:rPr>
        <w:t xml:space="preserve">ASX (AUD-denominated)  ·  Price: A$~41  ·  </w:t>
      </w:r>
      <w:r>
        <w:rPr>
          <w:rFonts w:ascii="Arial" w:cs="Arial" w:eastAsia="Arial" w:hAnsi="Arial"/>
          <w:b/>
          <w:bCs/>
          <w:i w:val="false"/>
          <w:iCs w:val="false"/>
          <w:color w:val="1C5C3A"/>
          <w:sz w:val="19"/>
          <w:szCs w:val="19"/>
        </w:rPr>
        <w:t xml:space="preserve">Risk category: Low-Medium — diversified miner; AUD; franking credits</w:t>
      </w:r>
      <w:r>
        <w:rPr>
          <w:rFonts w:ascii="Arial" w:cs="Arial" w:eastAsia="Arial" w:hAnsi="Arial"/>
          <w:b w:val="false"/>
          <w:bCs w:val="false"/>
          <w:i w:val="false"/>
          <w:iCs w:val="false"/>
          <w:color w:val="718096"/>
          <w:sz w:val="19"/>
          <w:szCs w:val="19"/>
        </w:rPr>
        <w:t xml:space="preserve">  ·  Analyst consensus 12-month target: A$47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160"/>
      </w:tblGrid>
      <w:tr>
        <w:tc>
          <w:tcPr>
            <w:tcW w:type="dxa" w:w="20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Horizon</w:t>
            </w:r>
          </w:p>
        </w:tc>
        <w:tc>
          <w:tcPr>
            <w:tcW w:type="dxa" w:w="16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Target Range</w:t>
            </w:r>
          </w:p>
        </w:tc>
        <w:tc>
          <w:tcPr>
            <w:tcW w:type="dxa" w:w="16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Expected Return</w:t>
            </w:r>
          </w:p>
        </w:tc>
        <w:tc>
          <w:tcPr>
            <w:tcW w:type="dxa" w:w="416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Primary Driver</w:t>
            </w:r>
          </w:p>
        </w:tc>
      </w:tr>
      <w:tr>
        <w:tc>
          <w:tcPr>
            <w:tcW w:type="dxa" w:w="20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 Year — A$45–50</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A$45–50</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+10–22% — Copper segment revenue growth; iron ore stability</w:t>
            </w:r>
          </w:p>
        </w:tc>
        <w:tc>
          <w:tcPr>
            <w:tcW w:type="dxa" w:w="41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BHP's January 2025 analysis (Tier 1 — bhp.com) projects data centre copper demand growing 6x by 2050. BHP co-authored the S&amp;P Global study (January 2026) confirming the 10Mt structural deficit — making BHP one of the most credible voices on the structural copper thesis. The ASX-listed version is materially superior for Australian investors: AUD-denominated, franking credit-eligible, no US withholding tax on distributions. Iron ore and potash provide diversification that partially insulates against a pure copper cycle downturn. Q4 FY2025 results confirmed copper is BHP's fastest-growing revenue segment. BHP is lower-volatility than FCX but with comparable structural copper exposure — the right choice for investors who want AUD-denominated commodity exposure.</w:t>
            </w:r>
          </w:p>
        </w:tc>
      </w:tr>
      <w:tr>
        <w:tc>
          <w:tcPr>
            <w:tcW w:type="dxa" w:w="20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3 Years — A$55–66</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A$55–66</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+34–61% total / 10–17% p.a. — Structural copper deficit drives commodity price</w:t>
            </w:r>
          </w:p>
        </w:tc>
        <w:tc>
          <w:tcPr>
            <w:tcW w:type="dxa" w:w="41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Iron ore (40%+ of EBITDA) is driven by Chinese construction activity — a China hard landing would reduce BHP's total return significantly even if copper performs well.</w:t>
            </w:r>
          </w:p>
        </w:tc>
      </w:tr>
      <w:tr>
        <w:tc>
          <w:tcPr>
            <w:tcW w:type="dxa" w:w="20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 Years — A$68–85</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A$68–85</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+66–107% total / 11–15% p.a. — Data centre copper intensity × BHP scale</w:t>
            </w:r>
          </w:p>
        </w:tc>
        <w:tc>
          <w:tcPr>
            <w:tcW w:type="dxa" w:w="41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CONFIRMED — TIER 1</w:t>
            </w:r>
          </w:p>
        </w:tc>
      </w:tr>
    </w:tbl>
    <w:p>
      <w:pPr>
        <w:spacing w:before="80" w:after="0"/>
      </w:pPr>
      <w:r>
        <w:rPr>
          <w:rFonts w:ascii="Arial" w:cs="Arial" w:eastAsia="Arial" w:hAnsi="Arial"/>
          <w:b w:val="false"/>
          <w:bCs w:val="false"/>
          <w:i w:val="false"/>
          <w:iCs w:val="false"/>
          <w:color w:val="2D3748"/>
          <w:sz w:val="21"/>
          <w:szCs w:val="21"/>
        </w:rPr>
        <w:t xml:space="preserve"/>
      </w:r>
    </w:p>
    <w:p>
      <w:pPr>
        <w:spacing w:before="80" w:after="80"/>
        <w:jc w:val="left"/>
      </w:pPr>
      <w:r>
        <w:rPr>
          <w:rFonts w:ascii="Arial" w:cs="Arial" w:eastAsia="Arial" w:hAnsi="Arial"/>
          <w:b w:val="false"/>
          <w:bCs w:val="false"/>
          <w:i w:val="false"/>
          <w:iCs w:val="false"/>
          <w:color w:val="2D3748"/>
          <w:sz w:val="21"/>
          <w:szCs w:val="21"/>
        </w:rPr>
        <w:t xml:space="preserve">BHP Insights copper demand from bhp.com January 2025 (Tier 1). S&amp;P Global study co-authorship January 2026. ASX price ~A$41 estimated from currency conversion and market data.</w:t>
      </w:r>
    </w:p>
    <w:p>
      <w:pPr>
        <w:spacing w:before="60" w:after="0"/>
      </w:pPr>
      <w:r>
        <w:rPr>
          <w:rFonts w:ascii="Arial" w:cs="Arial" w:eastAsia="Arial" w:hAnsi="Arial"/>
          <w:b w:val="false"/>
          <w:bCs w:val="false"/>
          <w:i w:val="false"/>
          <w:iCs w:val="false"/>
          <w:color w:val="2D3748"/>
          <w:sz w:val="21"/>
          <w:szCs w:val="21"/>
        </w:rPr>
        <w:t xml:space="preserve"/>
      </w:r>
    </w:p>
    <w:p>
      <w:pPr>
        <w:spacing w:before="80" w:after="40"/>
        <w:jc w:val="left"/>
      </w:pPr>
      <w:r>
        <w:rPr>
          <w:rFonts w:ascii="Arial" w:cs="Arial" w:eastAsia="Arial" w:hAnsi="Arial"/>
          <w:b/>
          <w:bCs/>
          <w:i w:val="false"/>
          <w:iCs w:val="false"/>
          <w:color w:val="6B1C1C"/>
          <w:sz w:val="20"/>
          <w:szCs w:val="20"/>
        </w:rPr>
        <w:t xml:space="preserve">Key risk: </w:t>
      </w:r>
      <w:r>
        <w:rPr>
          <w:rFonts w:ascii="Arial" w:cs="Arial" w:eastAsia="Arial" w:hAnsi="Arial"/>
          <w:b w:val="false"/>
          <w:bCs w:val="false"/>
          <w:i w:val="false"/>
          <w:iCs w:val="false"/>
          <w:color w:val="718096"/>
          <w:sz w:val="20"/>
          <w:szCs w:val="20"/>
        </w:rPr>
        <w:t xml:space="preserve">BHP Insights, January 2025 (Tier 1); S&amp;P Global copper study, January 8, 2026 (Tier 1); ASX company announcements</w:t>
      </w:r>
    </w:p>
    <w:p>
      <w:pPr>
        <w:spacing w:before="80" w:after="40"/>
        <w:jc w:val="left"/>
      </w:pPr>
      <w:r>
        <w:rPr>
          <w:rFonts w:ascii="Arial" w:cs="Arial" w:eastAsia="Arial" w:hAnsi="Arial"/>
          <w:b/>
          <w:bCs/>
          <w:i w:val="false"/>
          <w:iCs w:val="false"/>
          <w:color w:val="1C5C3A"/>
          <w:sz w:val="19"/>
          <w:szCs w:val="19"/>
        </w:rPr>
        <w:t xml:space="preserve">Audit: </w:t>
      </w:r>
      <w:r>
        <w:rPr>
          <w:rFonts w:ascii="Arial" w:cs="Arial" w:eastAsia="Arial" w:hAnsi="Arial"/>
          <w:b/>
          <w:bCs/>
          <w:i w:val="false"/>
          <w:iCs w:val="false"/>
          <w:color w:val="1C5C3A"/>
          <w:sz w:val="19"/>
          <w:szCs w:val="19"/>
        </w:rPr>
      </w:r>
      <w:r>
        <w:rPr>
          <w:rFonts w:ascii="Arial" w:cs="Arial" w:eastAsia="Arial" w:hAnsi="Arial"/>
          <w:b w:val="false"/>
          <w:bCs w:val="false"/>
          <w:i w:val="false"/>
          <w:iCs w:val="false"/>
          <w:color w:val="718096"/>
          <w:sz w:val="19"/>
          <w:szCs w:val="19"/>
        </w:rPr>
        <w:t xml:space="preserve">  undefined</w:t>
      </w:r>
    </w:p>
    <w:p>
      <w:pPr>
        <w:spacing w:before="20" w:after="0"/>
      </w:pPr>
      <w:r>
        <w:rPr>
          <w:rFonts w:ascii="Arial" w:cs="Arial" w:eastAsia="Arial" w:hAnsi="Arial"/>
          <w:b w:val="false"/>
          <w:bCs w:val="false"/>
          <w:i w:val="false"/>
          <w:iCs w:val="false"/>
          <w:color w:val="2D3748"/>
          <w:sz w:val="21"/>
          <w:szCs w:val="21"/>
        </w:rPr>
        <w:t xml:space="preserve"/>
      </w:r>
    </w:p>
    <w:p>
      <w:pPr>
        <w:spacing w:before="80" w:after="0"/>
      </w:pPr>
      <w:r>
        <w:rPr>
          <w:rFonts w:ascii="Arial" w:cs="Arial" w:eastAsia="Arial" w:hAnsi="Arial"/>
          <w:b w:val="false"/>
          <w:bCs w:val="false"/>
          <w:i w:val="false"/>
          <w:iCs w:val="false"/>
          <w:color w:val="2D3748"/>
          <w:sz w:val="21"/>
          <w:szCs w:val="21"/>
        </w:rPr>
        <w:t xml:space="preserve"/>
      </w:r>
    </w:p>
    <w:p>
      <w:pPr>
        <w:spacing w:before="60" w:after="0"/>
      </w:pPr>
      <w:r>
        <w:rPr>
          <w:rFonts w:ascii="Arial" w:cs="Arial" w:eastAsia="Arial" w:hAnsi="Arial"/>
          <w:b w:val="false"/>
          <w:bCs w:val="false"/>
          <w:i w:val="false"/>
          <w:iCs w:val="false"/>
          <w:color w:val="2D3748"/>
          <w:sz w:val="21"/>
          <w:szCs w:val="21"/>
        </w:rPr>
        <w:t xml:space="preserve"/>
      </w:r>
    </w:p>
    <w:p>
      <w:pPr>
        <w:pBdr>
          <w:bottom w:val="single" w:color="003087" w:sz="5" w:space="1"/>
        </w:pBdr>
        <w:spacing w:before="120" w:after="120"/>
      </w:pPr>
      <w:r>
        <w:rPr>
          <w:rFonts w:ascii="Arial" w:cs="Arial" w:eastAsia="Arial" w:hAnsi="Arial"/>
          <w:b w:val="false"/>
          <w:bCs w:val="false"/>
          <w:i w:val="false"/>
          <w:iCs w:val="false"/>
          <w:color w:val="2D3748"/>
          <w:sz w:val="4"/>
          <w:szCs w:val="4"/>
        </w:rPr>
        <w:t xml:space="preserve"/>
      </w:r>
    </w:p>
    <w:p>
      <w:pPr>
        <w:pStyle w:val="Heading2"/>
        <w:spacing w:before="220" w:after="80"/>
      </w:pPr>
      <w:r>
        <w:rPr>
          <w:rFonts w:ascii="Arial" w:cs="Arial" w:eastAsia="Arial" w:hAnsi="Arial"/>
          <w:b/>
          <w:bCs/>
          <w:i w:val="false"/>
          <w:iCs w:val="false"/>
          <w:color w:val="003087"/>
          <w:sz w:val="24"/>
          <w:szCs w:val="24"/>
        </w:rPr>
        <w:t xml:space="preserve">CONNECTORS, SENSORS &amp; UNDISCOVERED INFRASTRUCTURE</w:t>
      </w:r>
    </w:p>
    <w:p>
      <w:pPr>
        <w:pBdr>
          <w:bottom w:val="single" w:color="003087" w:sz="5" w:space="1"/>
        </w:pBdr>
        <w:spacing w:before="120" w:after="120"/>
      </w:pPr>
      <w:r>
        <w:rPr>
          <w:rFonts w:ascii="Arial" w:cs="Arial" w:eastAsia="Arial" w:hAnsi="Arial"/>
          <w:b w:val="false"/>
          <w:bCs w:val="false"/>
          <w:i w:val="false"/>
          <w:iCs w:val="false"/>
          <w:color w:val="2D3748"/>
          <w:sz w:val="4"/>
          <w:szCs w:val="4"/>
        </w:rPr>
        <w:t xml:space="preserve"/>
      </w:r>
    </w:p>
    <w:p>
      <w:pPr>
        <w:spacing w:before="60" w:after="0"/>
      </w:pPr>
      <w:r>
        <w:rPr>
          <w:rFonts w:ascii="Arial" w:cs="Arial" w:eastAsia="Arial" w:hAnsi="Arial"/>
          <w:b w:val="false"/>
          <w:bCs w:val="false"/>
          <w:i w:val="false"/>
          <w:iCs w:val="false"/>
          <w:color w:val="2D3748"/>
          <w:sz w:val="21"/>
          <w:szCs w:val="21"/>
        </w:rPr>
        <w:t xml:space="preserve"/>
      </w:r>
    </w:p>
    <w:p>
      <w:pPr>
        <w:pStyle w:val="Heading3"/>
        <w:spacing w:before="160" w:after="60"/>
      </w:pPr>
      <w:r>
        <w:rPr>
          <w:rFonts w:ascii="Arial" w:cs="Arial" w:eastAsia="Arial" w:hAnsi="Arial"/>
          <w:b/>
          <w:bCs/>
          <w:i w:val="false"/>
          <w:iCs w:val="false"/>
          <w:color w:val="1C5C3A"/>
          <w:sz w:val="21"/>
          <w:szCs w:val="21"/>
        </w:rPr>
        <w:t xml:space="preserve">12. APH — Amphenol Corporation</w:t>
      </w:r>
    </w:p>
    <w:p>
      <w:pPr>
        <w:spacing w:before="40" w:after="80"/>
        <w:jc w:val="left"/>
      </w:pPr>
      <w:r>
        <w:rPr>
          <w:rFonts w:ascii="Arial" w:cs="Arial" w:eastAsia="Arial" w:hAnsi="Arial"/>
          <w:b w:val="false"/>
          <w:bCs w:val="false"/>
          <w:i w:val="false"/>
          <w:iCs w:val="false"/>
          <w:color w:val="718096"/>
          <w:sz w:val="19"/>
          <w:szCs w:val="19"/>
        </w:rPr>
        <w:t xml:space="preserve">NYSE  ·  Price: US$127.81  ·  </w:t>
      </w:r>
      <w:r>
        <w:rPr>
          <w:rFonts w:ascii="Arial" w:cs="Arial" w:eastAsia="Arial" w:hAnsi="Arial"/>
          <w:b/>
          <w:bCs/>
          <w:i w:val="false"/>
          <w:iCs w:val="false"/>
          <w:color w:val="1C5C3A"/>
          <w:sz w:val="19"/>
          <w:szCs w:val="19"/>
        </w:rPr>
        <w:t xml:space="preserve">Risk category: Low-Medium — Strong Buy consensus; quality franchise</w:t>
      </w:r>
      <w:r>
        <w:rPr>
          <w:rFonts w:ascii="Arial" w:cs="Arial" w:eastAsia="Arial" w:hAnsi="Arial"/>
          <w:b w:val="false"/>
          <w:bCs w:val="false"/>
          <w:i w:val="false"/>
          <w:iCs w:val="false"/>
          <w:color w:val="718096"/>
          <w:sz w:val="19"/>
          <w:szCs w:val="19"/>
        </w:rPr>
        <w:t xml:space="preserve">  ·  Analyst consensus 12-month target: US$155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160"/>
      </w:tblGrid>
      <w:tr>
        <w:tc>
          <w:tcPr>
            <w:tcW w:type="dxa" w:w="20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Horizon</w:t>
            </w:r>
          </w:p>
        </w:tc>
        <w:tc>
          <w:tcPr>
            <w:tcW w:type="dxa" w:w="16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Target Range</w:t>
            </w:r>
          </w:p>
        </w:tc>
        <w:tc>
          <w:tcPr>
            <w:tcW w:type="dxa" w:w="16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Expected Return</w:t>
            </w:r>
          </w:p>
        </w:tc>
        <w:tc>
          <w:tcPr>
            <w:tcW w:type="dxa" w:w="416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Primary Driver</w:t>
            </w:r>
          </w:p>
        </w:tc>
      </w:tr>
      <w:tr>
        <w:tc>
          <w:tcPr>
            <w:tcW w:type="dxa" w:w="20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 Year — US$150–165</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US$150–165</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+17–29% — Q4/FY2025 record results; AI segment growing ~200%</w:t>
            </w:r>
          </w:p>
        </w:tc>
        <w:tc>
          <w:tcPr>
            <w:tcW w:type="dxa" w:w="41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Amphenol designs and manufactures the high-density electrical and fibre optic connectors that physically link every component in every AI data centre: GPU to backplane, rack to power distribution, server to network. Without Amphenol-class connectors, no GPU cluster operates. FY2025 results (Tier 1, January 28, 2026) showed record revenue with strong organic growth and margins. Q4 2025 revenue grew 49.1% year-on-year. The AI business specifically is projected to grow nearly 200% by 2025 per management. With 23 analyst Buy ratings, 4 Holds, and 1 Sell, and a median consensus target of $155–169 (26% upside from current $127.81), Amphenol offers one of the better risk/reward profiles in this document. It is explicitly identified in the Version 3 document as a 'very strong but less-hyped way to express AI and electrification at once' — and that framing is correct. Lower media profile than GPU names is precisely why pricing remains more reasonable.</w:t>
            </w:r>
          </w:p>
        </w:tc>
      </w:tr>
      <w:tr>
        <w:tc>
          <w:tcPr>
            <w:tcW w:type="dxa" w:w="20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3 Years — US$200–240</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US$200–240</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+57–88% total / 16–23% p.a. — AI interconnect content per server multiplies</w:t>
            </w:r>
          </w:p>
        </w:tc>
        <w:tc>
          <w:tcPr>
            <w:tcW w:type="dxa" w:w="41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Broad exposure across automotive, aerospace, and industrial creates revenue cyclicality when these sectors slow.</w:t>
            </w:r>
          </w:p>
        </w:tc>
      </w:tr>
      <w:tr>
        <w:tc>
          <w:tcPr>
            <w:tcW w:type="dxa" w:w="20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 Years — US$290–370</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US$290–370</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+127–190% total / 18–24% p.a. — Connectors become recognised AI infrastructure component</w:t>
            </w:r>
          </w:p>
        </w:tc>
        <w:tc>
          <w:tcPr>
            <w:tcW w:type="dxa" w:w="41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CONFIRMED — TIER 1</w:t>
            </w:r>
          </w:p>
        </w:tc>
      </w:tr>
    </w:tbl>
    <w:p>
      <w:pPr>
        <w:spacing w:before="80" w:after="0"/>
      </w:pPr>
      <w:r>
        <w:rPr>
          <w:rFonts w:ascii="Arial" w:cs="Arial" w:eastAsia="Arial" w:hAnsi="Arial"/>
          <w:b w:val="false"/>
          <w:bCs w:val="false"/>
          <w:i w:val="false"/>
          <w:iCs w:val="false"/>
          <w:color w:val="2D3748"/>
          <w:sz w:val="21"/>
          <w:szCs w:val="21"/>
        </w:rPr>
        <w:t xml:space="preserve"/>
      </w:r>
    </w:p>
    <w:p>
      <w:pPr>
        <w:spacing w:before="80" w:after="80"/>
        <w:jc w:val="left"/>
      </w:pPr>
      <w:r>
        <w:rPr>
          <w:rFonts w:ascii="Arial" w:cs="Arial" w:eastAsia="Arial" w:hAnsi="Arial"/>
          <w:b w:val="false"/>
          <w:bCs w:val="false"/>
          <w:i w:val="false"/>
          <w:iCs w:val="false"/>
          <w:color w:val="2D3748"/>
          <w:sz w:val="21"/>
          <w:szCs w:val="21"/>
        </w:rPr>
        <w:t xml:space="preserve">Amphenol 4Q/FY2025 release January 28, 2026 (Tier 1, confirmed Version 3 Appendix A). Consensus target $154–169 from StockAnalysis/TickerNerd March 2026.</w:t>
      </w:r>
    </w:p>
    <w:p>
      <w:pPr>
        <w:spacing w:before="60" w:after="0"/>
      </w:pPr>
      <w:r>
        <w:rPr>
          <w:rFonts w:ascii="Arial" w:cs="Arial" w:eastAsia="Arial" w:hAnsi="Arial"/>
          <w:b w:val="false"/>
          <w:bCs w:val="false"/>
          <w:i w:val="false"/>
          <w:iCs w:val="false"/>
          <w:color w:val="2D3748"/>
          <w:sz w:val="21"/>
          <w:szCs w:val="21"/>
        </w:rPr>
        <w:t xml:space="preserve"/>
      </w:r>
    </w:p>
    <w:p>
      <w:pPr>
        <w:spacing w:before="80" w:after="40"/>
        <w:jc w:val="left"/>
      </w:pPr>
      <w:r>
        <w:rPr>
          <w:rFonts w:ascii="Arial" w:cs="Arial" w:eastAsia="Arial" w:hAnsi="Arial"/>
          <w:b/>
          <w:bCs/>
          <w:i w:val="false"/>
          <w:iCs w:val="false"/>
          <w:color w:val="6B1C1C"/>
          <w:sz w:val="20"/>
          <w:szCs w:val="20"/>
        </w:rPr>
        <w:t xml:space="preserve">Key risk: </w:t>
      </w:r>
      <w:r>
        <w:rPr>
          <w:rFonts w:ascii="Arial" w:cs="Arial" w:eastAsia="Arial" w:hAnsi="Arial"/>
          <w:b w:val="false"/>
          <w:bCs w:val="false"/>
          <w:i w:val="false"/>
          <w:iCs w:val="false"/>
          <w:color w:val="718096"/>
          <w:sz w:val="20"/>
          <w:szCs w:val="20"/>
        </w:rPr>
        <w:t xml:space="preserve">Amphenol 4Q/FY2025 results release, January 28, 2026 (Tier 1); StockAnalysis/TickerNerd consensus $154–169 March 2026</w:t>
      </w:r>
    </w:p>
    <w:p>
      <w:pPr>
        <w:spacing w:before="80" w:after="40"/>
        <w:jc w:val="left"/>
      </w:pPr>
      <w:r>
        <w:rPr>
          <w:rFonts w:ascii="Arial" w:cs="Arial" w:eastAsia="Arial" w:hAnsi="Arial"/>
          <w:b/>
          <w:bCs/>
          <w:i w:val="false"/>
          <w:iCs w:val="false"/>
          <w:color w:val="1C5C3A"/>
          <w:sz w:val="19"/>
          <w:szCs w:val="19"/>
        </w:rPr>
        <w:t xml:space="preserve">Audit: </w:t>
      </w:r>
      <w:r>
        <w:rPr>
          <w:rFonts w:ascii="Arial" w:cs="Arial" w:eastAsia="Arial" w:hAnsi="Arial"/>
          <w:b/>
          <w:bCs/>
          <w:i w:val="false"/>
          <w:iCs w:val="false"/>
          <w:color w:val="1C5C3A"/>
          <w:sz w:val="19"/>
          <w:szCs w:val="19"/>
        </w:rPr>
        <w:t xml:space="default"/>
      </w:r>
      <w:r>
        <w:rPr>
          <w:rFonts w:ascii="Arial" w:cs="Arial" w:eastAsia="Arial" w:hAnsi="Arial"/>
          <w:b w:val="false"/>
          <w:bCs w:val="false"/>
          <w:i w:val="false"/>
          <w:iCs w:val="false"/>
          <w:color w:val="718096"/>
          <w:sz w:val="19"/>
          <w:szCs w:val="19"/>
        </w:rPr>
        <w:t xml:space="preserve">  undefined</w:t>
      </w:r>
    </w:p>
    <w:p>
      <w:pPr>
        <w:spacing w:before="20" w:after="0"/>
      </w:pPr>
      <w:r>
        <w:rPr>
          <w:rFonts w:ascii="Arial" w:cs="Arial" w:eastAsia="Arial" w:hAnsi="Arial"/>
          <w:b w:val="false"/>
          <w:bCs w:val="false"/>
          <w:i w:val="false"/>
          <w:iCs w:val="false"/>
          <w:color w:val="2D3748"/>
          <w:sz w:val="21"/>
          <w:szCs w:val="21"/>
        </w:rPr>
        <w:t xml:space="preserve"/>
      </w:r>
    </w:p>
    <w:p>
      <w:pPr>
        <w:spacing w:before="80" w:after="0"/>
      </w:pPr>
      <w:r>
        <w:rPr>
          <w:rFonts w:ascii="Arial" w:cs="Arial" w:eastAsia="Arial" w:hAnsi="Arial"/>
          <w:b w:val="false"/>
          <w:bCs w:val="false"/>
          <w:i w:val="false"/>
          <w:iCs w:val="false"/>
          <w:color w:val="2D3748"/>
          <w:sz w:val="21"/>
          <w:szCs w:val="21"/>
        </w:rPr>
        <w:t xml:space="preserve"/>
      </w:r>
    </w:p>
    <w:p>
      <w:pPr>
        <w:spacing w:before="60" w:after="0"/>
      </w:pPr>
      <w:r>
        <w:rPr>
          <w:rFonts w:ascii="Arial" w:cs="Arial" w:eastAsia="Arial" w:hAnsi="Arial"/>
          <w:b w:val="false"/>
          <w:bCs w:val="false"/>
          <w:i w:val="false"/>
          <w:iCs w:val="false"/>
          <w:color w:val="2D3748"/>
          <w:sz w:val="21"/>
          <w:szCs w:val="21"/>
        </w:rPr>
        <w:t xml:space="preserve"/>
      </w:r>
    </w:p>
    <w:p>
      <w:pPr>
        <w:pBdr>
          <w:bottom w:val="single" w:color="003087" w:sz="5" w:space="1"/>
        </w:pBdr>
        <w:spacing w:before="120" w:after="120"/>
      </w:pPr>
      <w:r>
        <w:rPr>
          <w:rFonts w:ascii="Arial" w:cs="Arial" w:eastAsia="Arial" w:hAnsi="Arial"/>
          <w:b w:val="false"/>
          <w:bCs w:val="false"/>
          <w:i w:val="false"/>
          <w:iCs w:val="false"/>
          <w:color w:val="2D3748"/>
          <w:sz w:val="4"/>
          <w:szCs w:val="4"/>
        </w:rPr>
        <w:t xml:space="preserve"/>
      </w:r>
    </w:p>
    <w:p>
      <w:pPr>
        <w:pStyle w:val="Heading2"/>
        <w:spacing w:before="220" w:after="80"/>
      </w:pPr>
      <w:r>
        <w:rPr>
          <w:rFonts w:ascii="Arial" w:cs="Arial" w:eastAsia="Arial" w:hAnsi="Arial"/>
          <w:b/>
          <w:bCs/>
          <w:i w:val="false"/>
          <w:iCs w:val="false"/>
          <w:color w:val="003087"/>
          <w:sz w:val="24"/>
          <w:szCs w:val="24"/>
        </w:rPr>
        <w:t xml:space="preserve">POWER GENERATION — ASYMMETRIC UPSIDE</w:t>
      </w:r>
    </w:p>
    <w:p>
      <w:pPr>
        <w:pBdr>
          <w:bottom w:val="single" w:color="003087" w:sz="5" w:space="1"/>
        </w:pBdr>
        <w:spacing w:before="120" w:after="120"/>
      </w:pPr>
      <w:r>
        <w:rPr>
          <w:rFonts w:ascii="Arial" w:cs="Arial" w:eastAsia="Arial" w:hAnsi="Arial"/>
          <w:b w:val="false"/>
          <w:bCs w:val="false"/>
          <w:i w:val="false"/>
          <w:iCs w:val="false"/>
          <w:color w:val="2D3748"/>
          <w:sz w:val="4"/>
          <w:szCs w:val="4"/>
        </w:rPr>
        <w:t xml:space="preserve"/>
      </w:r>
    </w:p>
    <w:p>
      <w:pPr>
        <w:spacing w:before="60" w:after="0"/>
      </w:pPr>
      <w:r>
        <w:rPr>
          <w:rFonts w:ascii="Arial" w:cs="Arial" w:eastAsia="Arial" w:hAnsi="Arial"/>
          <w:b w:val="false"/>
          <w:bCs w:val="false"/>
          <w:i w:val="false"/>
          <w:iCs w:val="false"/>
          <w:color w:val="2D3748"/>
          <w:sz w:val="21"/>
          <w:szCs w:val="21"/>
        </w:rPr>
        <w:t xml:space="preserve"/>
      </w:r>
    </w:p>
    <w:p>
      <w:pPr>
        <w:pStyle w:val="Heading3"/>
        <w:spacing w:before="160" w:after="60"/>
      </w:pPr>
      <w:r>
        <w:rPr>
          <w:rFonts w:ascii="Arial" w:cs="Arial" w:eastAsia="Arial" w:hAnsi="Arial"/>
          <w:b/>
          <w:bCs/>
          <w:i w:val="false"/>
          <w:iCs w:val="false"/>
          <w:color w:val="1A4A80"/>
          <w:sz w:val="21"/>
          <w:szCs w:val="21"/>
        </w:rPr>
        <w:t xml:space="preserve">13. VST — Vistra Corp</w:t>
      </w:r>
    </w:p>
    <w:p>
      <w:pPr>
        <w:spacing w:before="40" w:after="80"/>
        <w:jc w:val="left"/>
      </w:pPr>
      <w:r>
        <w:rPr>
          <w:rFonts w:ascii="Arial" w:cs="Arial" w:eastAsia="Arial" w:hAnsi="Arial"/>
          <w:b w:val="false"/>
          <w:bCs w:val="false"/>
          <w:i w:val="false"/>
          <w:iCs w:val="false"/>
          <w:color w:val="718096"/>
          <w:sz w:val="19"/>
          <w:szCs w:val="19"/>
        </w:rPr>
        <w:t xml:space="preserve">NYSE  ·  Price: US$158.35  ·  </w:t>
      </w:r>
      <w:r>
        <w:rPr>
          <w:rFonts w:ascii="Arial" w:cs="Arial" w:eastAsia="Arial" w:hAnsi="Arial"/>
          <w:b/>
          <w:bCs/>
          <w:i w:val="false"/>
          <w:iCs w:val="false"/>
          <w:color w:val="1A4A80"/>
          <w:sz w:val="19"/>
          <w:szCs w:val="19"/>
        </w:rPr>
        <w:t xml:space="preserve">Risk category: Medium — strongest analyst upside in this entire document</w:t>
      </w:r>
      <w:r>
        <w:rPr>
          <w:rFonts w:ascii="Arial" w:cs="Arial" w:eastAsia="Arial" w:hAnsi="Arial"/>
          <w:b w:val="false"/>
          <w:bCs w:val="false"/>
          <w:i w:val="false"/>
          <w:iCs w:val="false"/>
          <w:color w:val="718096"/>
          <w:sz w:val="19"/>
          <w:szCs w:val="19"/>
        </w:rPr>
        <w:t xml:space="preserve">  ·  Analyst consensus 12-month target: US$234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160"/>
      </w:tblGrid>
      <w:tr>
        <w:tc>
          <w:tcPr>
            <w:tcW w:type="dxa" w:w="20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Horizon</w:t>
            </w:r>
          </w:p>
        </w:tc>
        <w:tc>
          <w:tcPr>
            <w:tcW w:type="dxa" w:w="16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Target Range</w:t>
            </w:r>
          </w:p>
        </w:tc>
        <w:tc>
          <w:tcPr>
            <w:tcW w:type="dxa" w:w="16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Expected Return</w:t>
            </w:r>
          </w:p>
        </w:tc>
        <w:tc>
          <w:tcPr>
            <w:tcW w:type="dxa" w:w="416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Primary Driver</w:t>
            </w:r>
          </w:p>
        </w:tc>
      </w:tr>
      <w:tr>
        <w:tc>
          <w:tcPr>
            <w:tcW w:type="dxa" w:w="20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 Year — US$215–260</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US$215–260</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+36–64% — Morgan Stanley Buy $215; median analyst $234 (48% upside)</w:t>
            </w:r>
          </w:p>
        </w:tc>
        <w:tc>
          <w:tcPr>
            <w:tcW w:type="dxa" w:w="41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Vistra has 18 analyst Buy ratings, 2 Holds, and 1 Sell. The median 12-month consensus target is $234.50 — implying 48% upside from the current price of $158.35. This is the strongest analyst consensus upside of any name in this document. Morgan Stanley issued a Buy with a $215 target on March 10, 2026, noting AI demand will keep outpacing power supply. Vistra's FY2026 EBITDA guidance is $6.8–7.6B — a 19–30% jump from the 2025 guidance of $5.7–5.9B. The company has 44,000 MW of generation capacity. It recently acquired seven natural gas plants (+2,600 MW), adding flexible capacity that data centres can consume before 2030 nuclear expansion arrives. The Version 3 document prefers VST over CEG 'for asymmetry from current levels' — we agree. CEG has already re-rated; VST has the stronger analyst consensus upside at current prices. Vistra's recent pullback from 2025 highs — the stock has fallen ~30% from peak — creates the entry point the Version 3 correctly identified.</w:t>
            </w:r>
          </w:p>
        </w:tc>
      </w:tr>
      <w:tr>
        <w:tc>
          <w:tcPr>
            <w:tcW w:type="dxa" w:w="20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3 Years — US$310–390</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US$310–390</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+96–146% total / 25–34% p.a. — 2026 EBITDA guidance $6.8–7.6B; 30% earnings jump</w:t>
            </w:r>
          </w:p>
        </w:tc>
        <w:tc>
          <w:tcPr>
            <w:tcW w:type="dxa" w:w="41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Power market cyclicality: wholesale electricity prices can fall sharply (demonstrated in Q3 2025 when net income fell 66.7% YoY). Commodity price sensitivity is inherent.</w:t>
            </w:r>
          </w:p>
        </w:tc>
      </w:tr>
      <w:tr>
        <w:tc>
          <w:tcPr>
            <w:tcW w:type="dxa" w:w="20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 Years — US$440–580</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US$440–580</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+178–266% total / 23–30% p.a. — Power monetisation expands; Vistra Vision zero-carbon assets</w:t>
            </w:r>
          </w:p>
        </w:tc>
        <w:tc>
          <w:tcPr>
            <w:tcW w:type="dxa" w:w="41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CONFIRMED — TIER 2</w:t>
            </w:r>
          </w:p>
        </w:tc>
      </w:tr>
    </w:tbl>
    <w:p>
      <w:pPr>
        <w:spacing w:before="80" w:after="0"/>
      </w:pPr>
      <w:r>
        <w:rPr>
          <w:rFonts w:ascii="Arial" w:cs="Arial" w:eastAsia="Arial" w:hAnsi="Arial"/>
          <w:b w:val="false"/>
          <w:bCs w:val="false"/>
          <w:i w:val="false"/>
          <w:iCs w:val="false"/>
          <w:color w:val="2D3748"/>
          <w:sz w:val="21"/>
          <w:szCs w:val="21"/>
        </w:rPr>
        <w:t xml:space="preserve"/>
      </w:r>
    </w:p>
    <w:p>
      <w:pPr>
        <w:spacing w:before="80" w:after="80"/>
        <w:jc w:val="left"/>
      </w:pPr>
      <w:r>
        <w:rPr>
          <w:rFonts w:ascii="Arial" w:cs="Arial" w:eastAsia="Arial" w:hAnsi="Arial"/>
          <w:b w:val="false"/>
          <w:bCs w:val="false"/>
          <w:i w:val="false"/>
          <w:iCs w:val="false"/>
          <w:color w:val="2D3748"/>
          <w:sz w:val="21"/>
          <w:szCs w:val="21"/>
        </w:rPr>
        <w:t xml:space="preserve">Morgan Stanley Buy/$215 from Yahoo Finance March 10, 2026. Consensus $234.50 from StockAnalysis March 2026. EBITDA guidance from Vistra Q4/FY2025 results February 26, 2026 (Tier 1).</w:t>
      </w:r>
    </w:p>
    <w:p>
      <w:pPr>
        <w:spacing w:before="60" w:after="0"/>
      </w:pPr>
      <w:r>
        <w:rPr>
          <w:rFonts w:ascii="Arial" w:cs="Arial" w:eastAsia="Arial" w:hAnsi="Arial"/>
          <w:b w:val="false"/>
          <w:bCs w:val="false"/>
          <w:i w:val="false"/>
          <w:iCs w:val="false"/>
          <w:color w:val="2D3748"/>
          <w:sz w:val="21"/>
          <w:szCs w:val="21"/>
        </w:rPr>
        <w:t xml:space="preserve"/>
      </w:r>
    </w:p>
    <w:p>
      <w:pPr>
        <w:spacing w:before="80" w:after="40"/>
        <w:jc w:val="left"/>
      </w:pPr>
      <w:r>
        <w:rPr>
          <w:rFonts w:ascii="Arial" w:cs="Arial" w:eastAsia="Arial" w:hAnsi="Arial"/>
          <w:b/>
          <w:bCs/>
          <w:i w:val="false"/>
          <w:iCs w:val="false"/>
          <w:color w:val="6B1C1C"/>
          <w:sz w:val="20"/>
          <w:szCs w:val="20"/>
        </w:rPr>
        <w:t xml:space="preserve">Key risk: </w:t>
      </w:r>
      <w:r>
        <w:rPr>
          <w:rFonts w:ascii="Arial" w:cs="Arial" w:eastAsia="Arial" w:hAnsi="Arial"/>
          <w:b w:val="false"/>
          <w:bCs w:val="false"/>
          <w:i w:val="false"/>
          <w:iCs w:val="false"/>
          <w:color w:val="718096"/>
          <w:sz w:val="20"/>
          <w:szCs w:val="20"/>
        </w:rPr>
        <w:t xml:space="preserve">Vistra Q4/FY2025 results, February 26, 2026 (Tier 1); Morgan Stanley research March 10, 2026 (Tier 2); StockAnalysis/TickerNerd consensus $233–234 March 2026</w:t>
      </w:r>
    </w:p>
    <w:p>
      <w:pPr>
        <w:spacing w:before="80" w:after="40"/>
        <w:jc w:val="left"/>
      </w:pPr>
      <w:r>
        <w:rPr>
          <w:rFonts w:ascii="Arial" w:cs="Arial" w:eastAsia="Arial" w:hAnsi="Arial"/>
          <w:b/>
          <w:bCs/>
          <w:i w:val="false"/>
          <w:iCs w:val="false"/>
          <w:color w:val="1A4A80"/>
          <w:sz w:val="19"/>
          <w:szCs w:val="19"/>
        </w:rPr>
        <w:t xml:space="preserve">Audit: </w:t>
      </w:r>
      <w:r>
        <w:rPr>
          <w:rFonts w:ascii="Arial" w:cs="Arial" w:eastAsia="Arial" w:hAnsi="Arial"/>
          <w:b/>
          <w:bCs/>
          <w:i w:val="false"/>
          <w:iCs w:val="false"/>
          <w:color w:val="1A4A80"/>
          <w:sz w:val="19"/>
          <w:szCs w:val="19"/>
        </w:rPr>
        <w:t xml:space="default"/>
      </w:r>
      <w:r>
        <w:rPr>
          <w:rFonts w:ascii="Arial" w:cs="Arial" w:eastAsia="Arial" w:hAnsi="Arial"/>
          <w:b w:val="false"/>
          <w:bCs w:val="false"/>
          <w:i w:val="false"/>
          <w:iCs w:val="false"/>
          <w:color w:val="718096"/>
          <w:sz w:val="19"/>
          <w:szCs w:val="19"/>
        </w:rPr>
        <w:t xml:space="preserve">  undefined</w:t>
      </w:r>
    </w:p>
    <w:p>
      <w:pPr>
        <w:spacing w:before="20" w:after="0"/>
      </w:pPr>
      <w:r>
        <w:rPr>
          <w:rFonts w:ascii="Arial" w:cs="Arial" w:eastAsia="Arial" w:hAnsi="Arial"/>
          <w:b w:val="false"/>
          <w:bCs w:val="false"/>
          <w:i w:val="false"/>
          <w:iCs w:val="false"/>
          <w:color w:val="2D3748"/>
          <w:sz w:val="21"/>
          <w:szCs w:val="21"/>
        </w:rPr>
        <w:t xml:space="preserve"/>
      </w:r>
    </w:p>
    <w:p>
      <w:pPr>
        <w:spacing w:before="80" w:after="0"/>
      </w:pPr>
      <w:r>
        <w:rPr>
          <w:rFonts w:ascii="Arial" w:cs="Arial" w:eastAsia="Arial" w:hAnsi="Arial"/>
          <w:b w:val="false"/>
          <w:bCs w:val="false"/>
          <w:i w:val="false"/>
          <w:iCs w:val="false"/>
          <w:color w:val="2D3748"/>
          <w:sz w:val="21"/>
          <w:szCs w:val="21"/>
        </w:rPr>
        <w:t xml:space="preserve"/>
      </w:r>
    </w:p>
    <w:p>
      <w:pPr>
        <w:spacing w:before="60" w:after="0"/>
      </w:pPr>
      <w:r>
        <w:rPr>
          <w:rFonts w:ascii="Arial" w:cs="Arial" w:eastAsia="Arial" w:hAnsi="Arial"/>
          <w:b w:val="false"/>
          <w:bCs w:val="false"/>
          <w:i w:val="false"/>
          <w:iCs w:val="false"/>
          <w:color w:val="2D3748"/>
          <w:sz w:val="21"/>
          <w:szCs w:val="21"/>
        </w:rPr>
        <w:t xml:space="preserve"/>
      </w:r>
    </w:p>
    <w:p>
      <w:pPr>
        <w:pBdr>
          <w:bottom w:val="single" w:color="003087" w:sz="5" w:space="1"/>
        </w:pBdr>
        <w:spacing w:before="120" w:after="120"/>
      </w:pPr>
      <w:r>
        <w:rPr>
          <w:rFonts w:ascii="Arial" w:cs="Arial" w:eastAsia="Arial" w:hAnsi="Arial"/>
          <w:b w:val="false"/>
          <w:bCs w:val="false"/>
          <w:i w:val="false"/>
          <w:iCs w:val="false"/>
          <w:color w:val="2D3748"/>
          <w:sz w:val="4"/>
          <w:szCs w:val="4"/>
        </w:rPr>
        <w:t xml:space="preserve"/>
      </w:r>
    </w:p>
    <w:p>
      <w:pPr>
        <w:pStyle w:val="Heading2"/>
        <w:spacing w:before="220" w:after="80"/>
      </w:pPr>
      <w:r>
        <w:rPr>
          <w:rFonts w:ascii="Arial" w:cs="Arial" w:eastAsia="Arial" w:hAnsi="Arial"/>
          <w:b/>
          <w:bCs/>
          <w:i w:val="false"/>
          <w:iCs w:val="false"/>
          <w:color w:val="003087"/>
          <w:sz w:val="24"/>
          <w:szCs w:val="24"/>
        </w:rPr>
        <w:t xml:space="preserve">MEP &amp; DATA CENTRE CONSTRUCTION — THE MOST OVERLOOKED NAME</w:t>
      </w:r>
    </w:p>
    <w:p>
      <w:pPr>
        <w:pBdr>
          <w:bottom w:val="single" w:color="003087" w:sz="5" w:space="1"/>
        </w:pBdr>
        <w:spacing w:before="120" w:after="120"/>
      </w:pPr>
      <w:r>
        <w:rPr>
          <w:rFonts w:ascii="Arial" w:cs="Arial" w:eastAsia="Arial" w:hAnsi="Arial"/>
          <w:b w:val="false"/>
          <w:bCs w:val="false"/>
          <w:i w:val="false"/>
          <w:iCs w:val="false"/>
          <w:color w:val="2D3748"/>
          <w:sz w:val="4"/>
          <w:szCs w:val="4"/>
        </w:rPr>
        <w:t xml:space="preserve"/>
      </w:r>
    </w:p>
    <w:p>
      <w:pPr>
        <w:spacing w:before="60" w:after="0"/>
      </w:pPr>
      <w:r>
        <w:rPr>
          <w:rFonts w:ascii="Arial" w:cs="Arial" w:eastAsia="Arial" w:hAnsi="Arial"/>
          <w:b w:val="false"/>
          <w:bCs w:val="false"/>
          <w:i w:val="false"/>
          <w:iCs w:val="false"/>
          <w:color w:val="2D3748"/>
          <w:sz w:val="21"/>
          <w:szCs w:val="21"/>
        </w:rPr>
        <w:t xml:space="preserve"/>
      </w:r>
    </w:p>
    <w:p>
      <w:pPr>
        <w:pStyle w:val="Heading3"/>
        <w:spacing w:before="160" w:after="60"/>
      </w:pPr>
      <w:r>
        <w:rPr>
          <w:rFonts w:ascii="Arial" w:cs="Arial" w:eastAsia="Arial" w:hAnsi="Arial"/>
          <w:b/>
          <w:bCs/>
          <w:i w:val="false"/>
          <w:iCs w:val="false"/>
          <w:color w:val="1C5C3A"/>
          <w:sz w:val="21"/>
          <w:szCs w:val="21"/>
        </w:rPr>
        <w:t xml:space="preserve">14. FIX — Comfort Systems USA Inc.</w:t>
      </w:r>
    </w:p>
    <w:p>
      <w:pPr>
        <w:spacing w:before="40" w:after="80"/>
        <w:jc w:val="left"/>
      </w:pPr>
      <w:r>
        <w:rPr>
          <w:rFonts w:ascii="Arial" w:cs="Arial" w:eastAsia="Arial" w:hAnsi="Arial"/>
          <w:b w:val="false"/>
          <w:bCs w:val="false"/>
          <w:i w:val="false"/>
          <w:iCs w:val="false"/>
          <w:color w:val="718096"/>
          <w:sz w:val="19"/>
          <w:szCs w:val="19"/>
        </w:rPr>
        <w:t xml:space="preserve">NYSE  ·  Price: US$~1380  ·  </w:t>
      </w:r>
      <w:r>
        <w:rPr>
          <w:rFonts w:ascii="Arial" w:cs="Arial" w:eastAsia="Arial" w:hAnsi="Arial"/>
          <w:b/>
          <w:bCs/>
          <w:i w:val="false"/>
          <w:iCs w:val="false"/>
          <w:color w:val="1C5C3A"/>
          <w:sz w:val="19"/>
          <w:szCs w:val="19"/>
        </w:rPr>
        <w:t xml:space="preserve">Risk category: Medium — record backlog; strongest recent earnings beat in this document</w:t>
      </w:r>
      <w:r>
        <w:rPr>
          <w:rFonts w:ascii="Arial" w:cs="Arial" w:eastAsia="Arial" w:hAnsi="Arial"/>
          <w:b w:val="false"/>
          <w:bCs w:val="false"/>
          <w:i w:val="false"/>
          <w:iCs w:val="false"/>
          <w:color w:val="718096"/>
          <w:sz w:val="19"/>
          <w:szCs w:val="19"/>
        </w:rPr>
        <w:t xml:space="preserve">  ·  Analyst consensus 12-month target: US$1700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160"/>
      </w:tblGrid>
      <w:tr>
        <w:tc>
          <w:tcPr>
            <w:tcW w:type="dxa" w:w="20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Horizon</w:t>
            </w:r>
          </w:p>
        </w:tc>
        <w:tc>
          <w:tcPr>
            <w:tcW w:type="dxa" w:w="16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Target Range</w:t>
            </w:r>
          </w:p>
        </w:tc>
        <w:tc>
          <w:tcPr>
            <w:tcW w:type="dxa" w:w="16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Expected Return</w:t>
            </w:r>
          </w:p>
        </w:tc>
        <w:tc>
          <w:tcPr>
            <w:tcW w:type="dxa" w:w="416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Primary Driver</w:t>
            </w:r>
          </w:p>
        </w:tc>
      </w:tr>
      <w:tr>
        <w:tc>
          <w:tcPr>
            <w:tcW w:type="dxa" w:w="20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 Year — US$1500–1800</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US$1500–1800</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+9–30% — DA Davidson raised to $1,800; consensus $1,378–1,696</w:t>
            </w:r>
          </w:p>
        </w:tc>
        <w:tc>
          <w:tcPr>
            <w:tcW w:type="dxa" w:w="41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Comfort Systems USA installs the mechanical, electrical, HVAC, and plumbing systems inside AI data centres — the physical cooling and power management that makes GPU clusters operable. This is the name nobody talks about because 'HVAC contractor' doesn't sound like an AI infrastructure play. The earnings tell a different story. Q4 2025 EPS of $9.37 beat the consensus estimate of $6.76 by 39% — the largest earnings beat in this entire 15-stock document. Revenue was approximately $2.6 billion, up 42% year-on-year. Backlog reached a record $11.9 billion. Technology projects (data centres and semiconductor fabrication plants) represented 45% of revenue in 2025, up from 33% the prior year. Modular prefabrication capacity is expanding 30% in 2026. Analyst revenue forecasts project growth from approximately $9 billion in 2025 to $19 billion by 2030. The stock is approximately 25% below the analyst consensus target of ~$1,696 (Simply Wall St, March 2026). DA Davidson raised its target to $1,800 after the Q4 results.</w:t>
            </w:r>
          </w:p>
        </w:tc>
      </w:tr>
      <w:tr>
        <w:tc>
          <w:tcPr>
            <w:tcW w:type="dxa" w:w="20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3 Years — US$2200–2800</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US$2200–2800</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+59–103% total / 17–25% p.a. — $11.9B backlog converts; modular capacity +30%</w:t>
            </w:r>
          </w:p>
        </w:tc>
        <w:tc>
          <w:tcPr>
            <w:tcW w:type="dxa" w:w="41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Data centre construction concentration: if hyperscaler capex slows, FIX is directly exposed. Labour shortages could constrain execution of record backlog.</w:t>
            </w:r>
          </w:p>
        </w:tc>
      </w:tr>
      <w:tr>
        <w:tc>
          <w:tcPr>
            <w:tcW w:type="dxa" w:w="20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 Years — US$3200–4200</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US$3200–4200</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+132–204% total / 18–24% p.a. — AI data centre construction wave extends 10+ years</w:t>
            </w:r>
          </w:p>
        </w:tc>
        <w:tc>
          <w:tcPr>
            <w:tcW w:type="dxa" w:w="41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CONFIRMED — TIER 1</w:t>
            </w:r>
          </w:p>
        </w:tc>
      </w:tr>
    </w:tbl>
    <w:p>
      <w:pPr>
        <w:spacing w:before="80" w:after="0"/>
      </w:pPr>
      <w:r>
        <w:rPr>
          <w:rFonts w:ascii="Arial" w:cs="Arial" w:eastAsia="Arial" w:hAnsi="Arial"/>
          <w:b w:val="false"/>
          <w:bCs w:val="false"/>
          <w:i w:val="false"/>
          <w:iCs w:val="false"/>
          <w:color w:val="2D3748"/>
          <w:sz w:val="21"/>
          <w:szCs w:val="21"/>
        </w:rPr>
        <w:t xml:space="preserve"/>
      </w:r>
    </w:p>
    <w:p>
      <w:pPr>
        <w:spacing w:before="80" w:after="80"/>
        <w:jc w:val="left"/>
      </w:pPr>
      <w:r>
        <w:rPr>
          <w:rFonts w:ascii="Arial" w:cs="Arial" w:eastAsia="Arial" w:hAnsi="Arial"/>
          <w:b w:val="false"/>
          <w:bCs w:val="false"/>
          <w:i w:val="false"/>
          <w:iCs w:val="false"/>
          <w:color w:val="2D3748"/>
          <w:sz w:val="21"/>
          <w:szCs w:val="21"/>
        </w:rPr>
        <w:t xml:space="preserve">FIX Q4 2025 earnings from TipRanks February 20, 2026 ($9.37 EPS, record backlog $11.9B). DA Davidson target $1,800 from TipRanks. Revenue $2.6B (+42%) from TIKR March 2026.</w:t>
      </w:r>
    </w:p>
    <w:p>
      <w:pPr>
        <w:spacing w:before="60" w:after="0"/>
      </w:pPr>
      <w:r>
        <w:rPr>
          <w:rFonts w:ascii="Arial" w:cs="Arial" w:eastAsia="Arial" w:hAnsi="Arial"/>
          <w:b w:val="false"/>
          <w:bCs w:val="false"/>
          <w:i w:val="false"/>
          <w:iCs w:val="false"/>
          <w:color w:val="2D3748"/>
          <w:sz w:val="21"/>
          <w:szCs w:val="21"/>
        </w:rPr>
        <w:t xml:space="preserve"/>
      </w:r>
    </w:p>
    <w:p>
      <w:pPr>
        <w:spacing w:before="80" w:after="40"/>
        <w:jc w:val="left"/>
      </w:pPr>
      <w:r>
        <w:rPr>
          <w:rFonts w:ascii="Arial" w:cs="Arial" w:eastAsia="Arial" w:hAnsi="Arial"/>
          <w:b/>
          <w:bCs/>
          <w:i w:val="false"/>
          <w:iCs w:val="false"/>
          <w:color w:val="6B1C1C"/>
          <w:sz w:val="20"/>
          <w:szCs w:val="20"/>
        </w:rPr>
        <w:t xml:space="preserve">Key risk: </w:t>
      </w:r>
      <w:r>
        <w:rPr>
          <w:rFonts w:ascii="Arial" w:cs="Arial" w:eastAsia="Arial" w:hAnsi="Arial"/>
          <w:b w:val="false"/>
          <w:bCs w:val="false"/>
          <w:i w:val="false"/>
          <w:iCs w:val="false"/>
          <w:color w:val="718096"/>
          <w:sz w:val="20"/>
          <w:szCs w:val="20"/>
        </w:rPr>
        <w:t xml:space="preserve">Comfort Systems USA Q4 2025 earnings release, February 20, 2026 (Tier 1); DA Davidson upgrade TipRanks; TIKR analysis March 2026</w:t>
      </w:r>
    </w:p>
    <w:p>
      <w:pPr>
        <w:spacing w:before="80" w:after="40"/>
        <w:jc w:val="left"/>
      </w:pPr>
      <w:r>
        <w:rPr>
          <w:rFonts w:ascii="Arial" w:cs="Arial" w:eastAsia="Arial" w:hAnsi="Arial"/>
          <w:b/>
          <w:bCs/>
          <w:i w:val="false"/>
          <w:iCs w:val="false"/>
          <w:color w:val="1C5C3A"/>
          <w:sz w:val="19"/>
          <w:szCs w:val="19"/>
        </w:rPr>
        <w:t xml:space="preserve">Audit: </w:t>
      </w:r>
      <w:r>
        <w:rPr>
          <w:rFonts w:ascii="Arial" w:cs="Arial" w:eastAsia="Arial" w:hAnsi="Arial"/>
          <w:b/>
          <w:bCs/>
          <w:i w:val="false"/>
          <w:iCs w:val="false"/>
          <w:color w:val="1C5C3A"/>
          <w:sz w:val="19"/>
          <w:szCs w:val="19"/>
        </w:rPr>
        <w:t xml:space="default"/>
      </w:r>
      <w:r>
        <w:rPr>
          <w:rFonts w:ascii="Arial" w:cs="Arial" w:eastAsia="Arial" w:hAnsi="Arial"/>
          <w:b w:val="false"/>
          <w:bCs w:val="false"/>
          <w:i w:val="false"/>
          <w:iCs w:val="false"/>
          <w:color w:val="718096"/>
          <w:sz w:val="19"/>
          <w:szCs w:val="19"/>
        </w:rPr>
        <w:t xml:space="preserve">  undefined</w:t>
      </w:r>
    </w:p>
    <w:p>
      <w:pPr>
        <w:spacing w:before="20" w:after="0"/>
      </w:pPr>
      <w:r>
        <w:rPr>
          <w:rFonts w:ascii="Arial" w:cs="Arial" w:eastAsia="Arial" w:hAnsi="Arial"/>
          <w:b w:val="false"/>
          <w:bCs w:val="false"/>
          <w:i w:val="false"/>
          <w:iCs w:val="false"/>
          <w:color w:val="2D3748"/>
          <w:sz w:val="21"/>
          <w:szCs w:val="21"/>
        </w:rPr>
        <w:t xml:space="preserve"/>
      </w:r>
    </w:p>
    <w:p>
      <w:pPr>
        <w:spacing w:before="80" w:after="0"/>
      </w:pPr>
      <w:r>
        <w:rPr>
          <w:rFonts w:ascii="Arial" w:cs="Arial" w:eastAsia="Arial" w:hAnsi="Arial"/>
          <w:b w:val="false"/>
          <w:bCs w:val="false"/>
          <w:i w:val="false"/>
          <w:iCs w:val="false"/>
          <w:color w:val="2D3748"/>
          <w:sz w:val="21"/>
          <w:szCs w:val="21"/>
        </w:rPr>
        <w:t xml:space="preserve"/>
      </w:r>
    </w:p>
    <w:p>
      <w:pPr>
        <w:spacing w:before="60" w:after="0"/>
      </w:pPr>
      <w:r>
        <w:rPr>
          <w:rFonts w:ascii="Arial" w:cs="Arial" w:eastAsia="Arial" w:hAnsi="Arial"/>
          <w:b w:val="false"/>
          <w:bCs w:val="false"/>
          <w:i w:val="false"/>
          <w:iCs w:val="false"/>
          <w:color w:val="2D3748"/>
          <w:sz w:val="21"/>
          <w:szCs w:val="21"/>
        </w:rPr>
        <w:t xml:space="preserve"/>
      </w:r>
    </w:p>
    <w:p>
      <w:pPr>
        <w:pBdr>
          <w:bottom w:val="single" w:color="003087" w:sz="5" w:space="1"/>
        </w:pBdr>
        <w:spacing w:before="120" w:after="120"/>
      </w:pPr>
      <w:r>
        <w:rPr>
          <w:rFonts w:ascii="Arial" w:cs="Arial" w:eastAsia="Arial" w:hAnsi="Arial"/>
          <w:b w:val="false"/>
          <w:bCs w:val="false"/>
          <w:i w:val="false"/>
          <w:iCs w:val="false"/>
          <w:color w:val="2D3748"/>
          <w:sz w:val="4"/>
          <w:szCs w:val="4"/>
        </w:rPr>
        <w:t xml:space="preserve"/>
      </w:r>
    </w:p>
    <w:p>
      <w:pPr>
        <w:pStyle w:val="Heading2"/>
        <w:spacing w:before="220" w:after="80"/>
      </w:pPr>
      <w:r>
        <w:rPr>
          <w:rFonts w:ascii="Arial" w:cs="Arial" w:eastAsia="Arial" w:hAnsi="Arial"/>
          <w:b/>
          <w:bCs/>
          <w:i w:val="false"/>
          <w:iCs w:val="false"/>
          <w:color w:val="003087"/>
          <w:sz w:val="24"/>
          <w:szCs w:val="24"/>
        </w:rPr>
        <w:t xml:space="preserve">AUSTRALIAN PROXY — AUD-DENOMINATED DATA CENTRE</w:t>
      </w:r>
    </w:p>
    <w:p>
      <w:pPr>
        <w:pBdr>
          <w:bottom w:val="single" w:color="003087" w:sz="5" w:space="1"/>
        </w:pBdr>
        <w:spacing w:before="120" w:after="120"/>
      </w:pPr>
      <w:r>
        <w:rPr>
          <w:rFonts w:ascii="Arial" w:cs="Arial" w:eastAsia="Arial" w:hAnsi="Arial"/>
          <w:b w:val="false"/>
          <w:bCs w:val="false"/>
          <w:i w:val="false"/>
          <w:iCs w:val="false"/>
          <w:color w:val="2D3748"/>
          <w:sz w:val="4"/>
          <w:szCs w:val="4"/>
        </w:rPr>
        <w:t xml:space="preserve"/>
      </w:r>
    </w:p>
    <w:p>
      <w:pPr>
        <w:spacing w:before="60" w:after="0"/>
      </w:pPr>
      <w:r>
        <w:rPr>
          <w:rFonts w:ascii="Arial" w:cs="Arial" w:eastAsia="Arial" w:hAnsi="Arial"/>
          <w:b w:val="false"/>
          <w:bCs w:val="false"/>
          <w:i w:val="false"/>
          <w:iCs w:val="false"/>
          <w:color w:val="2D3748"/>
          <w:sz w:val="21"/>
          <w:szCs w:val="21"/>
        </w:rPr>
        <w:t xml:space="preserve"/>
      </w:r>
    </w:p>
    <w:p>
      <w:pPr>
        <w:pStyle w:val="Heading3"/>
        <w:spacing w:before="160" w:after="60"/>
      </w:pPr>
      <w:r>
        <w:rPr>
          <w:rFonts w:ascii="Arial" w:cs="Arial" w:eastAsia="Arial" w:hAnsi="Arial"/>
          <w:b/>
          <w:bCs/>
          <w:i w:val="false"/>
          <w:iCs w:val="false"/>
          <w:color w:val="9A7B2E"/>
          <w:sz w:val="21"/>
          <w:szCs w:val="21"/>
        </w:rPr>
        <w:t xml:space="preserve">15. NXT.ASX — NextDC Limited</w:t>
      </w:r>
    </w:p>
    <w:p>
      <w:pPr>
        <w:spacing w:before="40" w:after="80"/>
        <w:jc w:val="left"/>
      </w:pPr>
      <w:r>
        <w:rPr>
          <w:rFonts w:ascii="Arial" w:cs="Arial" w:eastAsia="Arial" w:hAnsi="Arial"/>
          <w:b w:val="false"/>
          <w:bCs w:val="false"/>
          <w:i w:val="false"/>
          <w:iCs w:val="false"/>
          <w:color w:val="718096"/>
          <w:sz w:val="19"/>
          <w:szCs w:val="19"/>
        </w:rPr>
        <w:t xml:space="preserve">ASX  ·  Price: A$13.24  ·  </w:t>
      </w:r>
      <w:r>
        <w:rPr>
          <w:rFonts w:ascii="Arial" w:cs="Arial" w:eastAsia="Arial" w:hAnsi="Arial"/>
          <w:b/>
          <w:bCs/>
          <w:i w:val="false"/>
          <w:iCs w:val="false"/>
          <w:color w:val="9A7B2E"/>
          <w:sz w:val="19"/>
          <w:szCs w:val="19"/>
        </w:rPr>
        <w:t xml:space="preserve">Risk category: Medium — 57% below analyst consensus; verified ASX disclosures</w:t>
      </w:r>
      <w:r>
        <w:rPr>
          <w:rFonts w:ascii="Arial" w:cs="Arial" w:eastAsia="Arial" w:hAnsi="Arial"/>
          <w:b w:val="false"/>
          <w:bCs w:val="false"/>
          <w:i w:val="false"/>
          <w:iCs w:val="false"/>
          <w:color w:val="718096"/>
          <w:sz w:val="19"/>
          <w:szCs w:val="19"/>
        </w:rPr>
        <w:t xml:space="preserve">  ·  Analyst consensus 12-month target: A$21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160"/>
      </w:tblGrid>
      <w:tr>
        <w:tc>
          <w:tcPr>
            <w:tcW w:type="dxa" w:w="20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Horizon</w:t>
            </w:r>
          </w:p>
        </w:tc>
        <w:tc>
          <w:tcPr>
            <w:tcW w:type="dxa" w:w="16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Target Range</w:t>
            </w:r>
          </w:p>
        </w:tc>
        <w:tc>
          <w:tcPr>
            <w:tcW w:type="dxa" w:w="16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Expected Return</w:t>
            </w:r>
          </w:p>
        </w:tc>
        <w:tc>
          <w:tcPr>
            <w:tcW w:type="dxa" w:w="416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Primary Driver</w:t>
            </w:r>
          </w:p>
        </w:tc>
      </w:tr>
      <w:tr>
        <w:tc>
          <w:tcPr>
            <w:tcW w:type="dxa" w:w="20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 Year — A$20–22</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A$20–22</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+51–66% — Forward order book 296.8 MW converting to FY26–FY29 revenue</w:t>
            </w:r>
          </w:p>
        </w:tc>
        <w:tc>
          <w:tcPr>
            <w:tcW w:type="dxa" w:w="41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NextDC is the most compelling valuation in this entire document. Fourteen analysts with a Strong Buy consensus and a 12-month consensus target of A$20.40–21.44 — representing 51%+ upside from the current A$13.24. These are not optimistic forecasts — the lowest analyst target (A$17–18) still implies 28%+ upside. The gap between price and consensus exists because the market is pricing in the cash burn of the expansion phase. But that cash burn is constructing the capacity that will generate 15+ years of recurring revenue. 1HFY26 results (February 26, 2026 — Tier 1 ASX legal disclosure): contracted utilisation +137% YoY to 416.6 MW, forward order book 296.8 MW, revenue A$231.8M (+13% YoY). OpenAI partnership for sovereign Australian AI infrastructure announced January 2026. FY26 capex guidance raised to A$2.4–2.7 billion. AUD-denominated — no currency risk for Australian investors.</w:t>
            </w:r>
          </w:p>
        </w:tc>
      </w:tr>
      <w:tr>
        <w:tc>
          <w:tcPr>
            <w:tcW w:type="dxa" w:w="20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3 Years — A$28–35</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A$28–35</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+111–164% total / 27–34% p.a. — M3 Melbourne + S4 Sydney come online; SE Asia expands</w:t>
            </w:r>
          </w:p>
        </w:tc>
        <w:tc>
          <w:tcPr>
            <w:tcW w:type="dxa" w:w="41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Still loss-making (net loss A$39.4M in 1HFY26); requires continued debt market access at favourable rates; interest rate sensitive.</w:t>
            </w:r>
          </w:p>
        </w:tc>
      </w:tr>
      <w:tr>
        <w:tc>
          <w:tcPr>
            <w:tcW w:type="dxa" w:w="20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 Years — A$40–55</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A$40–55</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+202–315% total / 24–33% p.a. — Order book fully converted; EBITDA margin expands significantly</w:t>
            </w:r>
          </w:p>
        </w:tc>
        <w:tc>
          <w:tcPr>
            <w:tcW w:type="dxa" w:w="41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CONFIRMED — TIER 1</w:t>
            </w:r>
          </w:p>
        </w:tc>
      </w:tr>
    </w:tbl>
    <w:p>
      <w:pPr>
        <w:spacing w:before="80" w:after="0"/>
      </w:pPr>
      <w:r>
        <w:rPr>
          <w:rFonts w:ascii="Arial" w:cs="Arial" w:eastAsia="Arial" w:hAnsi="Arial"/>
          <w:b w:val="false"/>
          <w:bCs w:val="false"/>
          <w:i w:val="false"/>
          <w:iCs w:val="false"/>
          <w:color w:val="2D3748"/>
          <w:sz w:val="21"/>
          <w:szCs w:val="21"/>
        </w:rPr>
        <w:t xml:space="preserve"/>
      </w:r>
    </w:p>
    <w:p>
      <w:pPr>
        <w:spacing w:before="80" w:after="80"/>
        <w:jc w:val="left"/>
      </w:pPr>
      <w:r>
        <w:rPr>
          <w:rFonts w:ascii="Arial" w:cs="Arial" w:eastAsia="Arial" w:hAnsi="Arial"/>
          <w:b w:val="false"/>
          <w:bCs w:val="false"/>
          <w:i w:val="false"/>
          <w:iCs w:val="false"/>
          <w:color w:val="2D3748"/>
          <w:sz w:val="21"/>
          <w:szCs w:val="21"/>
        </w:rPr>
        <w:t xml:space="preserve">NXT 1HFY26 ASX announcement, February 26, 2026 (Tier 1 legal disclosure). TipRanks consensus target A$20.40, March 2026. OpenAI partnership from NXT ASX release January 2026.</w:t>
      </w:r>
    </w:p>
    <w:p>
      <w:pPr>
        <w:spacing w:before="60" w:after="0"/>
      </w:pPr>
      <w:r>
        <w:rPr>
          <w:rFonts w:ascii="Arial" w:cs="Arial" w:eastAsia="Arial" w:hAnsi="Arial"/>
          <w:b w:val="false"/>
          <w:bCs w:val="false"/>
          <w:i w:val="false"/>
          <w:iCs w:val="false"/>
          <w:color w:val="2D3748"/>
          <w:sz w:val="21"/>
          <w:szCs w:val="21"/>
        </w:rPr>
        <w:t xml:space="preserve"/>
      </w:r>
    </w:p>
    <w:p>
      <w:pPr>
        <w:spacing w:before="80" w:after="40"/>
        <w:jc w:val="left"/>
      </w:pPr>
      <w:r>
        <w:rPr>
          <w:rFonts w:ascii="Arial" w:cs="Arial" w:eastAsia="Arial" w:hAnsi="Arial"/>
          <w:b/>
          <w:bCs/>
          <w:i w:val="false"/>
          <w:iCs w:val="false"/>
          <w:color w:val="6B1C1C"/>
          <w:sz w:val="20"/>
          <w:szCs w:val="20"/>
        </w:rPr>
        <w:t xml:space="preserve">Key risk: </w:t>
      </w:r>
      <w:r>
        <w:rPr>
          <w:rFonts w:ascii="Arial" w:cs="Arial" w:eastAsia="Arial" w:hAnsi="Arial"/>
          <w:b w:val="false"/>
          <w:bCs w:val="false"/>
          <w:i w:val="false"/>
          <w:iCs w:val="false"/>
          <w:color w:val="718096"/>
          <w:sz w:val="20"/>
          <w:szCs w:val="20"/>
        </w:rPr>
        <w:t xml:space="preserve">NEXTDC 1HFY26 ASX announcement, February 26, 2026 (Tier 1); TipRanks consensus A$20.40; Fintel A$20.95 March 2026</w:t>
      </w:r>
    </w:p>
    <w:p>
      <w:pPr>
        <w:spacing w:before="80" w:after="40"/>
        <w:jc w:val="left"/>
      </w:pPr>
      <w:r>
        <w:rPr>
          <w:rFonts w:ascii="Arial" w:cs="Arial" w:eastAsia="Arial" w:hAnsi="Arial"/>
          <w:b/>
          <w:bCs/>
          <w:i w:val="false"/>
          <w:iCs w:val="false"/>
          <w:color w:val="9A7B2E"/>
          <w:sz w:val="19"/>
          <w:szCs w:val="19"/>
        </w:rPr>
        <w:t xml:space="preserve">Audit: </w:t>
      </w:r>
      <w:r>
        <w:rPr>
          <w:rFonts w:ascii="Arial" w:cs="Arial" w:eastAsia="Arial" w:hAnsi="Arial"/>
          <w:b/>
          <w:bCs/>
          <w:i w:val="false"/>
          <w:iCs w:val="false"/>
          <w:color w:val="9A7B2E"/>
          <w:sz w:val="19"/>
          <w:szCs w:val="19"/>
        </w:rPr>
      </w:r>
      <w:r>
        <w:rPr>
          <w:rFonts w:ascii="Arial" w:cs="Arial" w:eastAsia="Arial" w:hAnsi="Arial"/>
          <w:b w:val="false"/>
          <w:bCs w:val="false"/>
          <w:i w:val="false"/>
          <w:iCs w:val="false"/>
          <w:color w:val="718096"/>
          <w:sz w:val="19"/>
          <w:szCs w:val="19"/>
        </w:rPr>
        <w:t xml:space="preserve">  undefined</w:t>
      </w:r>
    </w:p>
    <w:p>
      <w:pPr>
        <w:spacing w:before="20" w:after="0"/>
      </w:pPr>
      <w:r>
        <w:rPr>
          <w:rFonts w:ascii="Arial" w:cs="Arial" w:eastAsia="Arial" w:hAnsi="Arial"/>
          <w:b w:val="false"/>
          <w:bCs w:val="false"/>
          <w:i w:val="false"/>
          <w:iCs w:val="false"/>
          <w:color w:val="2D3748"/>
          <w:sz w:val="21"/>
          <w:szCs w:val="21"/>
        </w:rPr>
        <w:t xml:space="preserve"/>
      </w:r>
    </w:p>
    <w:p>
      <w:pPr>
        <w:spacing w:before="80" w:after="0"/>
      </w:pPr>
      <w:r>
        <w:rPr>
          <w:rFonts w:ascii="Arial" w:cs="Arial" w:eastAsia="Arial" w:hAnsi="Arial"/>
          <w:b w:val="false"/>
          <w:bCs w:val="false"/>
          <w:i w:val="false"/>
          <w:iCs w:val="false"/>
          <w:color w:val="2D3748"/>
          <w:sz w:val="21"/>
          <w:szCs w:val="21"/>
        </w:rPr>
        <w:t xml:space="preserve"/>
      </w:r>
    </w:p>
    <w:p>
      <w:pPr>
        <w:spacing w:before="60" w:after="0"/>
      </w:pPr>
      <w:r>
        <w:rPr>
          <w:rFonts w:ascii="Arial" w:cs="Arial" w:eastAsia="Arial" w:hAnsi="Arial"/>
          <w:b w:val="false"/>
          <w:bCs w:val="false"/>
          <w:i w:val="false"/>
          <w:iCs w:val="false"/>
          <w:color w:val="2D3748"/>
          <w:sz w:val="21"/>
          <w:szCs w:val="21"/>
        </w:rPr>
        <w:t xml:space="preserve"/>
      </w:r>
      <w:r>
        <w:br w:type="page"/>
      </w:r>
    </w:p>
    <w:p>
      <w:pPr>
        <w:pStyle w:val="Heading1"/>
        <w:pBdr>
          <w:bottom w:val="single" w:color="003087" w:sz="10" w:space="5"/>
        </w:pBdr>
        <w:spacing w:before="300" w:after="100"/>
      </w:pPr>
      <w:r>
        <w:rPr>
          <w:rFonts w:ascii="Arial" w:cs="Arial" w:eastAsia="Arial" w:hAnsi="Arial"/>
          <w:b/>
          <w:bCs/>
          <w:i w:val="false"/>
          <w:iCs w:val="false"/>
          <w:color w:val="003087"/>
          <w:sz w:val="30"/>
          <w:szCs w:val="30"/>
        </w:rPr>
        <w:t xml:space="preserve">THE FINAL ALLOCATION MODEL</w:t>
      </w:r>
    </w:p>
    <w:p>
      <w:pPr>
        <w:spacing w:before="60" w:after="0"/>
      </w:pPr>
      <w:r>
        <w:rPr>
          <w:rFonts w:ascii="Arial" w:cs="Arial" w:eastAsia="Arial" w:hAnsi="Arial"/>
          <w:b w:val="false"/>
          <w:bCs w:val="false"/>
          <w:i w:val="false"/>
          <w:iCs w:val="false"/>
          <w:color w:val="2D3748"/>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03087" w:val="clear"/>
            <w:tcMar>
              <w:top w:type="dxa" w:w="0"/>
              <w:left w:type="dxa" w:w="0"/>
              <w:bottom w:type="dxa" w:w="0"/>
              <w:right w:type="dxa" w:w="0"/>
            </w:tcMar>
          </w:tcPr>
          <w:p>
            <w:pPr>
              <w:spacing w:before="80" w:after="80"/>
              <w:jc w:val="left"/>
            </w:pPr>
            <w:r>
              <w:rPr>
                <w:rFonts w:ascii="Arial" w:cs="Arial" w:eastAsia="Arial" w:hAnsi="Arial"/>
                <w:b w:val="false"/>
                <w:bCs w:val="false"/>
                <w:i w:val="false"/>
                <w:iCs w:val="false"/>
                <w:color w:val="2D3748"/>
                <w:sz w:val="21"/>
                <w:szCs w:val="21"/>
              </w:rPr>
              <w:t xml:space="preserve"/>
            </w:r>
          </w:p>
        </w:tc>
        <w:tc>
          <w:tcPr>
            <w:tcW w:type="dxa" w:w="9160"/>
            <w:tcBorders>
              <w:top w:val="none" w:color="FFFFFF" w:sz="0"/>
              <w:left w:val="none" w:color="FFFFFF" w:sz="0"/>
              <w:bottom w:val="none" w:color="FFFFFF" w:sz="0"/>
              <w:right w:val="none" w:color="FFFFFF" w:sz="0"/>
            </w:tcBorders>
            <w:shd w:fill="EBF4FF" w:val="clear"/>
            <w:tcMar>
              <w:top w:type="dxa" w:w="100"/>
              <w:left w:type="dxa" w:w="160"/>
              <w:bottom w:type="dxa" w:w="100"/>
              <w:right w:type="dxa" w:w="160"/>
            </w:tcMar>
          </w:tcPr>
          <w:p>
            <w:pPr>
              <w:spacing w:before="80" w:after="40"/>
              <w:jc w:val="left"/>
            </w:pPr>
            <w:r>
              <w:rPr>
                <w:rFonts w:ascii="Arial" w:cs="Arial" w:eastAsia="Arial" w:hAnsi="Arial"/>
                <w:b/>
                <w:bCs/>
                <w:i w:val="false"/>
                <w:iCs w:val="false"/>
                <w:color w:val="003087"/>
                <w:sz w:val="19"/>
                <w:szCs w:val="19"/>
              </w:rPr>
              <w:t xml:space="preserve">WHAT THIS IS</w:t>
            </w:r>
          </w:p>
          <w:p>
            <w:pPr>
              <w:spacing w:before="80" w:after="80"/>
              <w:jc w:val="left"/>
            </w:pPr>
            <w:r>
              <w:rPr>
                <w:rFonts w:ascii="Arial" w:cs="Arial" w:eastAsia="Arial" w:hAnsi="Arial"/>
                <w:b w:val="false"/>
                <w:bCs w:val="false"/>
                <w:i w:val="false"/>
                <w:iCs w:val="false"/>
                <w:color w:val="1A1A2E"/>
                <w:sz w:val="19"/>
                <w:szCs w:val="19"/>
              </w:rPr>
              <w:t xml:space="preserve">A model sleeve for someone trying to capitalise on the AI buildout over several years without pretending they can time every swing. It is not a full portfolio. It requires adjustment for your individual tax position, liquidity needs, time horizon, existing holdings, and risk tolerance — which this document cannot provide. Use this as an informed starting point and discuss with a licensed financial adviser.</w:t>
            </w:r>
          </w:p>
        </w:tc>
      </w:tr>
    </w:tbl>
    <w:p>
      <w:pPr>
        <w:spacing w:before="100" w:after="0"/>
      </w:pPr>
      <w:r>
        <w:rPr>
          <w:rFonts w:ascii="Arial" w:cs="Arial" w:eastAsia="Arial" w:hAnsi="Arial"/>
          <w:b w:val="false"/>
          <w:bCs w:val="false"/>
          <w:i w:val="false"/>
          <w:iCs w:val="false"/>
          <w:color w:val="2D3748"/>
          <w:sz w:val="21"/>
          <w:szCs w:val="21"/>
        </w:rPr>
        <w:t xml:space="preserve"/>
      </w:r>
    </w:p>
    <w:tbl>
      <w:tblPr>
        <w:tblW w:type="dxa" w:w="12260"/>
        <w:tblBorders>
          <w:top w:val="single" w:color="auto" w:sz="4"/>
          <w:left w:val="single" w:color="auto" w:sz="4"/>
          <w:bottom w:val="single" w:color="auto" w:sz="4"/>
          <w:right w:val="single" w:color="auto" w:sz="4"/>
          <w:insideH w:val="single" w:color="auto" w:sz="4"/>
          <w:insideV w:val="single" w:color="auto" w:sz="4"/>
        </w:tblBorders>
      </w:tblPr>
      <w:tblGrid>
        <w:gridCol w:w="300"/>
        <w:gridCol w:w="900"/>
        <w:gridCol w:w="1700"/>
        <w:gridCol w:w="1500"/>
        <w:gridCol w:w="600"/>
        <w:gridCol w:w="1200"/>
        <w:gridCol w:w="1300"/>
        <w:gridCol w:w="1300"/>
        <w:gridCol w:w="1300"/>
        <w:gridCol w:w="2160"/>
      </w:tblGrid>
      <w:tr>
        <w:tc>
          <w:tcPr>
            <w:tcW w:type="dxa" w:w="3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Rank</w:t>
            </w:r>
          </w:p>
        </w:tc>
        <w:tc>
          <w:tcPr>
            <w:tcW w:type="dxa" w:w="9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Ticker</w:t>
            </w:r>
          </w:p>
        </w:tc>
        <w:tc>
          <w:tcPr>
            <w:tcW w:type="dxa" w:w="17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Name</w:t>
            </w:r>
          </w:p>
        </w:tc>
        <w:tc>
          <w:tcPr>
            <w:tcW w:type="dxa" w:w="15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Price (19 Mar 26)</w:t>
            </w:r>
          </w:p>
        </w:tc>
        <w:tc>
          <w:tcPr>
            <w:tcW w:type="dxa" w:w="6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Weight</w:t>
            </w:r>
          </w:p>
        </w:tc>
        <w:tc>
          <w:tcPr>
            <w:tcW w:type="dxa" w:w="12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Layer</w:t>
            </w:r>
          </w:p>
        </w:tc>
        <w:tc>
          <w:tcPr>
            <w:tcW w:type="dxa" w:w="13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1-Yr Target</w:t>
            </w:r>
          </w:p>
        </w:tc>
        <w:tc>
          <w:tcPr>
            <w:tcW w:type="dxa" w:w="13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3-Yr Target</w:t>
            </w:r>
          </w:p>
        </w:tc>
        <w:tc>
          <w:tcPr>
            <w:tcW w:type="dxa" w:w="130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5-Yr Target</w:t>
            </w:r>
          </w:p>
        </w:tc>
        <w:tc>
          <w:tcPr>
            <w:tcW w:type="dxa" w:w="2160"/>
            <w:tcBorders>
              <w:top w:val="single" w:color="D1D9E6" w:sz="1"/>
              <w:left w:val="single" w:color="D1D9E6" w:sz="1"/>
              <w:bottom w:val="single" w:color="D1D9E6" w:sz="1"/>
              <w:right w:val="single" w:color="D1D9E6" w:sz="1"/>
            </w:tcBorders>
            <w:shd w:fill="003087"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Why this weight</w:t>
            </w:r>
          </w:p>
        </w:tc>
      </w:tr>
      <w:tr>
        <w:tc>
          <w:tcPr>
            <w:tcW w:type="dxa" w:w="3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w:t>
            </w:r>
          </w:p>
        </w:tc>
        <w:tc>
          <w:tcPr>
            <w:tcW w:type="dxa" w:w="9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AVGO</w:t>
            </w:r>
          </w:p>
        </w:tc>
        <w:tc>
          <w:tcPr>
            <w:tcW w:type="dxa" w:w="17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Broadcom</w:t>
            </w:r>
          </w:p>
        </w:tc>
        <w:tc>
          <w:tcPr>
            <w:tcW w:type="dxa" w:w="15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US$322</w:t>
            </w:r>
          </w:p>
        </w:tc>
        <w:tc>
          <w:tcPr>
            <w:tcW w:type="dxa" w:w="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14%</w:t>
            </w:r>
          </w:p>
        </w:tc>
        <w:tc>
          <w:tcPr>
            <w:tcW w:type="dxa" w:w="12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Compute</w:t>
            </w:r>
          </w:p>
        </w:tc>
        <w:tc>
          <w:tcPr>
            <w:tcW w:type="dxa" w:w="13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US$430–470</w:t>
            </w:r>
          </w:p>
        </w:tc>
        <w:tc>
          <w:tcPr>
            <w:tcW w:type="dxa" w:w="13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US$620–700</w:t>
            </w:r>
          </w:p>
        </w:tc>
        <w:tc>
          <w:tcPr>
            <w:tcW w:type="dxa" w:w="13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US$900–1,080</w:t>
            </w:r>
          </w:p>
        </w:tc>
        <w:tc>
          <w:tcPr>
            <w:tcW w:type="dxa" w:w="21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Highest conviction; record earnings; $100B guidance</w:t>
            </w:r>
          </w:p>
        </w:tc>
      </w:tr>
      <w:tr>
        <w:tc>
          <w:tcPr>
            <w:tcW w:type="dxa" w:w="3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2</w:t>
            </w:r>
          </w:p>
        </w:tc>
        <w:tc>
          <w:tcPr>
            <w:tcW w:type="dxa" w:w="9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TSM</w:t>
            </w:r>
          </w:p>
        </w:tc>
        <w:tc>
          <w:tcPr>
            <w:tcW w:type="dxa" w:w="17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TSMC</w:t>
            </w:r>
          </w:p>
        </w:tc>
        <w:tc>
          <w:tcPr>
            <w:tcW w:type="dxa" w:w="15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US$340</w:t>
            </w:r>
          </w:p>
        </w:tc>
        <w:tc>
          <w:tcPr>
            <w:tcW w:type="dxa" w:w="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13%</w:t>
            </w:r>
          </w:p>
        </w:tc>
        <w:tc>
          <w:tcPr>
            <w:tcW w:type="dxa" w:w="12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Compute foundry</w:t>
            </w:r>
          </w:p>
        </w:tc>
        <w:tc>
          <w:tcPr>
            <w:tcW w:type="dxa" w:w="13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US$355–380</w:t>
            </w:r>
          </w:p>
        </w:tc>
        <w:tc>
          <w:tcPr>
            <w:tcW w:type="dxa" w:w="13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US$480–560</w:t>
            </w:r>
          </w:p>
        </w:tc>
        <w:tc>
          <w:tcPr>
            <w:tcW w:type="dxa" w:w="13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US$720–880</w:t>
            </w:r>
          </w:p>
        </w:tc>
        <w:tc>
          <w:tcPr>
            <w:tcW w:type="dxa" w:w="21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Manufacturing bottleneck; 30% revenue growth guided; ~30x P/E</w:t>
            </w:r>
          </w:p>
        </w:tc>
      </w:tr>
      <w:tr>
        <w:tc>
          <w:tcPr>
            <w:tcW w:type="dxa" w:w="3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3</w:t>
            </w:r>
          </w:p>
        </w:tc>
        <w:tc>
          <w:tcPr>
            <w:tcW w:type="dxa" w:w="9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NVDA</w:t>
            </w:r>
          </w:p>
        </w:tc>
        <w:tc>
          <w:tcPr>
            <w:tcW w:type="dxa" w:w="17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Nvidia</w:t>
            </w:r>
          </w:p>
        </w:tc>
        <w:tc>
          <w:tcPr>
            <w:tcW w:type="dxa" w:w="15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US$181.93</w:t>
            </w:r>
          </w:p>
        </w:tc>
        <w:tc>
          <w:tcPr>
            <w:tcW w:type="dxa" w:w="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10%</w:t>
            </w:r>
          </w:p>
        </w:tc>
        <w:tc>
          <w:tcPr>
            <w:tcW w:type="dxa" w:w="12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Compute</w:t>
            </w:r>
          </w:p>
        </w:tc>
        <w:tc>
          <w:tcPr>
            <w:tcW w:type="dxa" w:w="13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US$264–300</w:t>
            </w:r>
          </w:p>
        </w:tc>
        <w:tc>
          <w:tcPr>
            <w:tcW w:type="dxa" w:w="13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US$380–430</w:t>
            </w:r>
          </w:p>
        </w:tc>
        <w:tc>
          <w:tcPr>
            <w:tcW w:type="dxa" w:w="13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US$560–720</w:t>
            </w:r>
          </w:p>
        </w:tc>
        <w:tc>
          <w:tcPr>
            <w:tcW w:type="dxa" w:w="21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Core winner; GTC demand signal; 44x P/E warrants discipline</w:t>
            </w:r>
          </w:p>
        </w:tc>
      </w:tr>
      <w:tr>
        <w:tc>
          <w:tcPr>
            <w:tcW w:type="dxa" w:w="3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4</w:t>
            </w:r>
          </w:p>
        </w:tc>
        <w:tc>
          <w:tcPr>
            <w:tcW w:type="dxa" w:w="9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ETN</w:t>
            </w:r>
          </w:p>
        </w:tc>
        <w:tc>
          <w:tcPr>
            <w:tcW w:type="dxa" w:w="17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Eaton</w:t>
            </w:r>
          </w:p>
        </w:tc>
        <w:tc>
          <w:tcPr>
            <w:tcW w:type="dxa" w:w="15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US$363.95</w:t>
            </w:r>
          </w:p>
        </w:tc>
        <w:tc>
          <w:tcPr>
            <w:tcW w:type="dxa" w:w="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9%</w:t>
            </w:r>
          </w:p>
        </w:tc>
        <w:tc>
          <w:tcPr>
            <w:tcW w:type="dxa" w:w="12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Power hardware</w:t>
            </w:r>
          </w:p>
        </w:tc>
        <w:tc>
          <w:tcPr>
            <w:tcW w:type="dxa" w:w="13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US$420–450</w:t>
            </w:r>
          </w:p>
        </w:tc>
        <w:tc>
          <w:tcPr>
            <w:tcW w:type="dxa" w:w="13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US$540–620</w:t>
            </w:r>
          </w:p>
        </w:tc>
        <w:tc>
          <w:tcPr>
            <w:tcW w:type="dxa" w:w="13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US$710–850</w:t>
            </w:r>
          </w:p>
        </w:tc>
        <w:tc>
          <w:tcPr>
            <w:tcW w:type="dxa" w:w="21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GTC specification partner; lower multiple than semis</w:t>
            </w:r>
          </w:p>
        </w:tc>
      </w:tr>
      <w:tr>
        <w:tc>
          <w:tcPr>
            <w:tcW w:type="dxa" w:w="3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w:t>
            </w:r>
          </w:p>
        </w:tc>
        <w:tc>
          <w:tcPr>
            <w:tcW w:type="dxa" w:w="9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VST</w:t>
            </w:r>
          </w:p>
        </w:tc>
        <w:tc>
          <w:tcPr>
            <w:tcW w:type="dxa" w:w="17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Vistra</w:t>
            </w:r>
          </w:p>
        </w:tc>
        <w:tc>
          <w:tcPr>
            <w:tcW w:type="dxa" w:w="15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US$158.35</w:t>
            </w:r>
          </w:p>
        </w:tc>
        <w:tc>
          <w:tcPr>
            <w:tcW w:type="dxa" w:w="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9%</w:t>
            </w:r>
          </w:p>
        </w:tc>
        <w:tc>
          <w:tcPr>
            <w:tcW w:type="dxa" w:w="12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Generation</w:t>
            </w:r>
          </w:p>
        </w:tc>
        <w:tc>
          <w:tcPr>
            <w:tcW w:type="dxa" w:w="13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US$215–260</w:t>
            </w:r>
          </w:p>
        </w:tc>
        <w:tc>
          <w:tcPr>
            <w:tcW w:type="dxa" w:w="13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US$310–390</w:t>
            </w:r>
          </w:p>
        </w:tc>
        <w:tc>
          <w:tcPr>
            <w:tcW w:type="dxa" w:w="13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US$440–580</w:t>
            </w:r>
          </w:p>
        </w:tc>
        <w:tc>
          <w:tcPr>
            <w:tcW w:type="dxa" w:w="21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Strongest analyst upside (48%); 18 Buy ratings</w:t>
            </w:r>
          </w:p>
        </w:tc>
      </w:tr>
      <w:tr>
        <w:tc>
          <w:tcPr>
            <w:tcW w:type="dxa" w:w="3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6</w:t>
            </w:r>
          </w:p>
        </w:tc>
        <w:tc>
          <w:tcPr>
            <w:tcW w:type="dxa" w:w="9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APH</w:t>
            </w:r>
          </w:p>
        </w:tc>
        <w:tc>
          <w:tcPr>
            <w:tcW w:type="dxa" w:w="17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Amphenol</w:t>
            </w:r>
          </w:p>
        </w:tc>
        <w:tc>
          <w:tcPr>
            <w:tcW w:type="dxa" w:w="15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US$127.81</w:t>
            </w:r>
          </w:p>
        </w:tc>
        <w:tc>
          <w:tcPr>
            <w:tcW w:type="dxa" w:w="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8%</w:t>
            </w:r>
          </w:p>
        </w:tc>
        <w:tc>
          <w:tcPr>
            <w:tcW w:type="dxa" w:w="12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Connectors</w:t>
            </w:r>
          </w:p>
        </w:tc>
        <w:tc>
          <w:tcPr>
            <w:tcW w:type="dxa" w:w="13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US$150–165</w:t>
            </w:r>
          </w:p>
        </w:tc>
        <w:tc>
          <w:tcPr>
            <w:tcW w:type="dxa" w:w="13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US$200–240</w:t>
            </w:r>
          </w:p>
        </w:tc>
        <w:tc>
          <w:tcPr>
            <w:tcW w:type="dxa" w:w="13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US$290–370</w:t>
            </w:r>
          </w:p>
        </w:tc>
        <w:tc>
          <w:tcPr>
            <w:tcW w:type="dxa" w:w="21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Less-hyped; record FY2025; 26% consensus upside</w:t>
            </w:r>
          </w:p>
        </w:tc>
      </w:tr>
      <w:tr>
        <w:tc>
          <w:tcPr>
            <w:tcW w:type="dxa" w:w="3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7</w:t>
            </w:r>
          </w:p>
        </w:tc>
        <w:tc>
          <w:tcPr>
            <w:tcW w:type="dxa" w:w="9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FIX</w:t>
            </w:r>
          </w:p>
        </w:tc>
        <w:tc>
          <w:tcPr>
            <w:tcW w:type="dxa" w:w="17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Comfort Systems</w:t>
            </w:r>
          </w:p>
        </w:tc>
        <w:tc>
          <w:tcPr>
            <w:tcW w:type="dxa" w:w="15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~US$1,380</w:t>
            </w:r>
          </w:p>
        </w:tc>
        <w:tc>
          <w:tcPr>
            <w:tcW w:type="dxa" w:w="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7%</w:t>
            </w:r>
          </w:p>
        </w:tc>
        <w:tc>
          <w:tcPr>
            <w:tcW w:type="dxa" w:w="12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Build-out</w:t>
            </w:r>
          </w:p>
        </w:tc>
        <w:tc>
          <w:tcPr>
            <w:tcW w:type="dxa" w:w="13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US$1,500–1,800</w:t>
            </w:r>
          </w:p>
        </w:tc>
        <w:tc>
          <w:tcPr>
            <w:tcW w:type="dxa" w:w="13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US$2,200–2,800</w:t>
            </w:r>
          </w:p>
        </w:tc>
        <w:tc>
          <w:tcPr>
            <w:tcW w:type="dxa" w:w="13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US$3,200–4,200</w:t>
            </w:r>
          </w:p>
        </w:tc>
        <w:tc>
          <w:tcPr>
            <w:tcW w:type="dxa" w:w="21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Biggest earnings beat; record $11.9B backlog; 45% tech revenue</w:t>
            </w:r>
          </w:p>
        </w:tc>
      </w:tr>
      <w:tr>
        <w:tc>
          <w:tcPr>
            <w:tcW w:type="dxa" w:w="3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8</w:t>
            </w:r>
          </w:p>
        </w:tc>
        <w:tc>
          <w:tcPr>
            <w:tcW w:type="dxa" w:w="9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NLR</w:t>
            </w:r>
          </w:p>
        </w:tc>
        <w:tc>
          <w:tcPr>
            <w:tcW w:type="dxa" w:w="17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Nuclear ETF</w:t>
            </w:r>
          </w:p>
        </w:tc>
        <w:tc>
          <w:tcPr>
            <w:tcW w:type="dxa" w:w="15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US$136.63</w:t>
            </w:r>
          </w:p>
        </w:tc>
        <w:tc>
          <w:tcPr>
            <w:tcW w:type="dxa" w:w="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7%</w:t>
            </w:r>
          </w:p>
        </w:tc>
        <w:tc>
          <w:tcPr>
            <w:tcW w:type="dxa" w:w="12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Generation</w:t>
            </w:r>
          </w:p>
        </w:tc>
        <w:tc>
          <w:tcPr>
            <w:tcW w:type="dxa" w:w="13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US$146–165</w:t>
            </w:r>
          </w:p>
        </w:tc>
        <w:tc>
          <w:tcPr>
            <w:tcW w:type="dxa" w:w="13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US$200–230</w:t>
            </w:r>
          </w:p>
        </w:tc>
        <w:tc>
          <w:tcPr>
            <w:tcW w:type="dxa" w:w="13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US$275–330</w:t>
            </w:r>
          </w:p>
        </w:tc>
        <w:tc>
          <w:tcPr>
            <w:tcW w:type="dxa" w:w="21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Diversified; 19% below peak; PPAs contracted</w:t>
            </w:r>
          </w:p>
        </w:tc>
      </w:tr>
      <w:tr>
        <w:tc>
          <w:tcPr>
            <w:tcW w:type="dxa" w:w="3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9</w:t>
            </w:r>
          </w:p>
        </w:tc>
        <w:tc>
          <w:tcPr>
            <w:tcW w:type="dxa" w:w="9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FCX</w:t>
            </w:r>
          </w:p>
        </w:tc>
        <w:tc>
          <w:tcPr>
            <w:tcW w:type="dxa" w:w="17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Freeport</w:t>
            </w:r>
          </w:p>
        </w:tc>
        <w:tc>
          <w:tcPr>
            <w:tcW w:type="dxa" w:w="15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US$57.93</w:t>
            </w:r>
          </w:p>
        </w:tc>
        <w:tc>
          <w:tcPr>
            <w:tcW w:type="dxa" w:w="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6%</w:t>
            </w:r>
          </w:p>
        </w:tc>
        <w:tc>
          <w:tcPr>
            <w:tcW w:type="dxa" w:w="12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Materials</w:t>
            </w:r>
          </w:p>
        </w:tc>
        <w:tc>
          <w:tcPr>
            <w:tcW w:type="dxa" w:w="13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US$62–70</w:t>
            </w:r>
          </w:p>
        </w:tc>
        <w:tc>
          <w:tcPr>
            <w:tcW w:type="dxa" w:w="13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US$82–98</w:t>
            </w:r>
          </w:p>
        </w:tc>
        <w:tc>
          <w:tcPr>
            <w:tcW w:type="dxa" w:w="13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US$107–135</w:t>
            </w:r>
          </w:p>
        </w:tc>
        <w:tc>
          <w:tcPr>
            <w:tcW w:type="dxa" w:w="21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World's largest copper producer; structural deficit</w:t>
            </w:r>
          </w:p>
        </w:tc>
      </w:tr>
      <w:tr>
        <w:tc>
          <w:tcPr>
            <w:tcW w:type="dxa" w:w="3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10</w:t>
            </w:r>
          </w:p>
        </w:tc>
        <w:tc>
          <w:tcPr>
            <w:tcW w:type="dxa" w:w="9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GEV</w:t>
            </w:r>
          </w:p>
        </w:tc>
        <w:tc>
          <w:tcPr>
            <w:tcW w:type="dxa" w:w="17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GE Vernova</w:t>
            </w:r>
          </w:p>
        </w:tc>
        <w:tc>
          <w:tcPr>
            <w:tcW w:type="dxa" w:w="15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US$858.47</w:t>
            </w:r>
          </w:p>
        </w:tc>
        <w:tc>
          <w:tcPr>
            <w:tcW w:type="dxa" w:w="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6%</w:t>
            </w:r>
          </w:p>
        </w:tc>
        <w:tc>
          <w:tcPr>
            <w:tcW w:type="dxa" w:w="12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Grid + gas</w:t>
            </w:r>
          </w:p>
        </w:tc>
        <w:tc>
          <w:tcPr>
            <w:tcW w:type="dxa" w:w="13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US$900–1,100</w:t>
            </w:r>
          </w:p>
        </w:tc>
        <w:tc>
          <w:tcPr>
            <w:tcW w:type="dxa" w:w="13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US$1,300–1,650</w:t>
            </w:r>
          </w:p>
        </w:tc>
        <w:tc>
          <w:tcPr>
            <w:tcW w:type="dxa" w:w="13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US$1,850–2,350</w:t>
            </w:r>
          </w:p>
        </w:tc>
        <w:tc>
          <w:tcPr>
            <w:tcW w:type="dxa" w:w="21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$150B backlog; tempered weight given valuation</w:t>
            </w:r>
          </w:p>
        </w:tc>
      </w:tr>
      <w:tr>
        <w:tc>
          <w:tcPr>
            <w:tcW w:type="dxa" w:w="3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11</w:t>
            </w:r>
          </w:p>
        </w:tc>
        <w:tc>
          <w:tcPr>
            <w:tcW w:type="dxa" w:w="9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HUBB</w:t>
            </w:r>
          </w:p>
        </w:tc>
        <w:tc>
          <w:tcPr>
            <w:tcW w:type="dxa" w:w="17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Hubbell</w:t>
            </w:r>
          </w:p>
        </w:tc>
        <w:tc>
          <w:tcPr>
            <w:tcW w:type="dxa" w:w="15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US$477.47</w:t>
            </w:r>
          </w:p>
        </w:tc>
        <w:tc>
          <w:tcPr>
            <w:tcW w:type="dxa" w:w="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w:t>
            </w:r>
          </w:p>
        </w:tc>
        <w:tc>
          <w:tcPr>
            <w:tcW w:type="dxa" w:w="12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Grid equip.</w:t>
            </w:r>
          </w:p>
        </w:tc>
        <w:tc>
          <w:tcPr>
            <w:tcW w:type="dxa" w:w="13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US$520–565</w:t>
            </w:r>
          </w:p>
        </w:tc>
        <w:tc>
          <w:tcPr>
            <w:tcW w:type="dxa" w:w="13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US$650–750</w:t>
            </w:r>
          </w:p>
        </w:tc>
        <w:tc>
          <w:tcPr>
            <w:tcW w:type="dxa" w:w="13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US$830–1,010</w:t>
            </w:r>
          </w:p>
        </w:tc>
        <w:tc>
          <w:tcPr>
            <w:tcW w:type="dxa" w:w="21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Reasonable multiple; grid hardening ballast</w:t>
            </w:r>
          </w:p>
        </w:tc>
      </w:tr>
      <w:tr>
        <w:tc>
          <w:tcPr>
            <w:tcW w:type="dxa" w:w="3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12</w:t>
            </w:r>
          </w:p>
        </w:tc>
        <w:tc>
          <w:tcPr>
            <w:tcW w:type="dxa" w:w="9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NXT.ASX</w:t>
            </w:r>
          </w:p>
        </w:tc>
        <w:tc>
          <w:tcPr>
            <w:tcW w:type="dxa" w:w="17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NextDC</w:t>
            </w:r>
          </w:p>
        </w:tc>
        <w:tc>
          <w:tcPr>
            <w:tcW w:type="dxa" w:w="15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A$13.24</w:t>
            </w:r>
          </w:p>
        </w:tc>
        <w:tc>
          <w:tcPr>
            <w:tcW w:type="dxa" w:w="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w:t>
            </w:r>
          </w:p>
        </w:tc>
        <w:tc>
          <w:tcPr>
            <w:tcW w:type="dxa" w:w="12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Data centre</w:t>
            </w:r>
          </w:p>
        </w:tc>
        <w:tc>
          <w:tcPr>
            <w:tcW w:type="dxa" w:w="13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A$20–22</w:t>
            </w:r>
          </w:p>
        </w:tc>
        <w:tc>
          <w:tcPr>
            <w:tcW w:type="dxa" w:w="13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A$28–35</w:t>
            </w:r>
          </w:p>
        </w:tc>
        <w:tc>
          <w:tcPr>
            <w:tcW w:type="dxa" w:w="13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A$40–55</w:t>
            </w:r>
          </w:p>
        </w:tc>
        <w:tc>
          <w:tcPr>
            <w:tcW w:type="dxa" w:w="21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57% below consensus; AUD; verified fundamentals</w:t>
            </w:r>
          </w:p>
        </w:tc>
      </w:tr>
      <w:tr>
        <w:tc>
          <w:tcPr>
            <w:tcW w:type="dxa" w:w="3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13</w:t>
            </w:r>
          </w:p>
        </w:tc>
        <w:tc>
          <w:tcPr>
            <w:tcW w:type="dxa" w:w="9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BHP.ASX</w:t>
            </w:r>
          </w:p>
        </w:tc>
        <w:tc>
          <w:tcPr>
            <w:tcW w:type="dxa" w:w="17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BHP</w:t>
            </w:r>
          </w:p>
        </w:tc>
        <w:tc>
          <w:tcPr>
            <w:tcW w:type="dxa" w:w="15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A$~41</w:t>
            </w:r>
          </w:p>
        </w:tc>
        <w:tc>
          <w:tcPr>
            <w:tcW w:type="dxa" w:w="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4%</w:t>
            </w:r>
          </w:p>
        </w:tc>
        <w:tc>
          <w:tcPr>
            <w:tcW w:type="dxa" w:w="12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Materials</w:t>
            </w:r>
          </w:p>
        </w:tc>
        <w:tc>
          <w:tcPr>
            <w:tcW w:type="dxa" w:w="13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A$45–50</w:t>
            </w:r>
          </w:p>
        </w:tc>
        <w:tc>
          <w:tcPr>
            <w:tcW w:type="dxa" w:w="13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A$55–66</w:t>
            </w:r>
          </w:p>
        </w:tc>
        <w:tc>
          <w:tcPr>
            <w:tcW w:type="dxa" w:w="13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A$68–85</w:t>
            </w:r>
          </w:p>
        </w:tc>
        <w:tc>
          <w:tcPr>
            <w:tcW w:type="dxa" w:w="21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AUD; franking credits; copper + diversification</w:t>
            </w:r>
          </w:p>
        </w:tc>
      </w:tr>
      <w:tr>
        <w:tc>
          <w:tcPr>
            <w:tcW w:type="dxa" w:w="3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14</w:t>
            </w:r>
          </w:p>
        </w:tc>
        <w:tc>
          <w:tcPr>
            <w:tcW w:type="dxa" w:w="9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CEG</w:t>
            </w:r>
          </w:p>
        </w:tc>
        <w:tc>
          <w:tcPr>
            <w:tcW w:type="dxa" w:w="17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Constellation</w:t>
            </w:r>
          </w:p>
        </w:tc>
        <w:tc>
          <w:tcPr>
            <w:tcW w:type="dxa" w:w="15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US$320</w:t>
            </w:r>
          </w:p>
        </w:tc>
        <w:tc>
          <w:tcPr>
            <w:tcW w:type="dxa" w:w="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4%</w:t>
            </w:r>
          </w:p>
        </w:tc>
        <w:tc>
          <w:tcPr>
            <w:tcW w:type="dxa" w:w="12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Generation</w:t>
            </w:r>
          </w:p>
        </w:tc>
        <w:tc>
          <w:tcPr>
            <w:tcW w:type="dxa" w:w="13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US$398–462</w:t>
            </w:r>
          </w:p>
        </w:tc>
        <w:tc>
          <w:tcPr>
            <w:tcW w:type="dxa" w:w="13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US$480–560</w:t>
            </w:r>
          </w:p>
        </w:tc>
        <w:tc>
          <w:tcPr>
            <w:tcW w:type="dxa" w:w="13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US$620–740</w:t>
            </w:r>
          </w:p>
        </w:tc>
        <w:tc>
          <w:tcPr>
            <w:tcW w:type="dxa" w:w="21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Best nuclear operator; re-rating largely complete</w:t>
            </w:r>
          </w:p>
        </w:tc>
      </w:tr>
      <w:tr>
        <w:tc>
          <w:tcPr>
            <w:tcW w:type="dxa" w:w="3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15</w:t>
            </w:r>
          </w:p>
        </w:tc>
        <w:tc>
          <w:tcPr>
            <w:tcW w:type="dxa" w:w="9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PWR</w:t>
            </w:r>
          </w:p>
        </w:tc>
        <w:tc>
          <w:tcPr>
            <w:tcW w:type="dxa" w:w="17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Quanta</w:t>
            </w:r>
          </w:p>
        </w:tc>
        <w:tc>
          <w:tcPr>
            <w:tcW w:type="dxa" w:w="15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US$572</w:t>
            </w:r>
          </w:p>
        </w:tc>
        <w:tc>
          <w:tcPr>
            <w:tcW w:type="dxa" w:w="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3%</w:t>
            </w:r>
          </w:p>
        </w:tc>
        <w:tc>
          <w:tcPr>
            <w:tcW w:type="dxa" w:w="12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Grid builder</w:t>
            </w:r>
          </w:p>
        </w:tc>
        <w:tc>
          <w:tcPr>
            <w:tcW w:type="dxa" w:w="13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US$517–580</w:t>
            </w:r>
          </w:p>
        </w:tc>
        <w:tc>
          <w:tcPr>
            <w:tcW w:type="dxa" w:w="13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US$680–780</w:t>
            </w:r>
          </w:p>
        </w:tc>
        <w:tc>
          <w:tcPr>
            <w:tcW w:type="dxa" w:w="13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US$900–1,080</w:t>
            </w:r>
          </w:p>
        </w:tc>
        <w:tc>
          <w:tcPr>
            <w:tcW w:type="dxa" w:w="21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Great business; at/above consensus — minimal weight at this entry</w:t>
            </w:r>
          </w:p>
        </w:tc>
      </w:tr>
    </w:tbl>
    <w:p>
      <w:pPr>
        <w:spacing w:before="20" w:after="70"/>
        <w:jc w:val="left"/>
      </w:pPr>
      <w:r>
        <w:rPr>
          <w:rFonts w:ascii="Arial" w:cs="Arial" w:eastAsia="Arial" w:hAnsi="Arial"/>
          <w:b w:val="false"/>
          <w:bCs w:val="false"/>
          <w:i/>
          <w:iCs/>
          <w:color w:val="718096"/>
          <w:sz w:val="17"/>
          <w:szCs w:val="17"/>
        </w:rPr>
        <w:t xml:space="preserve">Source: All prices as of 18–19 March 2026. Weights are model weights — not required to sum to 100% of a full portfolio.</w:t>
      </w:r>
    </w:p>
    <w:p>
      <w:pPr>
        <w:spacing w:before="120" w:after="0"/>
      </w:pPr>
      <w:r>
        <w:rPr>
          <w:rFonts w:ascii="Arial" w:cs="Arial" w:eastAsia="Arial" w:hAnsi="Arial"/>
          <w:b w:val="false"/>
          <w:bCs w:val="false"/>
          <w:i w:val="false"/>
          <w:iCs w:val="false"/>
          <w:color w:val="2D3748"/>
          <w:sz w:val="21"/>
          <w:szCs w:val="21"/>
        </w:rPr>
        <w:t xml:space="preserve"/>
      </w:r>
    </w:p>
    <w:p>
      <w:pPr>
        <w:pStyle w:val="Heading2"/>
        <w:spacing w:before="220" w:after="80"/>
      </w:pPr>
      <w:r>
        <w:rPr>
          <w:rFonts w:ascii="Arial" w:cs="Arial" w:eastAsia="Arial" w:hAnsi="Arial"/>
          <w:b/>
          <w:bCs/>
          <w:i w:val="false"/>
          <w:iCs w:val="false"/>
          <w:color w:val="1A1A2E"/>
          <w:sz w:val="24"/>
          <w:szCs w:val="24"/>
        </w:rPr>
        <w:t xml:space="preserve">Portfolio Scenario Analysis</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600"/>
        <w:gridCol w:w="1600"/>
        <w:gridCol w:w="900"/>
        <w:gridCol w:w="3860"/>
      </w:tblGrid>
      <w:tr>
        <w:tc>
          <w:tcPr>
            <w:tcW w:type="dxa" w:w="1600"/>
            <w:tcBorders>
              <w:top w:val="single" w:color="D1D9E6" w:sz="1"/>
              <w:left w:val="single" w:color="D1D9E6" w:sz="1"/>
              <w:bottom w:val="single" w:color="D1D9E6" w:sz="1"/>
              <w:right w:val="single" w:color="D1D9E6" w:sz="1"/>
            </w:tcBorders>
            <w:shd w:fill="1A1A2E"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Scenario</w:t>
            </w:r>
          </w:p>
        </w:tc>
        <w:tc>
          <w:tcPr>
            <w:tcW w:type="dxa" w:w="1800"/>
            <w:tcBorders>
              <w:top w:val="single" w:color="D1D9E6" w:sz="1"/>
              <w:left w:val="single" w:color="D1D9E6" w:sz="1"/>
              <w:bottom w:val="single" w:color="D1D9E6" w:sz="1"/>
              <w:right w:val="single" w:color="D1D9E6" w:sz="1"/>
            </w:tcBorders>
            <w:shd w:fill="1A1A2E"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5-Year Weighted CAGR</w:t>
            </w:r>
          </w:p>
        </w:tc>
        <w:tc>
          <w:tcPr>
            <w:tcW w:type="dxa" w:w="1600"/>
            <w:tcBorders>
              <w:top w:val="single" w:color="D1D9E6" w:sz="1"/>
              <w:left w:val="single" w:color="D1D9E6" w:sz="1"/>
              <w:bottom w:val="single" w:color="D1D9E6" w:sz="1"/>
              <w:right w:val="single" w:color="D1D9E6" w:sz="1"/>
            </w:tcBorders>
            <w:shd w:fill="1A1A2E"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$500k grows to</w:t>
            </w:r>
          </w:p>
        </w:tc>
        <w:tc>
          <w:tcPr>
            <w:tcW w:type="dxa" w:w="1600"/>
            <w:tcBorders>
              <w:top w:val="single" w:color="D1D9E6" w:sz="1"/>
              <w:left w:val="single" w:color="D1D9E6" w:sz="1"/>
              <w:bottom w:val="single" w:color="D1D9E6" w:sz="1"/>
              <w:right w:val="single" w:color="D1D9E6" w:sz="1"/>
            </w:tcBorders>
            <w:shd w:fill="1A1A2E"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$250k grows to</w:t>
            </w:r>
          </w:p>
        </w:tc>
        <w:tc>
          <w:tcPr>
            <w:tcW w:type="dxa" w:w="900"/>
            <w:tcBorders>
              <w:top w:val="single" w:color="D1D9E6" w:sz="1"/>
              <w:left w:val="single" w:color="D1D9E6" w:sz="1"/>
              <w:bottom w:val="single" w:color="D1D9E6" w:sz="1"/>
              <w:right w:val="single" w:color="D1D9E6" w:sz="1"/>
            </w:tcBorders>
            <w:shd w:fill="1A1A2E"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Probability</w:t>
            </w:r>
          </w:p>
        </w:tc>
        <w:tc>
          <w:tcPr>
            <w:tcW w:type="dxa" w:w="3860"/>
            <w:tcBorders>
              <w:top w:val="single" w:color="D1D9E6" w:sz="1"/>
              <w:left w:val="single" w:color="D1D9E6" w:sz="1"/>
              <w:bottom w:val="single" w:color="D1D9E6" w:sz="1"/>
              <w:right w:val="single" w:color="D1D9E6" w:sz="1"/>
            </w:tcBorders>
            <w:shd w:fill="1A1A2E" w:val="clear"/>
            <w:tcMar>
              <w:top w:type="dxa" w:w="100"/>
              <w:left w:type="dxa" w:w="130"/>
              <w:bottom w:type="dxa" w:w="100"/>
              <w:right w:type="dxa" w:w="130"/>
            </w:tcMar>
          </w:tcPr>
          <w:p>
            <w:pPr>
              <w:spacing w:before="80" w:after="80"/>
              <w:jc w:val="left"/>
            </w:pPr>
            <w:r>
              <w:rPr>
                <w:rFonts w:ascii="Arial" w:cs="Arial" w:eastAsia="Arial" w:hAnsi="Arial"/>
                <w:b/>
                <w:bCs/>
                <w:i w:val="false"/>
                <w:iCs w:val="false"/>
                <w:color w:val="FFFFFF"/>
                <w:sz w:val="18"/>
                <w:szCs w:val="18"/>
              </w:rPr>
              <w:t xml:space="preserve">What drives it</w:t>
            </w:r>
          </w:p>
        </w:tc>
      </w:tr>
      <w:tr>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Bull Case</w:t>
            </w:r>
          </w:p>
        </w:tc>
        <w:tc>
          <w:tcPr>
            <w:tcW w:type="dxa" w:w="18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+28–35% p.a.</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~$1.7–2.2M</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~$860k–1.1M</w:t>
            </w:r>
          </w:p>
        </w:tc>
        <w:tc>
          <w:tcPr>
            <w:tcW w:type="dxa" w:w="9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~20%</w:t>
            </w:r>
          </w:p>
        </w:tc>
        <w:tc>
          <w:tcPr>
            <w:tcW w:type="dxa" w:w="38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AI capex accelerates; copper deficit arrives ahead of schedule; VST nuclear PPAs expand</w:t>
            </w:r>
          </w:p>
        </w:tc>
      </w:tr>
      <w:tr>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Base Case</w:t>
            </w:r>
          </w:p>
        </w:tc>
        <w:tc>
          <w:tcPr>
            <w:tcW w:type="dxa" w:w="18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+17–21% p.a.</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~$1.1–1.3M</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~$550k–650k</w:t>
            </w:r>
          </w:p>
        </w:tc>
        <w:tc>
          <w:tcPr>
            <w:tcW w:type="dxa" w:w="9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~55%</w:t>
            </w:r>
          </w:p>
        </w:tc>
        <w:tc>
          <w:tcPr>
            <w:tcW w:type="dxa" w:w="38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AI buildout continues at current pace; no efficiency shock; macro within historical norms</w:t>
            </w:r>
          </w:p>
        </w:tc>
      </w:tr>
      <w:tr>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Bear Case</w:t>
            </w:r>
          </w:p>
        </w:tc>
        <w:tc>
          <w:tcPr>
            <w:tcW w:type="dxa" w:w="18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+4–8% p.a.</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~$610–730k</w:t>
            </w:r>
          </w:p>
        </w:tc>
        <w:tc>
          <w:tcPr>
            <w:tcW w:type="dxa" w:w="16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~$305k–365k</w:t>
            </w:r>
          </w:p>
        </w:tc>
        <w:tc>
          <w:tcPr>
            <w:tcW w:type="dxa" w:w="90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~20%</w:t>
            </w:r>
          </w:p>
        </w:tc>
        <w:tc>
          <w:tcPr>
            <w:tcW w:type="dxa" w:w="3860"/>
            <w:tcBorders>
              <w:top w:val="single" w:color="D1D9E6" w:sz="1"/>
              <w:left w:val="single" w:color="D1D9E6" w:sz="1"/>
              <w:bottom w:val="single" w:color="D1D9E6" w:sz="1"/>
              <w:right w:val="single" w:color="D1D9E6" w:sz="1"/>
            </w:tcBorders>
            <w:shd w:fill="F5F7FA"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AI efficiency shock (DeepSeek-style) + hyperscaler capex pause; copper demand miss</w:t>
            </w:r>
          </w:p>
        </w:tc>
      </w:tr>
      <w:tr>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Severe Bear</w:t>
            </w:r>
          </w:p>
        </w:tc>
        <w:tc>
          <w:tcPr>
            <w:tcW w:type="dxa" w:w="18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−6 to −12% p.a.</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~$260–370k</w:t>
            </w:r>
          </w:p>
        </w:tc>
        <w:tc>
          <w:tcPr>
            <w:tcW w:type="dxa" w:w="16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~$130k–185k</w:t>
            </w:r>
          </w:p>
        </w:tc>
        <w:tc>
          <w:tcPr>
            <w:tcW w:type="dxa" w:w="90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~5%</w:t>
            </w:r>
          </w:p>
        </w:tc>
        <w:tc>
          <w:tcPr>
            <w:tcW w:type="dxa" w:w="3860"/>
            <w:tcBorders>
              <w:top w:val="single" w:color="D1D9E6" w:sz="1"/>
              <w:left w:val="single" w:color="D1D9E6" w:sz="1"/>
              <w:bottom w:val="single" w:color="D1D9E6" w:sz="1"/>
              <w:right w:val="single" w:color="D1D9E6" w:sz="1"/>
            </w:tcBorders>
            <w:shd w:fill="FFFFFF" w:val="clear"/>
            <w:tcMar>
              <w:top w:type="dxa" w:w="80"/>
              <w:left w:type="dxa" w:w="130"/>
              <w:bottom w:type="dxa" w:w="80"/>
              <w:right w:type="dxa" w:w="130"/>
            </w:tcMar>
          </w:tcPr>
          <w:p>
            <w:pPr>
              <w:spacing w:before="80" w:after="80"/>
              <w:jc w:val="left"/>
            </w:pPr>
            <w:r>
              <w:rPr>
                <w:rFonts w:ascii="Arial" w:cs="Arial" w:eastAsia="Arial" w:hAnsi="Arial"/>
                <w:b w:val="false"/>
                <w:bCs w:val="false"/>
                <w:i w:val="false"/>
                <w:iCs w:val="false"/>
                <w:color w:val="2D3748"/>
                <w:sz w:val="18"/>
                <w:szCs w:val="18"/>
              </w:rPr>
              <w:t xml:space="preserve">Recession + AI spending collapse + geopolitical disruption to TSMC production</w:t>
            </w:r>
          </w:p>
        </w:tc>
      </w:tr>
    </w:tbl>
    <w:p>
      <w:pPr>
        <w:spacing w:before="80" w:after="0"/>
      </w:pPr>
      <w:r>
        <w:rPr>
          <w:rFonts w:ascii="Arial" w:cs="Arial" w:eastAsia="Arial" w:hAnsi="Arial"/>
          <w:b w:val="false"/>
          <w:bCs w:val="false"/>
          <w:i w:val="false"/>
          <w:iCs w:val="false"/>
          <w:color w:val="2D3748"/>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03087" w:val="clear"/>
            <w:tcMar>
              <w:top w:type="dxa" w:w="0"/>
              <w:left w:type="dxa" w:w="0"/>
              <w:bottom w:type="dxa" w:w="0"/>
              <w:right w:type="dxa" w:w="0"/>
            </w:tcMar>
          </w:tcPr>
          <w:p>
            <w:pPr>
              <w:spacing w:before="80" w:after="80"/>
              <w:jc w:val="left"/>
            </w:pPr>
            <w:r>
              <w:rPr>
                <w:rFonts w:ascii="Arial" w:cs="Arial" w:eastAsia="Arial" w:hAnsi="Arial"/>
                <w:b w:val="false"/>
                <w:bCs w:val="false"/>
                <w:i w:val="false"/>
                <w:iCs w:val="false"/>
                <w:color w:val="2D3748"/>
                <w:sz w:val="21"/>
                <w:szCs w:val="21"/>
              </w:rPr>
              <w:t xml:space="preserve"/>
            </w:r>
          </w:p>
        </w:tc>
        <w:tc>
          <w:tcPr>
            <w:tcW w:type="dxa" w:w="9160"/>
            <w:tcBorders>
              <w:top w:val="none" w:color="FFFFFF" w:sz="0"/>
              <w:left w:val="none" w:color="FFFFFF" w:sz="0"/>
              <w:bottom w:val="none" w:color="FFFFFF" w:sz="0"/>
              <w:right w:val="none" w:color="FFFFFF" w:sz="0"/>
            </w:tcBorders>
            <w:shd w:fill="EBF4FF" w:val="clear"/>
            <w:tcMar>
              <w:top w:type="dxa" w:w="100"/>
              <w:left w:type="dxa" w:w="160"/>
              <w:bottom w:type="dxa" w:w="100"/>
              <w:right w:type="dxa" w:w="160"/>
            </w:tcMar>
          </w:tcPr>
          <w:p>
            <w:pPr>
              <w:spacing w:before="80" w:after="40"/>
              <w:jc w:val="left"/>
            </w:pPr>
            <w:r>
              <w:rPr>
                <w:rFonts w:ascii="Arial" w:cs="Arial" w:eastAsia="Arial" w:hAnsi="Arial"/>
                <w:b/>
                <w:bCs/>
                <w:i w:val="false"/>
                <w:iCs w:val="false"/>
                <w:color w:val="003087"/>
                <w:sz w:val="19"/>
                <w:szCs w:val="19"/>
              </w:rPr>
              <w:t xml:space="preserve">THE PORTFOLIO MANAGER'S BOTTOM LINE</w:t>
            </w:r>
          </w:p>
          <w:p>
            <w:pPr>
              <w:spacing w:before="80" w:after="80"/>
              <w:jc w:val="left"/>
            </w:pPr>
            <w:r>
              <w:rPr>
                <w:rFonts w:ascii="Arial" w:cs="Arial" w:eastAsia="Arial" w:hAnsi="Arial"/>
                <w:b w:val="false"/>
                <w:bCs w:val="false"/>
                <w:i w:val="false"/>
                <w:iCs w:val="false"/>
                <w:color w:val="1A1A2E"/>
                <w:sz w:val="19"/>
                <w:szCs w:val="19"/>
              </w:rPr>
              <w:t xml:space="preserve">These 15 investments capture every layer of the AI physical stack: manufacturing (TSMC), compute (NVDA, AVGO), power generation (NLR, CEG, VST), electrical hardware (ETN, HUBB, APH), grid building (PWR, GEV), physical materials (FCX, BHP), data centre real estate (NXT), and the people who build and wire the facilities (FIX). The thesis is simple: regardless of which AI model wins — whether it is OpenAI, Anthropic, Google or something not yet named — the electricity, copper, cooling, and physical space are needed by all of them. We do not bet on the horse. We own the track, the stable, and the road that leads there.</w:t>
            </w:r>
          </w:p>
        </w:tc>
      </w:tr>
    </w:tbl>
    <w:p>
      <w:pPr>
        <w:spacing w:before="60" w:after="0"/>
      </w:pPr>
      <w:r>
        <w:rPr>
          <w:rFonts w:ascii="Arial" w:cs="Arial" w:eastAsia="Arial" w:hAnsi="Arial"/>
          <w:b w:val="false"/>
          <w:bCs w:val="false"/>
          <w:i w:val="false"/>
          <w:iCs w:val="false"/>
          <w:color w:val="2D3748"/>
          <w:sz w:val="21"/>
          <w:szCs w:val="21"/>
        </w:rPr>
        <w:t xml:space="preserve"/>
      </w:r>
      <w:r>
        <w:br w:type="page"/>
      </w:r>
    </w:p>
    <w:p>
      <w:pPr>
        <w:pBdr>
          <w:bottom w:val="single" w:color="003087" w:sz="5" w:space="1"/>
        </w:pBdr>
        <w:spacing w:before="120" w:after="120"/>
      </w:pPr>
      <w:r>
        <w:rPr>
          <w:rFonts w:ascii="Arial" w:cs="Arial" w:eastAsia="Arial" w:hAnsi="Arial"/>
          <w:b w:val="false"/>
          <w:bCs w:val="false"/>
          <w:i w:val="false"/>
          <w:iCs w:val="false"/>
          <w:color w:val="2D3748"/>
          <w:sz w:val="4"/>
          <w:szCs w:val="4"/>
        </w:rPr>
        <w:t xml:space="preserve"/>
      </w:r>
    </w:p>
    <w:p>
      <w:pPr>
        <w:spacing w:before="80" w:after="0"/>
      </w:pPr>
      <w:r>
        <w:rPr>
          <w:rFonts w:ascii="Arial" w:cs="Arial" w:eastAsia="Arial" w:hAnsi="Arial"/>
          <w:b w:val="false"/>
          <w:bCs w:val="false"/>
          <w:i w:val="false"/>
          <w:iCs w:val="false"/>
          <w:color w:val="2D3748"/>
          <w:sz w:val="21"/>
          <w:szCs w:val="21"/>
        </w:rPr>
        <w:t xml:space="preserve"/>
      </w:r>
    </w:p>
    <w:p>
      <w:pPr>
        <w:spacing w:before="80" w:after="60"/>
        <w:jc w:val="left"/>
      </w:pPr>
      <w:r>
        <w:rPr>
          <w:rFonts w:ascii="Arial" w:cs="Arial" w:eastAsia="Arial" w:hAnsi="Arial"/>
          <w:b/>
          <w:bCs/>
          <w:i w:val="false"/>
          <w:iCs w:val="false"/>
          <w:color w:val="718096"/>
          <w:sz w:val="18"/>
          <w:szCs w:val="18"/>
        </w:rPr>
        <w:t xml:space="preserve">IMPORTANT DISCLOSURES AND LIMITATIONS</w:t>
      </w:r>
    </w:p>
    <w:p>
      <w:pPr>
        <w:spacing w:before="80" w:after="40"/>
        <w:jc w:val="left"/>
      </w:pPr>
      <w:r>
        <w:rPr>
          <w:rFonts w:ascii="Arial" w:cs="Arial" w:eastAsia="Arial" w:hAnsi="Arial"/>
          <w:b w:val="false"/>
          <w:bCs w:val="false"/>
          <w:i/>
          <w:iCs/>
          <w:color w:val="718096"/>
          <w:sz w:val="16"/>
          <w:szCs w:val="16"/>
        </w:rPr>
        <w:t xml:space="preserve">This document is prepared for information and educational purposes only. It does not constitute financial product advice within the meaning of the Corporations Act 2001 (Cth) or any equivalent legislation. It has not been prepared taking into account your particular investment objectives, financial situation or needs. Before acting on any information, consider its appropriateness having regard to your circumstances and seek independent professional advice from a licensed financial services provider.</w:t>
      </w:r>
    </w:p>
    <w:p>
      <w:pPr>
        <w:spacing w:before="80" w:after="40"/>
        <w:jc w:val="left"/>
      </w:pPr>
      <w:r>
        <w:rPr>
          <w:rFonts w:ascii="Arial" w:cs="Arial" w:eastAsia="Arial" w:hAnsi="Arial"/>
          <w:b w:val="false"/>
          <w:bCs w:val="false"/>
          <w:i/>
          <w:iCs/>
          <w:color w:val="718096"/>
          <w:sz w:val="16"/>
          <w:szCs w:val="16"/>
        </w:rPr>
        <w:t xml:space="preserve">All price targets and return projections are estimates based on assumptions that may prove incorrect. 1-year targets are analyst consensus from named platforms and may not reflect the most current analyst view. 3 and 5-year targets are JPAM modelling — explicitly labelled throughout. They are directional estimates, not forecasts. Actual outcomes may differ materially.</w:t>
      </w:r>
    </w:p>
    <w:p>
      <w:pPr>
        <w:spacing w:before="80" w:after="40"/>
        <w:jc w:val="left"/>
      </w:pPr>
      <w:r>
        <w:rPr>
          <w:rFonts w:ascii="Arial" w:cs="Arial" w:eastAsia="Arial" w:hAnsi="Arial"/>
          <w:b w:val="false"/>
          <w:bCs w:val="false"/>
          <w:i/>
          <w:iCs/>
          <w:color w:val="718096"/>
          <w:sz w:val="16"/>
          <w:szCs w:val="16"/>
        </w:rPr>
        <w:t xml:space="preserve">Currency risk: Returns on US-listed investments are subject to AUD/USD exchange rate movements. For Australian investors, currency fluctuations can materially increase or decrease AUD returns. All data reflects sources available as of 19 March 2026. Verify all prices before deploying capital. Prices change continuously.</w:t>
      </w:r>
    </w:p>
    <w:p>
      <w:pPr>
        <w:spacing w:before="80" w:after="80"/>
        <w:jc w:val="left"/>
      </w:pPr>
      <w:r>
        <w:rPr>
          <w:rFonts w:ascii="Arial" w:cs="Arial" w:eastAsia="Arial" w:hAnsi="Arial"/>
          <w:b w:val="false"/>
          <w:bCs w:val="false"/>
          <w:i/>
          <w:iCs/>
          <w:color w:val="718096"/>
          <w:sz w:val="16"/>
          <w:szCs w:val="16"/>
        </w:rPr>
        <w:t xml:space="preserve">This document was produced by J.P. Morgan Asset Management, Melbourne, Australia as a private client research note. It has been through three stages of review: analyst research, veracity audit, and portfolio manager synthesis. Errors identified in prior drafts have been corrected and disclosed. Three prices in this document are approximate (BHP.ASX, FIX): verify on the relevant exchange before trading.</w:t>
      </w:r>
    </w:p>
    <w:sectPr>
      <w:headerReference w:type="default" r:id="rId6"/>
      <w:footerReference w:type="default" r:id="rId7"/>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spacing w:before="60" w:after="0"/>
    </w:pPr>
    <w:r>
      <w:rPr>
        <w:rFonts w:ascii="Arial" w:cs="Arial" w:eastAsia="Arial" w:hAnsi="Arial"/>
        <w:b w:val="false"/>
        <w:bCs w:val="false"/>
        <w:i/>
        <w:iCs/>
        <w:color w:val="718096"/>
        <w:sz w:val="13"/>
        <w:szCs w:val="13"/>
      </w:rPr>
      <w:t xml:space="preserve">FOR INFORMATION PURPOSES ONLY. NOT FINANCIAL PRODUCT ADVICE. ALL PRICES AS OF 19 MARCH 2026. VERIFY BEFORE INVESTING.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1"/>
      </w:pBdr>
      <w:spacing w:before="0" w:after="60"/>
    </w:pPr>
    <w:r>
      <w:rPr>
        <w:rFonts w:ascii="Arial" w:cs="Arial" w:eastAsia="Arial" w:hAnsi="Arial"/>
        <w:b/>
        <w:bCs/>
        <w:i w:val="false"/>
        <w:iCs w:val="false"/>
        <w:color w:val="003087"/>
        <w:sz w:val="14"/>
        <w:szCs w:val="14"/>
      </w:rPr>
      <w:t xml:space="preserve">J.P. MORGAN ASSET MANAGEMENT — THE DEFINITIVE AI INFRASTRUCTURE REPORT</w:t>
    </w:r>
    <w:r>
      <w:rPr>
        <w:rFonts w:ascii="Arial" w:cs="Arial" w:eastAsia="Arial" w:hAnsi="Arial"/>
        <w:b w:val="false"/>
        <w:bCs w:val="false"/>
        <w:i w:val="false"/>
        <w:iCs w:val="false"/>
        <w:color w:val="718096"/>
        <w:sz w:val="14"/>
        <w:szCs w:val="14"/>
      </w:rPr>
      <w:t xml:space="preserve">          19 MARCH 2026  ·  15 INVESTMENTS  ·  VERIFIED SOURCES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00"/>
      <w:outlineLvl w:val="0"/>
    </w:pPr>
    <w:rPr>
      <w:rFonts w:ascii="Arial" w:cs="Arial" w:eastAsia="Arial" w:hAnsi="Arial"/>
      <w:b/>
      <w:bCs/>
      <w:color w:val="003087"/>
      <w:sz w:val="30"/>
      <w:szCs w:val="30"/>
    </w:rPr>
  </w:style>
  <w:style w:type="paragraph" w:styleId="Heading2">
    <w:name w:val="Heading 2"/>
    <w:basedOn w:val="Normal"/>
    <w:next w:val="Normal"/>
    <w:qFormat/>
    <w:pPr>
      <w:spacing w:before="220" w:after="80"/>
      <w:outlineLvl w:val="1"/>
    </w:pPr>
    <w:rPr>
      <w:rFonts w:ascii="Arial" w:cs="Arial" w:eastAsia="Arial" w:hAnsi="Arial"/>
      <w:b/>
      <w:bCs/>
      <w:color w:val="1A1A2E"/>
      <w:sz w:val="24"/>
      <w:szCs w:val="24"/>
    </w:rPr>
  </w:style>
  <w:style w:type="paragraph" w:styleId="Heading3">
    <w:name w:val="Heading 3"/>
    <w:basedOn w:val="Normal"/>
    <w:next w:val="Normal"/>
    <w:qFormat/>
    <w:pPr>
      <w:spacing w:before="160" w:after="60"/>
      <w:outlineLvl w:val="2"/>
    </w:pPr>
    <w:rPr>
      <w:rFonts w:ascii="Arial" w:cs="Arial" w:eastAsia="Arial" w:hAnsi="Arial"/>
      <w:b/>
      <w:bCs/>
      <w:color w:val="003087"/>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2026-03-19T04:02:15.959Z</dcterms:created>
  <dcterms:modified xsi:type="dcterms:W3CDTF">2026-03-19T04:02:15.960Z</dcterms:modified>
</cp:coreProperties>
</file>

<file path=docProps/custom.xml><?xml version="1.0" encoding="utf-8"?>
<Properties xmlns="http://schemas.openxmlformats.org/officeDocument/2006/custom-properties" xmlns:vt="http://schemas.openxmlformats.org/officeDocument/2006/docPropsVTypes"/>
</file>