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BDR Bullpen → Supabase Migration</w:t>
      </w:r>
    </w:p>
    <w:p>
      <w:pPr>
        <w:spacing w:after="40"/>
      </w:pPr>
      <w:r>
        <w:rPr>
          <w:color w:val="475569"/>
          <w:sz w:val="28"/>
          <w:szCs w:val="28"/>
        </w:rPr>
        <w:t xml:space="preserve">Architecture &amp; Rollout Plan</w:t>
      </w:r>
    </w:p>
    <w:p>
      <w:pPr>
        <w:spacing w:after="400"/>
      </w:pPr>
      <w:r>
        <w:rPr>
          <w:i/>
          <w:iCs/>
          <w:color w:val="64748B"/>
          <w:sz w:val="20"/>
          <w:szCs w:val="20"/>
        </w:rPr>
        <w:t xml:space="preserve">Prepared for Thomas Szentkuti · August 18, 2026</w:t>
      </w:r>
    </w:p>
    <w:p>
      <w:pPr>
        <w:pStyle w:val="Heading1"/>
        <w:spacing w:after="150" w:before="300"/>
      </w:pPr>
      <w:r>
        <w:t xml:space="preserve">1. Summary</w:t>
      </w:r>
    </w:p>
    <w:p>
      <w:pPr>
        <w:spacing w:after="160"/>
      </w:pPr>
      <w:r>
        <w:t xml:space="preserve">This replaces the two Bullpen Apps Script projects with a Supabase (Postgres + Auth + Edge Functions) backend and a small web app, keeping the same routing rules and reporting the team already relies on. Scope is the full system: live lead routing and the daily/midday reporting pipeline. Report ingestion (Zoom dialer CSVs, NetSuite Hunter/SQL emails) will read from a shared Drive folder rather than Gmail, removing the need for Gmail API access from the backend.</w:t>
      </w:r>
    </w:p>
    <w:p>
      <w:pPr>
        <w:spacing w:after="160"/>
      </w:pPr>
      <w:r>
        <w:t xml:space="preserve">The main functional upgrade is correctness under concurrency: the current system holds routing state in Apps Script PropertiesService and reads/writes the Sheet on every step, which is both slow and racy if two BDRs assign at once. A Postgres transaction with row locking removes that risk entirely.</w:t>
      </w:r>
    </w:p>
    <w:p>
      <w:pPr>
        <w:pStyle w:val="Heading1"/>
        <w:spacing w:after="150" w:before="300"/>
      </w:pPr>
      <w:r>
        <w:t xml:space="preserve">2. Target Architecture</w:t>
      </w:r>
    </w:p>
    <w:p>
      <w:pPr>
        <w:spacing w:after="160"/>
      </w:pPr>
      <w:r>
        <w:t xml:space="preserve">Four components:</w:t>
      </w:r>
    </w:p>
    <w:p>
      <w:pPr>
        <w:pStyle w:val="ListParagraph"/>
        <w:numPr>
          <w:ilvl w:val="0"/>
          <w:numId w:val="2"/>
        </w:numPr>
        <w:spacing w:after="80"/>
      </w:pPr>
      <w:r>
        <w:t xml:space="preserve">Frontend — a small Next.js app (lead-assignment screen replacing the modal, an admin Settings screen, and a leaderboard/report view), deployed on Vercel.</w:t>
      </w:r>
    </w:p>
    <w:p>
      <w:pPr>
        <w:pStyle w:val="ListParagraph"/>
        <w:numPr>
          <w:ilvl w:val="0"/>
          <w:numId w:val="2"/>
        </w:numPr>
        <w:spacing w:after="80"/>
      </w:pPr>
      <w:r>
        <w:t xml:space="preserve">Backend — Supabase Postgres holds all data; the routing cascade runs as a single Postgres function (or Edge Function wrapping one transaction) invoked by the frontend.</w:t>
      </w:r>
    </w:p>
    <w:p>
      <w:pPr>
        <w:pStyle w:val="ListParagraph"/>
        <w:numPr>
          <w:ilvl w:val="0"/>
          <w:numId w:val="2"/>
        </w:numPr>
        <w:spacing w:after="80"/>
      </w:pPr>
      <w:r>
        <w:t xml:space="preserve">Scheduled ETL — a Supabase scheduled Edge Function (cron) reads the day’s files from the shared Drive folder, recomputes the leaderboard/multipliers, and appends to connects history — the direct equivalent of today’s 8:30 AM and 1 PM triggers.</w:t>
      </w:r>
    </w:p>
    <w:p>
      <w:pPr>
        <w:pStyle w:val="ListParagraph"/>
        <w:numPr>
          <w:ilvl w:val="0"/>
          <w:numId w:val="2"/>
        </w:numPr>
        <w:spacing w:after="80"/>
      </w:pPr>
      <w:r>
        <w:t xml:space="preserve">Auth — Supabase Auth with Google as the OAuth provider, restricted to the shift4.com Workspace domain.</w:t>
      </w:r>
    </w:p>
    <w:p>
      <w:pPr>
        <w:pStyle w:val="Heading1"/>
        <w:spacing w:after="150" w:before="300"/>
      </w:pPr>
      <w:r>
        <w:t xml:space="preserve">3. Data Model</w:t>
      </w:r>
    </w:p>
    <w:p>
      <w:pPr>
        <w:spacing w:after="160"/>
      </w:pPr>
      <w:r>
        <w:t xml:space="preserve">Sheet tabs map to normalized Postgres tables. Formula columns (Rank, Inverse, Weighting, Odds) become SQL views computed on read instead of stored formulas, so they’re always consistent and never go stale from a manual edit clobbering a formula — the exact failure mode “Repopulate Weighting + Odds” exists to fix today.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600"/>
        <w:gridCol w:w="2900"/>
      </w:tblGrid>
      <w:tr>
        <w:trPr>
          <w:tblHeader/>
        </w:trPr>
        <w:tc>
          <w:tcPr>
            <w:tcW w:type="dxa" w:w="1700"/>
            <w:shd w:fill="1F2937" w:val="clear"/>
            <w:vAlign w:val="center"/>
          </w:tcPr>
          <w:p>
            <w:r>
              <w:rPr>
                <w:b/>
                <w:bCs/>
                <w:color w:val="FFFFFF"/>
                <w:sz w:val="19"/>
                <w:szCs w:val="19"/>
              </w:rPr>
              <w:t xml:space="preserve">Sheet Tab</w:t>
            </w:r>
          </w:p>
        </w:tc>
        <w:tc>
          <w:tcPr>
            <w:tcW w:type="dxa" w:w="1900"/>
            <w:shd w:fill="1F2937" w:val="clear"/>
            <w:vAlign w:val="center"/>
          </w:tcPr>
          <w:p>
            <w:r>
              <w:rPr>
                <w:b/>
                <w:bCs/>
                <w:color w:val="FFFFFF"/>
                <w:sz w:val="19"/>
                <w:szCs w:val="19"/>
              </w:rPr>
              <w:t xml:space="preserve">Supabase Table</w:t>
            </w:r>
          </w:p>
        </w:tc>
        <w:tc>
          <w:tcPr>
            <w:tcW w:type="dxa" w:w="2600"/>
            <w:shd w:fill="1F2937" w:val="clear"/>
            <w:vAlign w:val="center"/>
          </w:tcPr>
          <w:p>
            <w:r>
              <w:rPr>
                <w:b/>
                <w:bCs/>
                <w:color w:val="FFFFFF"/>
                <w:sz w:val="19"/>
                <w:szCs w:val="19"/>
              </w:rPr>
              <w:t xml:space="preserve">Key Columns</w:t>
            </w:r>
          </w:p>
        </w:tc>
        <w:tc>
          <w:tcPr>
            <w:tcW w:type="dxa" w:w="2900"/>
            <w:shd w:fill="1F2937" w:val="clear"/>
            <w:vAlign w:val="center"/>
          </w:tcPr>
          <w:p>
            <w:r>
              <w:rPr>
                <w:b/>
                <w:bCs/>
                <w:color w:val="FFFFFF"/>
                <w:sz w:val="19"/>
                <w:szCs w:val="19"/>
              </w:rPr>
              <w:t xml:space="preserve">Notes</w:t>
            </w:r>
          </w:p>
        </w:tc>
      </w:tr>
      <w:tr>
        <w:trPr>
          <w:cantSplit/>
        </w:trPr>
        <w:tc>
          <w:tcPr>
            <w:tcW w:type="dxa" w:w="1700"/>
            <w:vAlign w:val="center"/>
          </w:tcPr>
          <w:p>
            <w:r>
              <w:rPr>
                <w:b w:val="false"/>
                <w:bCs w:val="false"/>
                <w:sz w:val="18"/>
                <w:szCs w:val="18"/>
              </w:rPr>
              <w:t xml:space="preserve">Settings</w:t>
            </w:r>
          </w:p>
        </w:tc>
        <w:tc>
          <w:tcPr>
            <w:tcW w:type="dxa" w:w="1900"/>
            <w:vAlign w:val="center"/>
          </w:tcPr>
          <w:p>
            <w:r>
              <w:rPr>
                <w:b w:val="false"/>
                <w:bCs w:val="false"/>
                <w:sz w:val="18"/>
                <w:szCs w:val="18"/>
              </w:rPr>
              <w:t xml:space="preserve">reps</w:t>
            </w:r>
          </w:p>
        </w:tc>
        <w:tc>
          <w:tcPr>
            <w:tcW w:type="dxa" w:w="2600"/>
            <w:vAlign w:val="center"/>
          </w:tcPr>
          <w:p>
            <w:r>
              <w:rPr>
                <w:b w:val="false"/>
                <w:bCs w:val="false"/>
                <w:sz w:val="18"/>
                <w:szCs w:val="18"/>
              </w:rPr>
              <w:t xml:space="preserve">name, rank, inverse, multiplier, weighting, bullpen_status, min_cap, max_cap, raincheck_status, dine_eligible</w:t>
            </w:r>
          </w:p>
        </w:tc>
        <w:tc>
          <w:tcPr>
            <w:tcW w:type="dxa" w:w="2900"/>
            <w:vAlign w:val="center"/>
          </w:tcPr>
          <w:p>
            <w:r>
              <w:rPr>
                <w:b w:val="false"/>
                <w:bCs w:val="false"/>
                <w:sz w:val="18"/>
                <w:szCs w:val="18"/>
              </w:rPr>
              <w:t xml:space="preserve">Rank/inverse/weighting become generated columns or a view instead of formulas; odds computed on read.</w:t>
            </w:r>
          </w:p>
        </w:tc>
      </w:tr>
      <w:tr>
        <w:trPr>
          <w:cantSplit/>
        </w:trPr>
        <w:tc>
          <w:tcPr>
            <w:tcW w:type="dxa" w:w="1700"/>
            <w:vAlign w:val="center"/>
          </w:tcPr>
          <w:p>
            <w:r>
              <w:rPr>
                <w:b w:val="false"/>
                <w:bCs w:val="false"/>
                <w:sz w:val="18"/>
                <w:szCs w:val="18"/>
              </w:rPr>
              <w:t xml:space="preserve">BDR_Console</w:t>
            </w:r>
          </w:p>
        </w:tc>
        <w:tc>
          <w:tcPr>
            <w:tcW w:type="dxa" w:w="1900"/>
            <w:vAlign w:val="center"/>
          </w:tcPr>
          <w:p>
            <w:r>
              <w:rPr>
                <w:b w:val="false"/>
                <w:bCs w:val="false"/>
                <w:sz w:val="18"/>
                <w:szCs w:val="18"/>
              </w:rPr>
              <w:t xml:space="preserve">lead_queue</w:t>
            </w:r>
          </w:p>
        </w:tc>
        <w:tc>
          <w:tcPr>
            <w:tcW w:type="dxa" w:w="2600"/>
            <w:vAlign w:val="center"/>
          </w:tcPr>
          <w:p>
            <w:r>
              <w:rPr>
                <w:b w:val="false"/>
                <w:bCs w:val="false"/>
                <w:sz w:val="18"/>
                <w:szCs w:val="18"/>
              </w:rPr>
              <w:t xml:space="preserve">bdr_email, bdr_name, ttv, hospitality, live_receipt, status</w:t>
            </w:r>
          </w:p>
        </w:tc>
        <w:tc>
          <w:tcPr>
            <w:tcW w:type="dxa" w:w="2900"/>
            <w:vAlign w:val="center"/>
          </w:tcPr>
          <w:p>
            <w:r>
              <w:rPr>
                <w:b w:val="false"/>
                <w:bCs w:val="false"/>
                <w:sz w:val="18"/>
                <w:szCs w:val="18"/>
              </w:rPr>
              <w:t xml:space="preserve">One row per in-flight lead. Row is claimed by the assignment transaction, not edited by two people at once.</w:t>
            </w:r>
          </w:p>
        </w:tc>
      </w:tr>
      <w:tr>
        <w:trPr>
          <w:cantSplit/>
        </w:trPr>
        <w:tc>
          <w:tcPr>
            <w:tcW w:type="dxa" w:w="1700"/>
            <w:vAlign w:val="center"/>
          </w:tcPr>
          <w:p>
            <w:r>
              <w:rPr>
                <w:b w:val="false"/>
                <w:bCs w:val="false"/>
                <w:sz w:val="18"/>
                <w:szCs w:val="18"/>
              </w:rPr>
              <w:t xml:space="preserve">Rep Audit</w:t>
            </w:r>
          </w:p>
        </w:tc>
        <w:tc>
          <w:tcPr>
            <w:tcW w:type="dxa" w:w="1900"/>
            <w:vAlign w:val="center"/>
          </w:tcPr>
          <w:p>
            <w:r>
              <w:rPr>
                <w:b w:val="false"/>
                <w:bCs w:val="false"/>
                <w:sz w:val="18"/>
                <w:szCs w:val="18"/>
              </w:rPr>
              <w:t xml:space="preserve">assignment_log</w:t>
            </w:r>
          </w:p>
        </w:tc>
        <w:tc>
          <w:tcPr>
            <w:tcW w:type="dxa" w:w="2600"/>
            <w:vAlign w:val="center"/>
          </w:tcPr>
          <w:p>
            <w:r>
              <w:rPr>
                <w:b w:val="false"/>
                <w:bCs w:val="false"/>
                <w:sz w:val="18"/>
                <w:szCs w:val="18"/>
              </w:rPr>
              <w:t xml:space="preserve">timestamp, rep_name, route_method, bdr_email, ttv, snapshot_weight</w:t>
            </w:r>
          </w:p>
        </w:tc>
        <w:tc>
          <w:tcPr>
            <w:tcW w:type="dxa" w:w="2900"/>
            <w:vAlign w:val="center"/>
          </w:tcPr>
          <w:p>
            <w:r>
              <w:rPr>
                <w:b w:val="false"/>
                <w:bCs w:val="false"/>
                <w:sz w:val="18"/>
                <w:szCs w:val="18"/>
              </w:rPr>
              <w:t xml:space="preserve">Append-only. No update/delete permission for non-admins (RLS).</w:t>
            </w:r>
          </w:p>
        </w:tc>
      </w:tr>
      <w:tr>
        <w:trPr>
          <w:cantSplit/>
        </w:trPr>
        <w:tc>
          <w:tcPr>
            <w:tcW w:type="dxa" w:w="1700"/>
            <w:vAlign w:val="center"/>
          </w:tcPr>
          <w:p>
            <w:r>
              <w:rPr>
                <w:b w:val="false"/>
                <w:bCs w:val="false"/>
                <w:sz w:val="18"/>
                <w:szCs w:val="18"/>
              </w:rPr>
              <w:t xml:space="preserve">Connects History</w:t>
            </w:r>
          </w:p>
        </w:tc>
        <w:tc>
          <w:tcPr>
            <w:tcW w:type="dxa" w:w="1900"/>
            <w:vAlign w:val="center"/>
          </w:tcPr>
          <w:p>
            <w:r>
              <w:rPr>
                <w:b w:val="false"/>
                <w:bCs w:val="false"/>
                <w:sz w:val="18"/>
                <w:szCs w:val="18"/>
              </w:rPr>
              <w:t xml:space="preserve">connects_history</w:t>
            </w:r>
          </w:p>
        </w:tc>
        <w:tc>
          <w:tcPr>
            <w:tcW w:type="dxa" w:w="2600"/>
            <w:vAlign w:val="center"/>
          </w:tcPr>
          <w:p>
            <w:r>
              <w:rPr>
                <w:b w:val="false"/>
                <w:bCs w:val="false"/>
                <w:sz w:val="18"/>
                <w:szCs w:val="18"/>
              </w:rPr>
              <w:t xml:space="preserve">report_date, rep, connects, dials, is_bdr</w:t>
            </w:r>
          </w:p>
        </w:tc>
        <w:tc>
          <w:tcPr>
            <w:tcW w:type="dxa" w:w="2900"/>
            <w:vAlign w:val="center"/>
          </w:tcPr>
          <w:p>
            <w:r>
              <w:rPr>
                <w:b w:val="false"/>
                <w:bCs w:val="false"/>
                <w:sz w:val="18"/>
                <w:szCs w:val="18"/>
              </w:rPr>
              <w:t xml:space="preserve">Long/normalized instead of wide-by-rep so adding/removing a rep is a data change, not a schema change.</w:t>
            </w:r>
          </w:p>
        </w:tc>
      </w:tr>
      <w:tr>
        <w:trPr>
          <w:cantSplit/>
        </w:trPr>
        <w:tc>
          <w:tcPr>
            <w:tcW w:type="dxa" w:w="1700"/>
            <w:vAlign w:val="center"/>
          </w:tcPr>
          <w:p>
            <w:r>
              <w:rPr>
                <w:b w:val="false"/>
                <w:bCs w:val="false"/>
                <w:sz w:val="18"/>
                <w:szCs w:val="18"/>
              </w:rPr>
              <w:t xml:space="preserve">Leaderboard</w:t>
            </w:r>
          </w:p>
        </w:tc>
        <w:tc>
          <w:tcPr>
            <w:tcW w:type="dxa" w:w="1900"/>
            <w:vAlign w:val="center"/>
          </w:tcPr>
          <w:p>
            <w:r>
              <w:rPr>
                <w:b w:val="false"/>
                <w:bCs w:val="false"/>
                <w:sz w:val="18"/>
                <w:szCs w:val="18"/>
              </w:rPr>
              <w:t xml:space="preserve">leaderboard_snapshot + a SQL view</w:t>
            </w:r>
          </w:p>
        </w:tc>
        <w:tc>
          <w:tcPr>
            <w:tcW w:type="dxa" w:w="2600"/>
            <w:vAlign w:val="center"/>
          </w:tcPr>
          <w:p>
            <w:r>
              <w:rPr>
                <w:b w:val="false"/>
                <w:bCs w:val="false"/>
                <w:sz w:val="18"/>
                <w:szCs w:val="18"/>
              </w:rPr>
              <w:t xml:space="preserve">rep, connects, units, revenue, sql_rate, weighted_score, rank</w:t>
            </w:r>
          </w:p>
        </w:tc>
        <w:tc>
          <w:tcPr>
            <w:tcW w:type="dxa" w:w="2900"/>
            <w:vAlign w:val="center"/>
          </w:tcPr>
          <w:p>
            <w:r>
              <w:rPr>
                <w:b w:val="false"/>
                <w:bCs w:val="false"/>
                <w:sz w:val="18"/>
                <w:szCs w:val="18"/>
              </w:rPr>
              <w:t xml:space="preserve">Rank/weighted score computed by a view; multiplier write-back becomes an UPDATE on reps from the daily job.</w:t>
            </w:r>
          </w:p>
        </w:tc>
      </w:tr>
      <w:tr>
        <w:trPr>
          <w:cantSplit/>
        </w:trPr>
        <w:tc>
          <w:tcPr>
            <w:tcW w:type="dxa" w:w="1700"/>
            <w:vAlign w:val="center"/>
          </w:tcPr>
          <w:p>
            <w:r>
              <w:rPr>
                <w:b w:val="false"/>
                <w:bCs w:val="false"/>
                <w:sz w:val="18"/>
                <w:szCs w:val="18"/>
              </w:rPr>
              <w:t xml:space="preserve">(script state)</w:t>
            </w:r>
          </w:p>
        </w:tc>
        <w:tc>
          <w:tcPr>
            <w:tcW w:type="dxa" w:w="1900"/>
            <w:vAlign w:val="center"/>
          </w:tcPr>
          <w:p>
            <w:r>
              <w:rPr>
                <w:b w:val="false"/>
                <w:bCs w:val="false"/>
                <w:sz w:val="18"/>
                <w:szCs w:val="18"/>
              </w:rPr>
              <w:t xml:space="preserve">assignment_session</w:t>
            </w:r>
          </w:p>
        </w:tc>
        <w:tc>
          <w:tcPr>
            <w:tcW w:type="dxa" w:w="2600"/>
            <w:vAlign w:val="center"/>
          </w:tcPr>
          <w:p>
            <w:r>
              <w:rPr>
                <w:b w:val="false"/>
                <w:bCs w:val="false"/>
                <w:sz w:val="18"/>
                <w:szCs w:val="18"/>
              </w:rPr>
              <w:t xml:space="preserve">user_key, skipped_reps[], proposed_rep, expires_at</w:t>
            </w:r>
          </w:p>
        </w:tc>
        <w:tc>
          <w:tcPr>
            <w:tcW w:type="dxa" w:w="2900"/>
            <w:vAlign w:val="center"/>
          </w:tcPr>
          <w:p>
            <w:r>
              <w:rPr>
                <w:b w:val="false"/>
                <w:bCs w:val="false"/>
                <w:sz w:val="18"/>
                <w:szCs w:val="18"/>
              </w:rPr>
              <w:t xml:space="preserve">Replaces PropertiesService. Row-scoped per BDR, expires automatically so a stuck tab can’t block others.</w:t>
            </w:r>
          </w:p>
        </w:tc>
      </w:tr>
    </w:tbl>
    <w:p>
      <w:pPr>
        <w:pStyle w:val="Heading1"/>
        <w:spacing w:after="150" w:before="300"/>
      </w:pPr>
      <w:r>
        <w:t xml:space="preserve">4. Routing Engine</w:t>
      </w:r>
    </w:p>
    <w:p>
      <w:pPr>
        <w:spacing w:after="160"/>
      </w:pPr>
      <w:r>
        <w:t xml:space="preserve">The full priority cascade from assignInboundLead is preserved exactly, ported into one Postgres function executed inside a single transaction with row-level locking on the reps table:</w:t>
      </w:r>
    </w:p>
    <w:p>
      <w:pPr>
        <w:pStyle w:val="ListParagraph"/>
        <w:numPr>
          <w:ilvl w:val="0"/>
          <w:numId w:val="2"/>
        </w:numPr>
        <w:spacing w:after="80"/>
      </w:pPr>
      <w:r>
        <w:t xml:space="preserve">1. Shift4 Dine — two-tier round robin by TTV threshold ($150k), Liam/Troy vs. all other dine-eligible reps.</w:t>
      </w:r>
    </w:p>
    <w:p>
      <w:pPr>
        <w:pStyle w:val="ListParagraph"/>
        <w:numPr>
          <w:ilvl w:val="0"/>
          <w:numId w:val="2"/>
        </w:numPr>
        <w:spacing w:after="80"/>
      </w:pPr>
      <w:r>
        <w:t xml:space="preserve">2. Raincheck redemption — ordered by most recent audit-log appearance.</w:t>
      </w:r>
    </w:p>
    <w:p>
      <w:pPr>
        <w:pStyle w:val="ListParagraph"/>
        <w:numPr>
          <w:ilvl w:val="0"/>
          <w:numId w:val="2"/>
        </w:numPr>
        <w:spacing w:after="80"/>
      </w:pPr>
      <w:r>
        <w:t xml:space="preserve">3. Forced 3rd-lead rotation — Tommy/Ryan, tracked by a running counter that only advances on confirmed assignment.</w:t>
      </w:r>
    </w:p>
    <w:p>
      <w:pPr>
        <w:pStyle w:val="ListParagraph"/>
        <w:numPr>
          <w:ilvl w:val="0"/>
          <w:numId w:val="2"/>
        </w:numPr>
        <w:spacing w:after="80"/>
      </w:pPr>
      <w:r>
        <w:t xml:space="preserve">4. Starvation override — skipped for big leads (≥ $58k).</w:t>
      </w:r>
    </w:p>
    <w:p>
      <w:pPr>
        <w:pStyle w:val="ListParagraph"/>
        <w:numPr>
          <w:ilvl w:val="0"/>
          <w:numId w:val="2"/>
        </w:numPr>
        <w:spacing w:after="80"/>
      </w:pPr>
      <w:r>
        <w:t xml:space="preserve">5. Weighted lottery draw — with the 2-in-a-row streak bench.</w:t>
      </w:r>
    </w:p>
    <w:p>
      <w:pPr>
        <w:spacing w:after="160"/>
      </w:pPr>
      <w:r>
        <w:t xml:space="preserve">The “propose → confirm/skip → re-spin” flow (today’s modal) becomes: the frontend calls propose_assignment, which returns a candidate and opens a short-lived assignment_session row (with a TTL, replacing the 15-second modal timer); the BDR then calls confirm or skip, which the backend applies atomically. Locking the candidate rep’s row for the duration of that session is what prevents two BDRs from ever being handed the same "due" rep at the same moment — the race condition possible today.</w:t>
      </w:r>
    </w:p>
    <w:p>
      <w:pPr>
        <w:pStyle w:val="Heading1"/>
        <w:spacing w:after="150" w:before="300"/>
      </w:pPr>
      <w:r>
        <w:t xml:space="preserve">5. Reporting / ETL Pipeline</w:t>
      </w:r>
    </w:p>
    <w:p>
      <w:pPr>
        <w:spacing w:after="160"/>
      </w:pPr>
      <w:r>
        <w:t xml:space="preserve">Zoom and NetSuite reports are dropped into a shared Drive folder on the existing schedule. A scheduled Edge Function polls that folder (via the Google Drive API using a service account with read-only access), parses the same CSV/HTML formats the current parsers expect, and writes into connects_history and leaderboard_snapshot. Business logic (5-day rolling average, rank-based multiplier, BDR blended score) ports directly — it’s pure computation, not Sheet-specific.</w:t>
      </w:r>
    </w:p>
    <w:p>
      <w:pPr>
        <w:pStyle w:val="Heading1"/>
        <w:spacing w:after="150" w:before="300"/>
      </w:pPr>
      <w:r>
        <w:t xml:space="preserve">6. Auth &amp; Access Control</w:t>
      </w:r>
    </w:p>
    <w:p>
      <w:pPr>
        <w:spacing w:after="160"/>
      </w:pPr>
      <w:r>
        <w:t xml:space="preserve">Three roles, enforced by Postgres row-level security rather than by who has the Sheet link:</w:t>
      </w:r>
    </w:p>
    <w:p>
      <w:pPr>
        <w:pStyle w:val="ListParagraph"/>
        <w:numPr>
          <w:ilvl w:val="0"/>
          <w:numId w:val="2"/>
        </w:numPr>
        <w:spacing w:after="80"/>
      </w:pPr>
      <w:r>
        <w:t xml:space="preserve">BDR — can create a lead_queue row and call the assignment functions; cannot read or edit reps weighting/caps or the audit log.</w:t>
      </w:r>
    </w:p>
    <w:p>
      <w:pPr>
        <w:pStyle w:val="ListParagraph"/>
        <w:numPr>
          <w:ilvl w:val="0"/>
          <w:numId w:val="2"/>
        </w:numPr>
        <w:spacing w:after="80"/>
      </w:pPr>
      <w:r>
        <w:t xml:space="preserve">Rep (SE) — read-only on the leaderboard and their own audit history.</w:t>
      </w:r>
    </w:p>
    <w:p>
      <w:pPr>
        <w:pStyle w:val="ListParagraph"/>
        <w:numPr>
          <w:ilvl w:val="0"/>
          <w:numId w:val="2"/>
        </w:numPr>
        <w:spacing w:after="80"/>
      </w:pPr>
      <w:r>
        <w:t xml:space="preserve">Admin — can edit reps (caps, multiplier overrides, bullpen/dine flags) and run the ledger reset. Every admin write is logged.</w:t>
      </w:r>
    </w:p>
    <w:p>
      <w:pPr>
        <w:spacing w:after="160"/>
      </w:pPr>
      <w:r>
        <w:t xml:space="preserve">All sign-in is Google OAuth restricted to the shift4.com hosted domain, so no separate passwords are introduced. Service-role keys (which bypass RLS) stay server-side only — never shipped to the frontend.</w:t>
      </w:r>
    </w:p>
    <w:p>
      <w:pPr>
        <w:pStyle w:val="Heading1"/>
        <w:spacing w:after="150" w:before="300"/>
      </w:pPr>
      <w:r>
        <w:t xml:space="preserve">7. Deployment Platform &amp; Environments</w:t>
      </w:r>
    </w:p>
    <w:p>
      <w:pPr>
        <w:spacing w:after="160"/>
      </w:pPr>
      <w:r>
        <w:t xml:space="preserve">Recommended: Vercel for the frontend, Supabase for the backend, with separate dev / staging / production Supabase projects and Vercel environments. Schema changes go through Supabase CLI migrations checked into git — never hand-edited in the dashboard — so staging and production never drift, which is the equivalent of "the sheet formulas got clobbered" failure mode but for a database.</w:t>
      </w:r>
    </w:p>
    <w:p>
      <w:pPr>
        <w:pStyle w:val="Heading1"/>
        <w:spacing w:after="150" w:before="300"/>
      </w:pPr>
      <w:r>
        <w:t xml:space="preserve">8. Observability &amp; Alerting</w:t>
      </w:r>
    </w:p>
    <w:p>
      <w:pPr>
        <w:spacing w:after="160"/>
      </w:pPr>
      <w:r>
        <w:t xml:space="preserve">Three things need eyes on them from day one:</w:t>
      </w:r>
    </w:p>
    <w:p>
      <w:pPr>
        <w:pStyle w:val="ListParagraph"/>
        <w:numPr>
          <w:ilvl w:val="0"/>
          <w:numId w:val="2"/>
        </w:numPr>
        <w:spacing w:after="80"/>
      </w:pPr>
      <w:r>
        <w:t xml:space="preserve">Function errors — Sentry (or Supabase’s built-in function logs at minimum) on both the assignment function and the ETL job.</w:t>
      </w:r>
    </w:p>
    <w:p>
      <w:pPr>
        <w:pStyle w:val="ListParagraph"/>
        <w:numPr>
          <w:ilvl w:val="0"/>
          <w:numId w:val="2"/>
        </w:numPr>
        <w:spacing w:after="80"/>
      </w:pPr>
      <w:r>
        <w:t xml:space="preserve">Missed ETL runs — an alert (Slack or email) if the scheduled job doesn’t find a report file for the expected business day, mirroring today’s silent Logger.log skip — which nobody currently gets notified about.</w:t>
      </w:r>
    </w:p>
    <w:p>
      <w:pPr>
        <w:pStyle w:val="ListParagraph"/>
        <w:numPr>
          <w:ilvl w:val="0"/>
          <w:numId w:val="2"/>
        </w:numPr>
        <w:spacing w:after="80"/>
      </w:pPr>
      <w:r>
        <w:t xml:space="preserve">Assignment anomalies — a daily check that the routing distribution roughly matches expected weighting, to catch a bad deploy before it skews comp-relevant lead volume for a week.</w:t>
      </w:r>
    </w:p>
    <w:p>
      <w:pPr>
        <w:pStyle w:val="Heading1"/>
        <w:spacing w:after="150" w:before="300"/>
      </w:pPr>
      <w:r>
        <w:t xml:space="preserve">9. SDLC Practices</w:t>
      </w:r>
    </w:p>
    <w:p>
      <w:pPr>
        <w:spacing w:after="160"/>
      </w:pPr>
      <w:r>
        <w:t xml:space="preserve">Before any of this goes live for real lead routing:</w:t>
      </w:r>
    </w:p>
    <w:p>
      <w:pPr>
        <w:pStyle w:val="ListParagraph"/>
        <w:numPr>
          <w:ilvl w:val="0"/>
          <w:numId w:val="2"/>
        </w:numPr>
        <w:spacing w:after="80"/>
      </w:pPr>
      <w:r>
        <w:t xml:space="preserve">Git repository with required PR review — no direct commits to what production runs, mirroring the discipline the Sheet doesn’t currently have.</w:t>
      </w:r>
    </w:p>
    <w:p>
      <w:pPr>
        <w:pStyle w:val="ListParagraph"/>
        <w:numPr>
          <w:ilvl w:val="0"/>
          <w:numId w:val="2"/>
        </w:numPr>
        <w:spacing w:after="80"/>
      </w:pPr>
      <w:r>
        <w:t xml:space="preserve">Staging Supabase project + staging deploy for every change, tested with historical audit data before touching production.</w:t>
      </w:r>
    </w:p>
    <w:p>
      <w:pPr>
        <w:pStyle w:val="ListParagraph"/>
        <w:numPr>
          <w:ilvl w:val="0"/>
          <w:numId w:val="2"/>
        </w:numPr>
        <w:spacing w:after="80"/>
      </w:pPr>
      <w:r>
        <w:t xml:space="preserve">Automated tests for the routing cascade specifically — each tier (dine tiers, raincheck, forced rotation, starvation, lottery) needs a test that pins its exact behavior, since this logic determines who gets paid.</w:t>
      </w:r>
    </w:p>
    <w:p>
      <w:pPr>
        <w:pStyle w:val="ListParagraph"/>
        <w:numPr>
          <w:ilvl w:val="0"/>
          <w:numId w:val="2"/>
        </w:numPr>
        <w:spacing w:after="80"/>
      </w:pPr>
      <w:r>
        <w:t xml:space="preserve">A documented rollback plan: ability to fall back to the Sheet-based process for a defined window after cutover in case the new system misroutes leads.</w:t>
      </w:r>
    </w:p>
    <w:p>
      <w:pPr>
        <w:pStyle w:val="Heading1"/>
        <w:spacing w:after="150" w:before="300"/>
      </w:pPr>
      <w:r>
        <w:t xml:space="preserve">10. Phased Rollout</w:t>
      </w:r>
    </w:p>
    <w:p>
      <w:pPr>
        <w:pStyle w:val="ListParagraph"/>
        <w:numPr>
          <w:ilvl w:val="0"/>
          <w:numId w:val="2"/>
        </w:numPr>
        <w:spacing w:after="80"/>
      </w:pPr>
      <w:r>
        <w:t xml:space="preserve">Phase 0 — Infra setup: Supabase project(s), Vercel project, Google OAuth app restricted to shift4.com, Drive service account, git repo + CI.</w:t>
      </w:r>
    </w:p>
    <w:p>
      <w:pPr>
        <w:pStyle w:val="ListParagraph"/>
        <w:numPr>
          <w:ilvl w:val="0"/>
          <w:numId w:val="2"/>
        </w:numPr>
        <w:spacing w:after="80"/>
      </w:pPr>
      <w:r>
        <w:t xml:space="preserve">Phase 1 — Schema + routing engine, tested against replayed historical Rep Audit data to confirm identical outcomes to the current script before anyone uses it live.</w:t>
      </w:r>
    </w:p>
    <w:p>
      <w:pPr>
        <w:pStyle w:val="ListParagraph"/>
        <w:numPr>
          <w:ilvl w:val="0"/>
          <w:numId w:val="2"/>
        </w:numPr>
        <w:spacing w:after="80"/>
      </w:pPr>
      <w:r>
        <w:t xml:space="preserve">Phase 2 — Assignment frontend live for BDRs, Sheet kept read-only as a fallback reference for a transition window.</w:t>
      </w:r>
    </w:p>
    <w:p>
      <w:pPr>
        <w:pStyle w:val="ListParagraph"/>
        <w:numPr>
          <w:ilvl w:val="0"/>
          <w:numId w:val="2"/>
        </w:numPr>
        <w:spacing w:after="80"/>
      </w:pPr>
      <w:r>
        <w:t xml:space="preserve">Phase 3 — ETL pipeline + leaderboard/reporting frontend; Connects History backfilled from the existing Sheet.</w:t>
      </w:r>
    </w:p>
    <w:p>
      <w:pPr>
        <w:pStyle w:val="ListParagraph"/>
        <w:numPr>
          <w:ilvl w:val="0"/>
          <w:numId w:val="2"/>
        </w:numPr>
        <w:spacing w:after="80"/>
      </w:pPr>
      <w:r>
        <w:t xml:space="preserve">Phase 4 — Decommission the Sheet-bound scripts once a full pay period has run clean on the new system.</w:t>
      </w:r>
    </w:p>
    <w:p>
      <w:pPr>
        <w:pStyle w:val="Heading1"/>
        <w:spacing w:after="150" w:before="300"/>
      </w:pPr>
      <w:r>
        <w:t xml:space="preserve">11. Open Decisions &amp; Risks</w:t>
      </w:r>
    </w:p>
    <w:p>
      <w:pPr>
        <w:pStyle w:val="ListParagraph"/>
        <w:numPr>
          <w:ilvl w:val="0"/>
          <w:numId w:val="2"/>
        </w:numPr>
        <w:spacing w:after="80"/>
      </w:pPr>
      <w:r>
        <w:t xml:space="preserve">Exact Drive folder structure/naming for dropped reports — needed before the ETL parser can be finalized.</w:t>
      </w:r>
    </w:p>
    <w:p>
      <w:pPr>
        <w:pStyle w:val="ListParagraph"/>
        <w:numPr>
          <w:ilvl w:val="0"/>
          <w:numId w:val="2"/>
        </w:numPr>
        <w:spacing w:after="80"/>
      </w:pPr>
      <w:r>
        <w:t xml:space="preserve">Who administers reps/caps/weighting day-to-day, and whether that needs its own UI or can start as direct (audited) database access for a small admin group.</w:t>
      </w:r>
    </w:p>
    <w:p>
      <w:pPr>
        <w:pStyle w:val="ListParagraph"/>
        <w:numPr>
          <w:ilvl w:val="0"/>
          <w:numId w:val="2"/>
        </w:numPr>
        <w:spacing w:after="80"/>
      </w:pPr>
      <w:r>
        <w:t xml:space="preserve">Historical Rep Audit / Connects History backfill volume and whether all of it needs to migrate or only a recent window.</w:t>
      </w:r>
    </w:p>
    <w:p>
      <w:pPr>
        <w:pStyle w:val="ListParagraph"/>
        <w:numPr>
          <w:ilvl w:val="0"/>
          <w:numId w:val="2"/>
        </w:numPr>
        <w:spacing w:after="80"/>
      </w:pPr>
      <w:r>
        <w:t xml:space="preserve">Ownership of ongoing maintenance once this is live — internal dev, contractor, or a hybrid — since it moves from "anyone can fix a formula" to "requires a deploy."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2026-08-18T05:24:59.526Z</dcterms:created>
  <dcterms:modified xsi:type="dcterms:W3CDTF">2026-08-18T05:24:59.526Z</dcterms:modified>
</cp:coreProperties>
</file>

<file path=docProps/custom.xml><?xml version="1.0" encoding="utf-8"?>
<Properties xmlns="http://schemas.openxmlformats.org/officeDocument/2006/custom-properties" xmlns:vt="http://schemas.openxmlformats.org/officeDocument/2006/docPropsVTypes"/>
</file>