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2026-08-12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Building the forms right now?</w:t>
      </w:r>
      <w:r>
        <w:rPr/>
        <w:t xml:space="preserve"> Use </w:t>
      </w:r>
      <w:r>
        <w:rPr>
          <w:rStyle w:val="SourceText"/>
        </w:rPr>
        <w:t>FORMS-BUILD-SHEET.md</w:t>
      </w:r>
      <w:r>
        <w:rPr/>
        <w:t xml:space="preserve"> instead. It</w:t>
        <w:br/>
        <w:t>holds every literal string for all eight forms - four instruments in EN and PT</w:t>
        <w:br/>
        <w:t>- along with the global Google Forms settings, the prefilled-link procedure and</w:t>
        <w:br/>
        <w:t>an acceptance checklist, so you never have to cross-reference another file</w:t>
        <w:br/>
        <w:t>while clicking. This file stays the plan and the master TODO; that one is the</w:t>
        <w:br/>
        <w:t>build sheet.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Four instruments, built as </w:t>
      </w:r>
      <w:r>
        <w:rPr>
          <w:rStyle w:val="StrongEmphasis"/>
        </w:rPr>
        <w:t>eight forms</w:t>
      </w:r>
      <w:r>
        <w:rPr/>
        <w:t xml:space="preserve"> - each one in EN and PT, since the</w:t>
        <w:br/>
        <w:t>two languages are strictly two instruments and must not be pooled. The task</w:t>
        <w:br/>
        <w:t>script links to three of them; the fourth is completed before the script is</w:t>
        <w:br/>
        <w:t>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757"/>
        <w:gridCol w:w="1401"/>
        <w:gridCol w:w="1915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  <w:r>
              <w:rPr/>
              <w:t>, one prefilled link per task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Email the supervisor.</w:t>
      </w:r>
      <w:r>
        <w:rPr/>
        <w:t xml:space="preserve"> Two questions: does this study need an ethics</w:t>
        <w:br/>
        <w:t>committee submission, and is there a standard IST consent template to use</w:t>
        <w:br/>
        <w:t xml:space="preserve">instead of the one in </w:t>
      </w:r>
      <w:r>
        <w:rPr>
          <w:rStyle w:val="SourceText"/>
        </w:rPr>
        <w:t>consent-and-briefing.md</w:t>
      </w:r>
      <w:r>
        <w:rPr/>
        <w:t>. This gates the first</w:t>
        <w:br/>
        <w:t xml:space="preserve">session and nothing else unblocks it.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CLOSED.</w:t>
      </w:r>
      <w:r>
        <w:rPr/>
        <w:t xml:space="preserve"> Validated European Portuguese</w:t>
        <w:br/>
        <w:t>version, Martins et al. (2015). Paper obtained, ten items transcribed</w:t>
        <w:br/>
        <w:t xml:space="preserve">verbatim into </w:t>
      </w:r>
      <w:r>
        <w:rPr>
          <w:rStyle w:val="SourceText"/>
        </w:rPr>
        <w:t>instrument-sus.md</w:t>
      </w:r>
      <w:r>
        <w:rPr/>
        <w:t xml:space="preserve">. F2-PT is ready to build.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TLX response scale.~~ </w:t>
      </w:r>
      <w:r>
        <w:rPr>
          <w:rStyle w:val="StrongEmphasis"/>
        </w:rPr>
        <w:t>CLOSED 2026-08-12: linear 0 to 10,</w:t>
        <w:br/>
        <w:t>multiplied by ten at analysis time.</w:t>
      </w:r>
      <w:r>
        <w:rPr/>
        <w:t xml:space="preserve"> Google Forms is therefore the platform.</w:t>
        <w:br/>
        <w:t>Frozen - it cannot change mid-study. Disclosure wording for Chapter 9 is</w:t>
        <w:br/>
        <w:t xml:space="preserve">drafted in </w:t>
      </w:r>
      <w:r>
        <w:rPr>
          <w:rStyle w:val="SourceText"/>
        </w:rPr>
        <w:t>EVALUATION-PLAN.md</w:t>
      </w:r>
      <w:r>
        <w:rPr/>
        <w:t xml:space="preserve"> section 6.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 per language, twelve in total, one per task,</w:t>
        <w:br/>
        <w:t>so the participant does not retype the task name. Google Forms: three-dot</w:t>
        <w:br/>
        <w:t>menu, "Get pre-filled link", set the task field, copy the URL. Paste each</w:t>
        <w:br/>
        <w:t xml:space="preserve">into the matching </w:t>
      </w:r>
      <w:r>
        <w:rPr>
          <w:rStyle w:val="SourceText"/>
        </w:rPr>
        <w:t>&lt;TLX LINK T3&gt;</w:t>
      </w:r>
      <w:r>
        <w:rPr/>
        <w:t>..</w:t>
      </w:r>
      <w:r>
        <w:rPr>
          <w:rStyle w:val="SourceText"/>
        </w:rPr>
        <w:t>&lt;TLX LINK T9&gt;</w:t>
      </w:r>
      <w:r>
        <w:rPr/>
        <w:t xml:space="preserve"> slot in the script. Do not</w:t>
        <w:br/>
        <w:t>edit F1 after generating them; editing can invalidate the entry IDs baked</w:t>
        <w:br/>
        <w:t xml:space="preserve">into the URLs.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all eighteen placeholder links into </w:t>
      </w:r>
      <w:r>
        <w:rPr>
          <w:rStyle w:val="SourceText"/>
        </w:rPr>
        <w:t>task-script.md</w:t>
      </w:r>
      <w:r>
        <w:rPr/>
        <w:t xml:space="preserve"> - nine per</w:t>
        <w:br/>
        <w:t>language: the tool link, the six per-task TLX links, the SUS link and the UX</w:t>
        <w:br/>
        <w:t xml:space="preserve">link - then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Reset the demo project between participants and verify the</w:t>
        <w:br/>
        <w:t xml:space="preserve">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items. F2-PT</w:t>
        <w:br/>
        <w:t>uses the validated European Portuguese items from Martins et al. (2015), which</w:t>
        <w:br/>
        <w:t xml:space="preserve">are now transcribed verbatim in </w:t>
      </w:r>
      <w:r>
        <w:rPr>
          <w:rStyle w:val="SourceText"/>
        </w:rPr>
        <w:t>instrument-sus.md</w:t>
      </w:r>
      <w:r>
        <w:rPr/>
        <w:t xml:space="preserve"> under "As administered".</w:t>
        <w:br/>
        <w:t>Copy that table, not the "Published items, verbatim" one above it - the</w:t>
        <w:br/>
        <w:t xml:space="preserve">administered version is the same wording with </w:t>
      </w:r>
      <w:r>
        <w:rPr>
          <w:rStyle w:val="SourceText"/>
        </w:rPr>
        <w:t>este produto</w:t>
      </w:r>
      <w:r>
        <w:rPr/>
        <w:t xml:space="preserve"> replaced by</w:t>
        <w:br/>
      </w:r>
      <w:r>
        <w:rPr>
          <w:rStyle w:val="SourceText"/>
        </w:rPr>
        <w:t>o Apex</w:t>
      </w:r>
      <w:r>
        <w:rPr/>
        <w:t>, which is the only permitted change.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not mix languages within one form. PT anchors: </w:t>
      </w:r>
      <w:r>
        <w:rPr>
          <w:rStyle w:val="SourceText"/>
        </w:rPr>
        <w:t>Discordo totalmente</w:t>
      </w:r>
      <w:r>
        <w:rPr/>
        <w:t xml:space="preserve"> and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Google Forms build sheet - every string, ready to paste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click-by-click companion to </w:t>
      </w:r>
      <w:r>
        <w:rPr>
          <w:rStyle w:val="SourceText"/>
        </w:rPr>
        <w:t>FORMS-BUILD-GUIDE.md</w:t>
      </w:r>
      <w:r>
        <w:rPr/>
        <w:t>. That file says</w:t>
        <w:br/>
      </w:r>
      <w:r>
        <w:rPr>
          <w:rStyle w:val="Emphasis"/>
        </w:rPr>
        <w:t>what</w:t>
      </w:r>
      <w:r>
        <w:rPr/>
        <w:t xml:space="preserve"> to build and in what order; this one holds </w:t>
      </w:r>
      <w:r>
        <w:rPr>
          <w:rStyle w:val="Emphasis"/>
        </w:rPr>
        <w:t>every literal string</w:t>
      </w:r>
      <w:r>
        <w:rPr/>
        <w:t>, so you</w:t>
        <w:br/>
        <w:t>can build all eight forms without opening another document.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Authority order.</w:t>
      </w:r>
      <w:r>
        <w:rPr/>
        <w:t xml:space="preserve"> If this sheet ever disagrees with </w:t>
      </w:r>
      <w:r>
        <w:rPr>
          <w:rStyle w:val="SourceText"/>
        </w:rPr>
        <w:t>instrument-sus.md</w:t>
      </w:r>
      <w:r>
        <w:rPr/>
        <w:t>,</w:t>
        <w:br/>
      </w:r>
      <w:r>
        <w:rPr>
          <w:rStyle w:val="SourceText"/>
        </w:rPr>
        <w:t>instrument-nasa-tlx.md</w:t>
      </w:r>
      <w:r>
        <w:rPr/>
        <w:t xml:space="preserve">, </w:t>
      </w:r>
      <w:r>
        <w:rPr>
          <w:rStyle w:val="SourceText"/>
        </w:rPr>
        <w:t>instrument-apex-ux.md</w:t>
      </w:r>
      <w:r>
        <w:rPr/>
        <w:t xml:space="preserve"> or </w:t>
      </w:r>
      <w:r>
        <w:rPr>
          <w:rStyle w:val="SourceText"/>
        </w:rPr>
        <w:t>consent-and-briefing.md</w:t>
      </w:r>
      <w:r>
        <w:rPr/>
        <w:t>,</w:t>
        <w:br/>
      </w:r>
      <w:r>
        <w:rPr>
          <w:rStyle w:val="StrongEmphasis"/>
        </w:rPr>
        <w:t>the instrument file wins</w:t>
      </w:r>
      <w:r>
        <w:rPr/>
        <w:t xml:space="preserve"> and this sheet is the thing to fix. The instruments</w:t>
        <w:br/>
        <w:t>are the record of what was administered; this is a transcription for convenience.</w:t>
      </w:r>
    </w:p>
    <w:p>
      <w:pPr>
        <w:pStyle w:val="Heading2"/>
        <w:bidi w:val="0"/>
        <w:jc w:val="left"/>
        <w:rPr/>
      </w:pPr>
      <w:r>
        <w:rPr/>
        <w:t>Eight forms, not four</w:t>
      </w:r>
    </w:p>
    <w:p>
      <w:pPr>
        <w:pStyle w:val="TextBody"/>
        <w:bidi w:val="0"/>
        <w:spacing w:before="0" w:after="283"/>
        <w:jc w:val="left"/>
        <w:rPr/>
      </w:pPr>
      <w:r>
        <w:rPr/>
        <w:t>Four instruments times two languages. Do not build one bilingual form: mixing</w:t>
        <w:br/>
        <w:t>languages inside a single instrument breaks the "EN and PT are strictly two</w:t>
        <w:br/>
        <w:t>instruments" rule that Chapter 9 relies on, and makes the response sheet</w:t>
        <w:br/>
        <w:t>unanalysable.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7"/>
        <w:gridCol w:w="1415"/>
        <w:gridCol w:w="1021"/>
        <w:gridCol w:w="962"/>
        <w:gridCol w:w="1424"/>
      </w:tblGrid>
      <w:tr>
        <w:trPr>
          <w:tblHeader w:val="true"/>
        </w:trPr>
        <w:tc>
          <w:tcPr>
            <w:tcW w:w="59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ID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Language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Submissions each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F0-EN / F0-PT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F1-EN / F1-PT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6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F2-EN / F2-PT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F3-EN / F3-PT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Build the EN set first, test-submit it, then duplicate each form (three-dot menu,</w:t>
        <w:br/>
        <w:t>"Make a copy") and replace the strings with the PT block. Duplicating preserves</w:t>
        <w:br/>
        <w:t>question types, scale ranges and required flags, which is where build errors</w:t>
        <w:br/>
        <w:t>come from.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Decisions affecting the build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scale: DECIDED 2026-08-12.</w:t>
      </w:r>
      <w:r>
        <w:rPr/>
        <w:t xml:space="preserve"> Linear scale </w:t>
      </w:r>
      <w:r>
        <w:rPr>
          <w:rStyle w:val="StrongEmphasis"/>
        </w:rPr>
        <w:t>0 to 10</w:t>
      </w:r>
      <w:r>
        <w:rPr/>
        <w:t>,</w:t>
        <w:br/>
        <w:t xml:space="preserve">multiplied by ten at analysis time, on </w:t>
      </w:r>
      <w:r>
        <w:rPr>
          <w:rStyle w:val="StrongEmphasis"/>
        </w:rPr>
        <w:t>Google Forms</w:t>
      </w:r>
      <w:r>
        <w:rPr/>
        <w:t>. The original</w:t>
        <w:br/>
        <w:t>20-interval line cannot be reproduced there - no slider, and the linear scale</w:t>
        <w:br/>
        <w:t>stops at 10. This is a real deviation from the instrument; the disclosure</w:t>
        <w:br/>
        <w:t xml:space="preserve">wording for Chapter 9 is drafted in </w:t>
      </w:r>
      <w:r>
        <w:rPr>
          <w:rStyle w:val="SourceText"/>
        </w:rPr>
        <w:t>EVALUATION-PLAN.md</w:t>
      </w:r>
      <w:r>
        <w:rPr/>
        <w:t xml:space="preserve"> section 6. </w:t>
      </w:r>
      <w:r>
        <w:rPr>
          <w:rStyle w:val="StrongEmphasis"/>
        </w:rPr>
        <w:t>Frozen:</w:t>
        <w:br/>
        <w:t>it cannot change once the first participant has run.</w:t>
      </w:r>
      <w:r>
        <w:rPr/>
        <w:t xml:space="preserve"> Build F1 exactly as</w:t>
        <w:br/>
        <w:t xml:space="preserve">specified below.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Arm split: still open.</w:t>
      </w:r>
      <w:r>
        <w:rPr/>
        <w:t xml:space="preserve"> If the moderated arm runs, F0 keeps the</w:t>
        <w:br/>
        <w:t>screen-recording consent item. If only the unmoderated arm runs, delete that</w:t>
        <w:br/>
        <w:t>item from F0 rather than leaving an unused checkbox on the consent form. This</w:t>
        <w:br/>
        <w:t>is the only thing on this sheet still waiting on a decision, and it affects</w:t>
        <w:br/>
        <w:t xml:space="preserve">one question on one form.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Settings to apply to all eight forms</w:t>
      </w:r>
    </w:p>
    <w:p>
      <w:pPr>
        <w:pStyle w:val="TextBody"/>
        <w:bidi w:val="0"/>
        <w:spacing w:before="0" w:after="283"/>
        <w:jc w:val="left"/>
        <w:rPr/>
      </w:pPr>
      <w:r>
        <w:rPr/>
        <w:t>In the form's Settings tab: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Collect email addresses: OFF.</w:t>
      </w:r>
      <w:r>
        <w:rPr/>
        <w:t xml:space="preserve"> It contradicts the anonymity paragraph in the</w:t>
        <w:br/>
        <w:t xml:space="preserve">consent text. This is the single most damaging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Limit to 1 response: OFF.</w:t>
      </w:r>
      <w:r>
        <w:rPr/>
        <w:t xml:space="preserve"> It requires a Google sign-in, which also</w:t>
        <w:br/>
        <w:t xml:space="preserve">de-anonymises, and F1 legitimately needs six submissions per person.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Edit after submit: OFF.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See summary charts: OFF.</w:t>
      </w:r>
      <w:r>
        <w:rPr/>
        <w:t xml:space="preserve"> Participants should not see each other's answers.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Shuffle question order: OFF everywhere.</w:t>
      </w:r>
      <w:r>
        <w:rPr/>
        <w:t xml:space="preserve"> SUS item order is part of the</w:t>
        <w:br/>
        <w:t xml:space="preserve">instrument.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Show progress bar: ON.</w:t>
      </w:r>
      <w:r>
        <w:rPr/>
        <w:t xml:space="preserve"> F1 is opened six times and people need to see it is</w:t>
        <w:br/>
        <w:t xml:space="preserve">short.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Confirmation message:</w:t>
      </w:r>
      <w:r>
        <w:rPr/>
        <w:t xml:space="preserve"> replace the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EN: </w:t>
      </w:r>
      <w:r>
        <w:rPr>
          <w:rStyle w:val="SourceText"/>
        </w:rPr>
        <w:t>Thank you. Close this tab and return to the task script.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PT: </w:t>
      </w:r>
      <w:r>
        <w:rPr>
          <w:rStyle w:val="SourceText"/>
        </w:rPr>
        <w:t>Obrigado. Feche este separador e regresse ao guião de tarefas.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Response destination: link all eight to </w:t>
      </w:r>
      <w:r>
        <w:rPr>
          <w:rStyle w:val="StrongEmphasis"/>
        </w:rPr>
        <w:t>one</w:t>
      </w:r>
      <w:r>
        <w:rPr/>
        <w:t xml:space="preserve"> spreadsheet, one tab per form.</w:t>
        <w:br/>
        <w:t>The participant code is the join key across tabs.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>Two sections. Section 1 is consent, section 2 is demographics. Nothing else goes</w:t>
        <w:br/>
        <w:t>on this form.</w:t>
      </w:r>
    </w:p>
    <w:p>
      <w:pPr>
        <w:pStyle w:val="Heading2"/>
        <w:bidi w:val="0"/>
        <w:jc w:val="left"/>
        <w:rPr/>
      </w:pPr>
      <w:r>
        <w:rPr/>
        <w:t>F0-EN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study - consent and about you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paste the whole EN consent text from</w:t>
        <w:br/>
      </w:r>
      <w:r>
        <w:rPr>
          <w:rStyle w:val="SourceText"/>
        </w:rPr>
        <w:t>consent-and-briefing.md</w:t>
      </w:r>
      <w:r>
        <w:rPr/>
        <w:t xml:space="preserve">, from </w:t>
      </w:r>
      <w:r>
        <w:rPr>
          <w:rStyle w:val="SourceText"/>
        </w:rPr>
        <w:t>Study:</w:t>
      </w:r>
      <w:r>
        <w:rPr/>
        <w:t xml:space="preserve"> down to and including the </w:t>
      </w:r>
      <w:r>
        <w:rPr>
          <w:rStyle w:val="SourceText"/>
        </w:rPr>
        <w:t>Risks.</w:t>
      </w:r>
      <w:r>
        <w:rPr/>
        <w:br/>
        <w:t>paragraph. Do not paste the signature block; it is replaced by the tick boxes</w:t>
        <w:br/>
        <w:t>below.</w:t>
      </w:r>
    </w:p>
    <w:p>
      <w:pPr>
        <w:pStyle w:val="Heading3"/>
        <w:bidi w:val="0"/>
        <w:jc w:val="left"/>
        <w:rPr/>
      </w:pPr>
      <w:r>
        <w:rPr/>
        <w:t>Section 1 questions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348"/>
        <w:gridCol w:w="946"/>
        <w:gridCol w:w="2854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 (printed 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have read and understood the information above, and I agree to take part.</w:t>
            </w:r>
            <w:r>
              <w:rPr/>
              <w:t xml:space="preserve"> - single option: </w:t>
            </w:r>
            <w:r>
              <w:rPr>
                <w:rStyle w:val="SourceText"/>
              </w:rPr>
              <w:t>I consent to participate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Optional permissions</w:t>
            </w:r>
            <w:r>
              <w:rPr/>
              <w:t xml:space="preserve"> - option: </w:t>
            </w: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only, delete otherwise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Q3 and Q4 can share one checkboxes question with two options if you prefer fewer</w:t>
        <w:br/>
        <w:t>clicks. Q2 must stay separate and required.</w:t>
      </w:r>
    </w:p>
    <w:p>
      <w:pPr>
        <w:pStyle w:val="Heading3"/>
        <w:bidi w:val="0"/>
        <w:jc w:val="left"/>
        <w:rPr/>
      </w:pPr>
      <w:r>
        <w:rPr/>
        <w:t>Section 2 - About you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Section title: </w:t>
      </w:r>
      <w:r>
        <w:rPr>
          <w:rStyle w:val="SourceText"/>
        </w:rPr>
        <w:t>About you</w:t>
      </w:r>
      <w:r>
        <w:rPr/>
        <w:br/>
        <w:t xml:space="preserve">Section description: </w:t>
      </w:r>
      <w:r>
        <w:rPr>
          <w:rStyle w:val="SourceText"/>
        </w:rPr>
        <w:t>Six quick questions. They are used only to describe the participant group in aggregate.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792"/>
        <w:gridCol w:w="946"/>
        <w:gridCol w:w="1636"/>
        <w:gridCol w:w="1669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Options, in order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Years of professional software development experience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Under 1</w:t>
            </w:r>
            <w:r>
              <w:rPr/>
              <w:t xml:space="preserve"> / </w:t>
            </w:r>
            <w:r>
              <w:rPr>
                <w:rStyle w:val="SourceText"/>
              </w:rPr>
              <w:t>1 to 3</w:t>
            </w:r>
            <w:r>
              <w:rPr/>
              <w:t xml:space="preserve"> / </w:t>
            </w:r>
            <w:r>
              <w:rPr>
                <w:rStyle w:val="SourceText"/>
              </w:rPr>
              <w:t>4 to 7</w:t>
            </w:r>
            <w:r>
              <w:rPr/>
              <w:t xml:space="preserve"> / </w:t>
            </w:r>
            <w:r>
              <w:rPr>
                <w:rStyle w:val="SourceText"/>
              </w:rPr>
              <w:t>8 to 15</w:t>
            </w:r>
            <w:r>
              <w:rPr/>
              <w:t xml:space="preserve"> / </w:t>
            </w:r>
            <w:r>
              <w:rPr>
                <w:rStyle w:val="SourceText"/>
              </w:rPr>
              <w:t>Over 15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Current role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Developer</w:t>
            </w:r>
            <w:r>
              <w:rPr/>
              <w:t xml:space="preserve"> / </w:t>
            </w:r>
            <w:r>
              <w:rPr>
                <w:rStyle w:val="SourceText"/>
              </w:rPr>
              <w:t>Tester or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Engineering manager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  <w:r>
              <w:rPr/>
              <w:t xml:space="preserve"> / </w:t>
            </w:r>
            <w:r>
              <w:rPr>
                <w:rStyle w:val="SourceText"/>
              </w:rPr>
              <w:t>Other</w:t>
            </w:r>
            <w:r>
              <w:rPr/>
              <w:t xml:space="preserve"> (use the built-in "Other" option)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How often do you use AI coding assistants?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Never</w:t>
            </w:r>
            <w:r>
              <w:rPr/>
              <w:t xml:space="preserve"> / </w:t>
            </w:r>
            <w:r>
              <w:rPr>
                <w:rStyle w:val="SourceText"/>
              </w:rPr>
              <w:t>Tried once or twice</w:t>
            </w:r>
            <w:r>
              <w:rPr/>
              <w:t xml:space="preserve"> / </w:t>
            </w:r>
            <w:r>
              <w:rPr>
                <w:rStyle w:val="SourceText"/>
              </w:rPr>
              <w:t>Monthly</w:t>
            </w:r>
            <w:r>
              <w:rPr/>
              <w:t xml:space="preserve"> / </w:t>
            </w:r>
            <w:r>
              <w:rPr>
                <w:rStyle w:val="SourceText"/>
              </w:rPr>
              <w:t>Weekly</w:t>
            </w:r>
            <w:r>
              <w:rPr/>
              <w:t xml:space="preserve"> / </w:t>
            </w:r>
            <w:r>
              <w:rPr>
                <w:rStyle w:val="SourceText"/>
              </w:rPr>
              <w:t>Daily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Gherkin or BDD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Have seen it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the project management tool used today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Some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Preferred language for this session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eading2"/>
        <w:bidi w:val="0"/>
        <w:jc w:val="left"/>
        <w:rPr/>
      </w:pPr>
      <w:r>
        <w:rPr/>
        <w:t>F0-PT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Estudo Apex - consentimento e sobre si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the PT consent text from </w:t>
      </w:r>
      <w:r>
        <w:rPr>
          <w:rStyle w:val="SourceText"/>
        </w:rPr>
        <w:t>consent-and-briefing.md</w:t>
      </w:r>
      <w:r>
        <w:rPr/>
        <w:t>, from</w:t>
        <w:br/>
      </w:r>
      <w:r>
        <w:rPr>
          <w:rStyle w:val="SourceText"/>
        </w:rPr>
        <w:t>Estudo:</w:t>
      </w:r>
      <w:r>
        <w:rPr/>
        <w:t xml:space="preserve"> to the end of the </w:t>
      </w:r>
      <w:r>
        <w:rPr>
          <w:rStyle w:val="SourceText"/>
        </w:rPr>
        <w:t>Riscos.</w:t>
      </w:r>
      <w:r>
        <w:rPr/>
        <w:t xml:space="preserve"> paragraph.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4"/>
        <w:gridCol w:w="946"/>
        <w:gridCol w:w="3008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 (impresso no cartão)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 e compreendi a informação acima e aceito participar.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em participar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Autorizações opcionais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na utilização de citações anonimizadas na dissertação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Aceito ser contactado para uma entrevista de seguimento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Consinto na gravação de ecrã e áudio da sessão</w:t>
            </w:r>
            <w:r>
              <w:rPr/>
              <w:t xml:space="preserve"> - </w:t>
            </w:r>
            <w:r>
              <w:rPr>
                <w:rStyle w:val="StrongEmphasis"/>
              </w:rPr>
              <w:t>apenas braço moderado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Section 2 title: </w:t>
      </w:r>
      <w:r>
        <w:rPr>
          <w:rStyle w:val="SourceText"/>
        </w:rPr>
        <w:t>Sobre si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2539"/>
        <w:gridCol w:w="2504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Anos de experiência profissional em desenvolvimento de software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Menos de 1</w:t>
            </w:r>
            <w:r>
              <w:rPr/>
              <w:t xml:space="preserve"> / </w:t>
            </w:r>
            <w:r>
              <w:rPr>
                <w:rStyle w:val="SourceText"/>
              </w:rPr>
              <w:t>1 a 3</w:t>
            </w:r>
            <w:r>
              <w:rPr/>
              <w:t xml:space="preserve"> / </w:t>
            </w:r>
            <w:r>
              <w:rPr>
                <w:rStyle w:val="SourceText"/>
              </w:rPr>
              <w:t>4 a 7</w:t>
            </w:r>
            <w:r>
              <w:rPr/>
              <w:t xml:space="preserve"> / </w:t>
            </w:r>
            <w:r>
              <w:rPr>
                <w:rStyle w:val="SourceText"/>
              </w:rPr>
              <w:t>8 a 15</w:t>
            </w:r>
            <w:r>
              <w:rPr/>
              <w:t xml:space="preserve"> / </w:t>
            </w:r>
            <w:r>
              <w:rPr>
                <w:rStyle w:val="SourceText"/>
              </w:rPr>
              <w:t>Mais de 15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Função actual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Programador</w:t>
            </w:r>
            <w:r>
              <w:rPr/>
              <w:t xml:space="preserve"> / </w:t>
            </w:r>
            <w:r>
              <w:rPr>
                <w:rStyle w:val="SourceText"/>
              </w:rPr>
              <w:t>Tester ou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Gestor de engenharia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  <w:r>
              <w:rPr/>
              <w:t xml:space="preserve"> / </w:t>
            </w:r>
            <w:r>
              <w:rPr>
                <w:rStyle w:val="SourceText"/>
              </w:rPr>
              <w:t>Outra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Com que frequência utiliza assistentes de programação com IA?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Nunca</w:t>
            </w:r>
            <w:r>
              <w:rPr/>
              <w:t xml:space="preserve"> / </w:t>
            </w:r>
            <w:r>
              <w:rPr>
                <w:rStyle w:val="SourceText"/>
              </w:rPr>
              <w:t>Experimentei uma ou duas vezes</w:t>
            </w:r>
            <w:r>
              <w:rPr/>
              <w:t xml:space="preserve"> / </w:t>
            </w:r>
            <w:r>
              <w:rPr>
                <w:rStyle w:val="SourceText"/>
              </w:rPr>
              <w:t>Mensalmente</w:t>
            </w:r>
            <w:r>
              <w:rPr/>
              <w:t xml:space="preserve"> / </w:t>
            </w:r>
            <w:r>
              <w:rPr>
                <w:rStyle w:val="SourceText"/>
              </w:rPr>
              <w:t>Semanalmente</w:t>
            </w:r>
            <w:r>
              <w:rPr/>
              <w:t xml:space="preserve"> / </w:t>
            </w:r>
            <w:r>
              <w:rPr>
                <w:rStyle w:val="SourceText"/>
              </w:rPr>
              <w:t>Diariamente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Gherkin ou BDD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Já vi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a ferramenta de gestão de projecto utilizada hoje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Alguma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Língua preferida para esta sessão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form that must be right.</w:t>
      </w:r>
      <w:r>
        <w:rPr/>
        <w:t xml:space="preserve"> Six submissions per participant. If Q2 is wrong</w:t>
        <w:br/>
        <w:t>or missing, the six-by-six matrix cannot be reassembled and the whole per-task</w:t>
        <w:br/>
        <w:t>design is wasted.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 item order: </w:t>
      </w:r>
      <w:r>
        <w:rPr>
          <w:rStyle w:val="StrongEmphasis"/>
        </w:rPr>
        <w:t>Performance is last, not fourth.</w:t>
      </w:r>
      <w:r>
        <w:rPr/>
        <w:t xml:space="preserve"> This is deliberate, so</w:t>
        <w:br/>
        <w:t>the reversed anchors are not met mid-flow. Record the reordering in Chapter 9</w:t>
        <w:br/>
        <w:t>alongside the scale deviation; it changes nothing in the scoring, but it is a</w:t>
        <w:br/>
        <w:t>departure from the published order and should be stated rather than discovered.</w:t>
      </w:r>
    </w:p>
    <w:p>
      <w:pPr>
        <w:pStyle w:val="Heading2"/>
        <w:bidi w:val="0"/>
        <w:jc w:val="left"/>
        <w:rPr/>
      </w:pPr>
      <w:r>
        <w:rPr/>
        <w:t>F1-EN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workload after each task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We are interested in the workload you experienced during the task you have just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completed. Please rate each of the six aspects below. Read each description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before answering.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Note that the scale for Performance runs in the opposite direction to the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others.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1092"/>
        <w:gridCol w:w="946"/>
        <w:gridCol w:w="3050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Which task are you answering about?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Mental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Physical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Temporal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Effort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Frustration Level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Performance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Anything you want to say about this task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6 only: name the task you think must be done first, and say why in one sentence.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8 only: describe in your own words what happened when you tried to deploy.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Q10 and Q11 stay as plain optional questions on every submission. Conditional</w:t>
        <w:br/>
        <w:t>section logic in Google Forms is fragile and a misconfiguration is silent.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options, exactly these six, in this order: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3 - Turn a requirement into locked scenarios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4 - Produce and lock the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6 - Break the work into implementation tasks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7 - Test plan and QA sign-off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8 - Deploy a different feature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Task 9 -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Scale endpoint labels:</w:t>
      </w:r>
    </w:p>
    <w:tbl>
      <w:tblPr>
        <w:tblW w:w="466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6"/>
        <w:gridCol w:w="1246"/>
        <w:gridCol w:w="1546"/>
      </w:tblGrid>
      <w:tr>
        <w:trPr>
          <w:tblHeader w:val="true"/>
        </w:trPr>
        <w:tc>
          <w:tcPr>
            <w:tcW w:w="18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Left label (0)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Right label (10)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Mental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Physical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Temporal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Effort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Frustration Level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 Performance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Perfect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Failure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 under each scale question, verbatim.</w:t>
      </w:r>
      <w:r>
        <w:rPr/>
        <w:t xml:space="preserve"> Nobody is present to explain</w:t>
        <w:br/>
        <w:t>these, so none of them may be left blank.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Q3 Mental Demand:</w:t>
        <w:br/>
      </w:r>
      <w:r>
        <w:rPr>
          <w:rStyle w:val="SourceText"/>
        </w:rPr>
        <w:t>How much mental and perceptual activity was required? Was it easy or demanding, simple or complex, forgiving or exacting?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Q4 Physical Demand:</w:t>
        <w:br/>
      </w:r>
      <w:r>
        <w:rPr>
          <w:rStyle w:val="SourceText"/>
        </w:rPr>
        <w:t>How much physical activity was required? Was the task easy or demanding, slow or brisk, restful or laborious?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Q5 Temporal Demand:</w:t>
        <w:br/>
      </w:r>
      <w:r>
        <w:rPr>
          <w:rStyle w:val="SourceText"/>
        </w:rPr>
        <w:t>How much time pressure did you feel due to the rate or pace at which the task occurred? Was the pace slow and leisurely or rapid and frantic?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Q6 Effort:</w:t>
        <w:br/>
      </w:r>
      <w:r>
        <w:rPr>
          <w:rStyle w:val="SourceText"/>
        </w:rPr>
        <w:t>How hard did you have to work, mentally and physically, to accomplish your level of performance?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Q7 Frustration Level:</w:t>
        <w:br/>
      </w:r>
      <w:r>
        <w:rPr>
          <w:rStyle w:val="SourceText"/>
        </w:rPr>
        <w:t>How insecure, discouraged, irritated, stressed and annoyed, versus secure, gratified, content and relaxed, did you feel during this task?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Q8 Performance:</w:t>
        <w:br/>
      </w:r>
      <w:r>
        <w:rPr>
          <w:rStyle w:val="SourceText"/>
        </w:rPr>
        <w:t>How successful do you think you were in accomplishing the goals of this task? How satisfied were you with your performance? NOTE: this scale is reversed. 0 means Perfect and 10 means Failure. Good performance is the LEFT end.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F1-PT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carga de trabalho após cada tarefa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Interessa-nos a carga de trabalho que sentiu durante a tarefa que acabou 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realizar. Classifique cada um dos seis aspectos abaixo. Leia cada descrição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antes de responder.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Note que a escala do Desempenho corre no sentido inverso das restantes.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5088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 que tarefa se refere esta resposta?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Mental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Física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Temporal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Esforço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Nível de Frustração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Desempenho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Algo que queira dizer sobre esta tarefa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6: indique a tarefa que acha que tem de ser feita primeiro e diga porquê numa frase.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8: descreva por palavras suas o que aconteceu quando tentou colocar em produção.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3 - Transformar um requisito em cenários bloqueados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4 - Produzir e bloquear o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6 - Dividir o trabalho em tarefas de implementação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7 - Plano de testes e aprovação de QA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8 - Colocar em produção uma funcionalidade diferente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Tarefa 9 -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Endpoint labels:</w:t>
      </w:r>
      <w:r>
        <w:rPr/>
        <w:t xml:space="preserve"> </w:t>
      </w:r>
      <w:r>
        <w:rPr>
          <w:rStyle w:val="SourceText"/>
        </w:rPr>
        <w:t>Muito baixa</w:t>
      </w:r>
      <w:r>
        <w:rPr/>
        <w:t xml:space="preserve"> / </w:t>
      </w:r>
      <w:r>
        <w:rPr>
          <w:rStyle w:val="SourceText"/>
        </w:rPr>
        <w:t>Muito alta</w:t>
      </w:r>
      <w:r>
        <w:rPr/>
        <w:t xml:space="preserve"> for Q3 to Q5,</w:t>
        <w:br/>
      </w:r>
      <w:r>
        <w:rPr>
          <w:rStyle w:val="SourceText"/>
        </w:rPr>
        <w:t>Muito baixo</w:t>
      </w:r>
      <w:r>
        <w:rPr/>
        <w:t xml:space="preserve"> / </w:t>
      </w:r>
      <w:r>
        <w:rPr>
          <w:rStyle w:val="SourceText"/>
        </w:rPr>
        <w:t>Muito alto</w:t>
      </w:r>
      <w:r>
        <w:rPr/>
        <w:t xml:space="preserve"> for Q6 and Q7, and </w:t>
      </w:r>
      <w:r>
        <w:rPr>
          <w:rStyle w:val="SourceText"/>
        </w:rPr>
        <w:t>Perfeito</w:t>
      </w:r>
      <w:r>
        <w:rPr/>
        <w:t xml:space="preserve"> / </w:t>
      </w:r>
      <w:r>
        <w:rPr>
          <w:rStyle w:val="SourceText"/>
        </w:rPr>
        <w:t>Fracasso</w:t>
      </w:r>
      <w:r>
        <w:rPr/>
        <w:t xml:space="preserve"> for Q8.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Q3: </w:t>
      </w:r>
      <w:r>
        <w:rPr>
          <w:rStyle w:val="SourceText"/>
        </w:rPr>
        <w:t>Quanta actividade mental e perceptiva foi necessária? A tarefa foi fácil ou exigente, simples ou complexa, tolerante ou rigorosa?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Q4: </w:t>
      </w:r>
      <w:r>
        <w:rPr>
          <w:rStyle w:val="SourceText"/>
        </w:rPr>
        <w:t>Quanta actividade física foi necessária? A tarefa foi fácil ou exigente, lenta ou rápida, repousante ou trabalhosa?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Q5: </w:t>
      </w:r>
      <w:r>
        <w:rPr>
          <w:rStyle w:val="SourceText"/>
        </w:rPr>
        <w:t>Quanta pressão de tempo sentiu devido ao ritmo a que a tarefa decorreu? O ritmo foi lento e tranquilo ou rápido e frenético?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Q6: </w:t>
      </w:r>
      <w:r>
        <w:rPr>
          <w:rStyle w:val="SourceText"/>
        </w:rPr>
        <w:t>Quanto teve de trabalhar, mental e fisicamente, para alcançar o seu nível de desempenho?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Q7: </w:t>
      </w:r>
      <w:r>
        <w:rPr>
          <w:rStyle w:val="SourceText"/>
        </w:rPr>
        <w:t>Quão inseguro, desencorajado, irritado, tenso e incomodado, por oposição a seguro, satisfeito, contente e tranquilo, se sentiu durante esta tarefa?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Q8: </w:t>
      </w:r>
      <w:r>
        <w:rPr>
          <w:rStyle w:val="SourceText"/>
        </w:rPr>
        <w:t>Em que medida acha que teve sucesso em atingir os objectivos desta tarefa? Quão satisfeito ficou com o seu desempenho? ATENÇÃO: esta escala está invertida. 0 significa Perfeito e 10 significa Fracasso. O bom desempenho está na extremidade ESQUERDA.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The six prefilled links</w:t>
      </w:r>
    </w:p>
    <w:p>
      <w:pPr>
        <w:pStyle w:val="TextBody"/>
        <w:bidi w:val="0"/>
        <w:spacing w:before="0" w:after="283"/>
        <w:jc w:val="left"/>
        <w:rPr/>
      </w:pPr>
      <w:r>
        <w:rPr/>
        <w:t>Do this once F1 is finished and never edit F1 afterwards - editing can</w:t>
        <w:br/>
        <w:t>invalidate the entry IDs baked into the URLs.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Three-dot menu, </w:t>
      </w:r>
      <w:r>
        <w:rPr>
          <w:rStyle w:val="StrongEmphasis"/>
        </w:rPr>
        <w:t>Get pre-filled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 Q2 to </w:t>
      </w:r>
      <w:r>
        <w:rPr>
          <w:rStyle w:val="SourceText"/>
        </w:rPr>
        <w:t>Task 3 - Turn a requirement into locked scenarios</w:t>
      </w:r>
      <w:r>
        <w:rPr/>
        <w:t>. Leave every</w:t>
        <w:br/>
        <w:t xml:space="preserve">other field empty.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Get link</w:t>
      </w:r>
      <w:r>
        <w:rPr/>
        <w:t xml:space="preserve">, then </w:t>
      </w:r>
      <w:r>
        <w:rPr>
          <w:rStyle w:val="StrongEmphasis"/>
        </w:rPr>
        <w:t>Copy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Repeat for tasks 4, 6, 7, 8 and 9.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Paste each into the matching slot in </w:t>
      </w:r>
      <w:r>
        <w:rPr>
          <w:rStyle w:val="SourceText"/>
        </w:rPr>
        <w:t>task-script.md</w:t>
      </w:r>
      <w:r>
        <w:rPr/>
        <w:t xml:space="preserve">: </w:t>
      </w:r>
      <w:r>
        <w:rPr>
          <w:rStyle w:val="SourceText"/>
        </w:rPr>
        <w:t>&lt;TLX LINK T3&gt;</w:t>
      </w:r>
      <w:r>
        <w:rPr/>
        <w:t>,</w:t>
        <w:br/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 xml:space="preserve">, </w:t>
      </w:r>
      <w:r>
        <w:rPr>
          <w:rStyle w:val="SourceText"/>
        </w:rPr>
        <w:t>&lt;TLX LINK T8&gt;</w:t>
      </w:r>
      <w:r>
        <w:rPr/>
        <w:t>,</w:t>
        <w:br/>
      </w:r>
      <w:r>
        <w:rPr>
          <w:rStyle w:val="SourceText"/>
        </w:rPr>
        <w:t>&lt;TLX LINK T9&gt;</w:t>
      </w:r>
      <w:r>
        <w:rPr/>
        <w:t xml:space="preserve">. Each appears </w:t>
      </w:r>
      <w:r>
        <w:rPr>
          <w:rStyle w:val="StrongEmphasis"/>
        </w:rPr>
        <w:t>twice</w:t>
      </w:r>
      <w:r>
        <w:rPr/>
        <w:t xml:space="preserve"> per language - once in the form-links</w:t>
        <w:br/>
        <w:t>table under "Before You Begin" and once in the stop instruction at the end of</w:t>
        <w:br/>
        <w:t xml:space="preserve">that task - so both copies must be replaced.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Repeat all six for F1-PT, against the PT half of the script. </w:t>
      </w:r>
    </w:p>
    <w:p>
      <w:pPr>
        <w:pStyle w:val="TextBody"/>
        <w:bidi w:val="0"/>
        <w:jc w:val="left"/>
        <w:rPr/>
      </w:pPr>
      <w:r>
        <w:rPr/>
        <w:t>Twelve links in total, twenty-four substitutions. Open each one and confirm the</w:t>
        <w:br/>
        <w:t>task field arrives pre-selected before you export the script to PDF.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Do not paste the same bare form link into all six slots.</w:t>
      </w:r>
      <w:r>
        <w:rPr/>
        <w:t xml:space="preserve"> That re-creates the</w:t>
        <w:br/>
        <w:t>exact failure the prefilled links exist to prevent: the participant picks the</w:t>
        <w:br/>
        <w:t>wrong task, or none, and their six rows cannot be reassembled into the workload</w:t>
        <w:br/>
        <w:t>matrix.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the published order, five-point scale. </w:t>
      </w:r>
      <w:r>
        <w:rPr>
          <w:rStyle w:val="StrongEmphasis"/>
        </w:rPr>
        <w:t>Do not reword, reorder,</w:t>
        <w:br/>
        <w:t>add or drop any item</w:t>
      </w:r>
      <w:r>
        <w:rPr/>
        <w:t xml:space="preserve"> - the comparability to the published corpus is the entire</w:t>
        <w:br/>
        <w:t>reason for using SUS.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Same endpoint labels on all ten items.</w:t>
      </w:r>
      <w:r>
        <w:rPr/>
        <w:t xml:space="preserve"> Alternating them to "match" the</w:t>
        <w:br/>
        <w:t>negative items is the classic fatal build error: the scoring formula already</w:t>
        <w:br/>
        <w:t>handles the polarity reversal, so alternating labels double-reverses half the</w:t>
        <w:br/>
        <w:t>items and silently corrupts the score.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Use </w:t>
      </w:r>
      <w:r>
        <w:rPr>
          <w:rStyle w:val="StrongEmphasis"/>
        </w:rPr>
        <w:t>Linear scale 1 to 5</w:t>
      </w:r>
      <w:r>
        <w:rPr/>
        <w:t>, not multiple choice. There is no N/A on SUS.</w:t>
      </w:r>
    </w:p>
    <w:p>
      <w:pPr>
        <w:pStyle w:val="Heading2"/>
        <w:bidi w:val="0"/>
        <w:jc w:val="left"/>
        <w:rPr/>
      </w:pPr>
      <w:r>
        <w:rPr/>
        <w:t>F2-EN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System Usability Scale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Please answer each statement about Apex, the tool you have just used, by marking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one box. There are no right answers. Record your immediate reaction rather than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thinking for a long time about each one. If you feel you cannot answer an item,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all required, left label </w:t>
      </w:r>
      <w:r>
        <w:rPr>
          <w:rStyle w:val="SourceText"/>
        </w:rPr>
        <w:t>Strongly disagree</w:t>
      </w:r>
      <w:r>
        <w:rPr/>
        <w:t>,</w:t>
        <w:br/>
        <w:t xml:space="preserve">right label </w:t>
      </w:r>
      <w:r>
        <w:rPr>
          <w:rStyle w:val="SourceText"/>
        </w:rPr>
        <w:t>Strongly agree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I think that I would like to use Apex frequently.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I found Apex unnecessarily complex.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I thought Apex was easy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I think that I would need the support of a technical person to be able to use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I found the various functions in Apex were well integrated.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I thought there was too much inconsistency in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I would imagine that most people would learn to use Apex very quickly.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I found Apex very cumbersome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I felt very confident using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I needed to learn a lot of things before I could get going with Apex.</w:t>
      </w:r>
    </w:p>
    <w:p>
      <w:pPr>
        <w:pStyle w:val="TextBody"/>
        <w:bidi w:val="0"/>
        <w:spacing w:before="0" w:after="283"/>
        <w:jc w:val="left"/>
        <w:rPr/>
      </w:pPr>
      <w:r>
        <w:rPr/>
        <w:t>Strip the leading numbers when pasting; Google Forms numbers them itself.</w:t>
      </w:r>
    </w:p>
    <w:p>
      <w:pPr>
        <w:pStyle w:val="Heading2"/>
        <w:bidi w:val="0"/>
        <w:jc w:val="left"/>
        <w:rPr/>
      </w:pPr>
      <w:r>
        <w:rPr/>
        <w:t>F2-PT</w:t>
      </w:r>
    </w:p>
    <w:p>
      <w:pPr>
        <w:pStyle w:val="TextBody"/>
        <w:bidi w:val="0"/>
        <w:spacing w:before="0" w:after="283"/>
        <w:jc w:val="left"/>
        <w:rPr/>
      </w:pPr>
      <w:r>
        <w:rPr/>
        <w:t>Validated European Portuguese version, Martins et al. (2015), with the single</w:t>
        <w:br/>
        <w:t xml:space="preserve">permitted change: the referent </w:t>
      </w:r>
      <w:r>
        <w:rPr>
          <w:rStyle w:val="SourceText"/>
        </w:rPr>
        <w:t>este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Escala de Usabilidade do Sistema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Responda a cada afirmação sobre o Apex, a ferramenta que acabou de utilizar,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marcando uma opção. Não há respostas certas. Registe a sua reacção imediata em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vez de pensar muito tempo em cada uma. Se sentir que não consegue responder,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marque o ponto central.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left </w:t>
      </w:r>
      <w:r>
        <w:rPr>
          <w:rStyle w:val="SourceText"/>
        </w:rPr>
        <w:t>Discordo totalmente</w:t>
      </w:r>
      <w:r>
        <w:rPr/>
        <w:t>, right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Acho que gostaria de utilizar o Apex com frequência.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Considerei o Apex mais complexo do que necessário.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Achei o Apex fácil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Acho que necessitaria de ajuda de um técnico para conseguir utilizar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Considerei que as várias funcionalidades do Apex estavam bem integradas.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Achei que o Apex tinha muitas inconsistências.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Suponho que a maioria das pessoas aprenderia a utilizar rapidamente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Considerei o Apex muito complicado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Senti-me muito confiante a utilizar o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Tive que aprender muito antes de conseguir lidar com o Apex.</w:t>
      </w:r>
    </w:p>
    <w:p>
      <w:pPr>
        <w:pStyle w:val="TextBody"/>
        <w:bidi w:val="0"/>
        <w:spacing w:before="0" w:after="283"/>
        <w:jc w:val="left"/>
        <w:rPr/>
      </w:pPr>
      <w:r>
        <w:rPr/>
        <w:t>The anchors are the conventional Portuguese wording, not Martins et al.'s - the</w:t>
        <w:br/>
        <w:t>paper does not print anchor labels. Chapter 9 says so rather than implying they</w:t>
        <w:br/>
        <w:t>came from the validation.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F3 - Apex UX</w:t>
      </w:r>
    </w:p>
    <w:p>
      <w:pPr>
        <w:pStyle w:val="TextBody"/>
        <w:bidi w:val="0"/>
        <w:spacing w:before="0" w:after="283"/>
        <w:jc w:val="left"/>
        <w:rPr/>
      </w:pPr>
      <w:r>
        <w:rPr/>
        <w:t>Eighteen closed items in five sections, then three open questions.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 with six options, not Linear scale.</w:t>
      </w:r>
      <w:r>
        <w:rPr/>
        <w:t xml:space="preserve"> A linear scale</w:t>
        <w:br/>
        <w:t>cannot carry an N/A option, and several items refer to surfaces a participant may</w:t>
        <w:br/>
        <w:t>never have opened. Forcing a centre point there manufactures data.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 options, identical on all eighteen items: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EN: </w:t>
      </w:r>
      <w:r>
        <w:rPr>
          <w:rStyle w:val="SourceText"/>
        </w:rPr>
        <w:t>1 Strongly disagree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Strongly agree</w:t>
      </w:r>
      <w:r>
        <w:rPr/>
        <w:t xml:space="preserve"> /</w:t>
        <w:br/>
      </w:r>
      <w:r>
        <w:rPr>
          <w:rStyle w:val="SourceText"/>
        </w:rPr>
        <w:t>N/A - did not use this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PT: </w:t>
      </w:r>
      <w:r>
        <w:rPr>
          <w:rStyle w:val="SourceText"/>
        </w:rPr>
        <w:t>1 Discordo totalmente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Concordo totalmente</w:t>
      </w:r>
      <w:r>
        <w:rPr/>
        <w:t xml:space="preserve"> /</w:t>
        <w:br/>
      </w:r>
      <w:r>
        <w:rPr>
          <w:rStyle w:val="SourceText"/>
        </w:rPr>
        <w:t>N/A - não utilizei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Build one item, then use </w:t>
      </w:r>
      <w:r>
        <w:rPr>
          <w:rStyle w:val="StrongEmphasis"/>
        </w:rPr>
        <w:t>Duplicate</w:t>
      </w:r>
      <w:r>
        <w:rPr/>
        <w:t xml:space="preserve"> seventeen times and edit only the question</w:t>
        <w:br/>
        <w:t>text. Retyping the options eighteen times is how one of them ends up different.</w:t>
      </w:r>
    </w:p>
    <w:p>
      <w:pPr>
        <w:pStyle w:val="Heading2"/>
        <w:bidi w:val="0"/>
        <w:jc w:val="left"/>
        <w:rPr/>
      </w:pPr>
      <w:r>
        <w:rPr/>
        <w:t>F3-EN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your experience of the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These questions are about the tool itself. Answer for what you actually did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today. If a question refers to something you never used, choose N/A rather than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guessing.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A - Knowing where you are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At any moment, I knew which phase of the process I was in.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I understood what the tool expected me to do next.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I could tell the difference between work the tool had finished and work it had not.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When the tool refused to let me continue, I understood why.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B - Working with AI-generated content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I could tell which parts of the content were generated by AI and which were mine.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Reviewing the AI's output took less effort than writing it myself would have.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I felt able to reject or change the AI's output when I disagreed with it.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I trusted the generated content enough to use it in a real project.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I could see what information the AI had been given as a basis for its output.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C - Control and reversibility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I felt in control of what the tool did on my behalf.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I was confident I could undo or redo a step if I made a mistake.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I understood the consequences of locking a phase before I did it.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Waiting for the AI to finish was acceptable.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D - Feedback and errors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When something went wrong, the tool told me clearly what had happened.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The messages the tool showed me told me what to do next, not only what failed.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E - Fit to real work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The artefacts the tool produced are ones my team would actually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The process the tool imposes fits the way my team works.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The effort of following the process is worth what it produces.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F - In your own words.</w:t>
      </w:r>
      <w:r>
        <w:rPr/>
        <w:t xml:space="preserve"> Three Paragraph questions, all required.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What was the single most confusing thing about using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Was there a point where you did not trust what the tool had produced? What made you doubt it?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If you could change one thing about the interface, what would it be?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Strip the </w:t>
      </w:r>
      <w:r>
        <w:rPr>
          <w:rStyle w:val="SourceText"/>
        </w:rPr>
        <w:t>A1</w:t>
      </w:r>
      <w:r>
        <w:rPr/>
        <w:t xml:space="preserve">, </w:t>
      </w:r>
      <w:r>
        <w:rPr>
          <w:rStyle w:val="SourceText"/>
        </w:rPr>
        <w:t>B2</w:t>
      </w:r>
      <w:r>
        <w:rPr/>
        <w:t xml:space="preserve"> prefixes when pasting - keep them only in the response</w:t>
        <w:br/>
        <w:t>spreadsheet's short-name header row, so the analysis can address items by code.</w:t>
      </w:r>
    </w:p>
    <w:p>
      <w:pPr>
        <w:pStyle w:val="Heading2"/>
        <w:bidi w:val="0"/>
        <w:jc w:val="left"/>
        <w:rPr/>
      </w:pPr>
      <w:r>
        <w:rPr/>
        <w:t>F3-PT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a sua experiência com a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Estas perguntas são sobre a ferramenta em si. Responda em relação ao que fez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hoje. Se uma pergunta se referir a algo que nunca utilizou, escolha N/A em vez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 adivinhar.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A - Perceber onde se está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Em qualquer momento, soube em que fase do processo estava.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Percebi o que a ferramenta esperava que eu fizesse a seguir.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Consegui distinguir o trabalho que a ferramenta tinha concluído daquele que não tinha.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Quando a ferramenta me impediu de continuar, percebi porquê.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B - Trabalhar com conteúdo gerado por IA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Consegui distinguir que partes do conteúdo foram geradas por IA e quais eram minhas.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Rever o resultado da IA exigiu menos esforço do que escrevê-lo eu próprio.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Senti que podia rejeitar ou alterar o resultado da IA quando discordava.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Confiei no conteúdo gerado o suficiente para o usar num projecto real.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Consegui ver que informação tinha sido dada à IA como base para o resultado.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C - Controlo e reversibilidade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Senti-me no controlo do que a ferramenta fazia em meu nome.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Senti confiança em conseguir desfazer ou repetir um passo se cometesse um erro.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Percebi as consequências de bloquear uma fase antes de o fazer.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O tempo de espera pela IA foi aceitável.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D - Feedback e erros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Quando algo correu mal, a ferramenta disse-me claramente o que tinha acontecido.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As mensagens que a ferramenta mostrou diziam-me o que fazer a seguir, e não apenas o que falhou.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E - Adequação ao trabalho real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Os artefactos produzidos pela ferramenta são artefactos que a minha equipa usaria de facto.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O processo que a ferramenta impõe encaixa na forma como a minha equipa trabalha.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O esforço de seguir o processo compensa aquilo que produz.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F - Por palavras suas.</w:t>
      </w:r>
      <w:r>
        <w:rPr/>
        <w:t xml:space="preserve"> Três perguntas de parágrafo, obrigatórias.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Qual foi a coisa mais confusa em utilizar o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Houve algum momento em que não confiou naquilo que a ferramenta produziu? O que o levou a duvidar?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Se pudesse mudar uma coisa na interface, o que mudaria?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Acceptance check before the pilot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all of this yourself, in one sitting, with a throwaway code like </w:t>
      </w:r>
      <w:r>
        <w:rPr>
          <w:rStyle w:val="SourceText"/>
        </w:rPr>
        <w:t>TEST1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 form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Submit each of the eight forms once. F1 six times, once per task option.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Collect email addresses is OFF on all eight. Check it, do not assume it.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Every required field is actually marked required, and every optional one is</w:t>
        <w:br/>
        <w:t xml:space="preserve">not. A required Q10 on F1 blocks five of the six submissions.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F2: all ten items read </w:t>
      </w:r>
      <w:r>
        <w:rPr>
          <w:rStyle w:val="SourceText"/>
        </w:rPr>
        <w:t>Strongly disagree</w:t>
      </w:r>
      <w:r>
        <w:rPr/>
        <w:t xml:space="preserve"> on the left. Scroll the live</w:t>
        <w:br/>
        <w:t xml:space="preserve">form and check every one; this is the error that silently ruins the score.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Q8 Performance reads </w:t>
      </w:r>
      <w:r>
        <w:rPr>
          <w:rStyle w:val="SourceText"/>
        </w:rPr>
        <w:t>Perfect</w:t>
      </w:r>
      <w:r>
        <w:rPr/>
        <w:t xml:space="preserve"> on the left and </w:t>
      </w:r>
      <w:r>
        <w:rPr>
          <w:rStyle w:val="SourceText"/>
        </w:rPr>
        <w:t>Failure</w:t>
      </w:r>
      <w:r>
        <w:rPr/>
        <w:t xml:space="preserve"> on the right,</w:t>
        <w:br/>
        <w:t xml:space="preserve">and its help text says the scale is reversed.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F3: all eighteen items offer the N/A option.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Per response sheet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Open the spreadsheet. Every form has its own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The participant code column is present and first on every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produced six rows for </w:t>
      </w:r>
      <w:r>
        <w:rPr>
          <w:rStyle w:val="SourceText"/>
        </w:rPr>
        <w:t>TEST1</w:t>
      </w:r>
      <w:r>
        <w:rPr/>
        <w:t>, each with a different, correctly spelled</w:t>
        <w:br/>
        <w:t xml:space="preserve">task label.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Add a short-name header row in a </w:t>
      </w:r>
      <w:r>
        <w:rPr>
          <w:rStyle w:val="StrongEmphasis"/>
        </w:rPr>
        <w:t>copy</w:t>
      </w:r>
      <w:r>
        <w:rPr/>
        <w:t xml:space="preserve"> of the sheet:</w:t>
        <w:br/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task</w:t>
      </w:r>
      <w:r>
        <w:rPr/>
        <w:t xml:space="preserve">, 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 xml:space="preserve">, </w:t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>,</w:t>
        <w:br/>
      </w:r>
      <w:r>
        <w:rPr>
          <w:rStyle w:val="SourceText"/>
        </w:rPr>
        <w:t>performance</w:t>
      </w:r>
      <w:r>
        <w:rPr/>
        <w:t xml:space="preserve"> for F1;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sus1</w:t>
      </w:r>
      <w:r>
        <w:rPr/>
        <w:t xml:space="preserve"> to </w:t>
      </w:r>
      <w:r>
        <w:rPr>
          <w:rStyle w:val="SourceText"/>
        </w:rPr>
        <w:t>sus10</w:t>
      </w:r>
      <w:r>
        <w:rPr/>
        <w:t xml:space="preserve"> for F2;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A1</w:t>
      </w:r>
      <w:r>
        <w:rPr/>
        <w:t xml:space="preserve"> to</w:t>
        <w:br/>
      </w:r>
      <w:r>
        <w:rPr>
          <w:rStyle w:val="SourceText"/>
        </w:rPr>
        <w:t>E3</w:t>
      </w:r>
      <w:r>
        <w:rPr/>
        <w:t xml:space="preserve"> for F3. Never edit the raw response sheet.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Score the </w:t>
      </w:r>
      <w:r>
        <w:rPr>
          <w:rStyle w:val="SourceText"/>
        </w:rPr>
        <w:t>TEST1</w:t>
      </w:r>
      <w:r>
        <w:rPr/>
        <w:t xml:space="preserve"> SUS row by hand using the formula in </w:t>
      </w:r>
      <w:r>
        <w:rPr>
          <w:rStyle w:val="SourceText"/>
        </w:rPr>
        <w:t>instrument-sus.md</w:t>
      </w:r>
      <w:r>
        <w:rPr/>
        <w:br/>
        <w:t>and confirm you get the number you expect. If the sheet cannot reproduce a</w:t>
        <w:br/>
        <w:t xml:space="preserve">score you computed by hand, the form is wrong, not the formula.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Then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Delete every </w:t>
      </w:r>
      <w:r>
        <w:rPr>
          <w:rStyle w:val="SourceText"/>
        </w:rPr>
        <w:t>TEST1</w:t>
      </w:r>
      <w:r>
        <w:rPr/>
        <w:t xml:space="preserve"> row from the raw sheets.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Paste the twelve prefilled F1 links into </w:t>
      </w:r>
      <w:r>
        <w:rPr>
          <w:rStyle w:val="SourceText"/>
        </w:rPr>
        <w:t>task-script.md</w:t>
      </w:r>
      <w:r>
        <w:rPr/>
        <w:t>, plus the F2 and</w:t>
        <w:br/>
        <w:t xml:space="preserve">F3 links, and re-export the script to PDF.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[ ] Freeze. After the pilot, no wording changes at all - a mid-study edit makes</w:t>
        <w:br/>
        <w:t xml:space="preserve">the earlier and later responses two different instruments. </w:t>
      </w:r>
    </w:p>
    <w:p>
      <w:pPr>
        <w:pStyle w:val="Heading1"/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or ninety per</w:t>
        <w:br/>
        <w:t xml:space="preserve">participant, which is not survivable in a 60-minute unmoderated session.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Weights earn their cost when workload is compared </w:t>
      </w:r>
      <w:r>
        <w:rPr>
          <w:rStyle w:val="StrongEmphasis"/>
        </w:rPr>
        <w:t>across conditions</w:t>
      </w:r>
      <w:r>
        <w:rPr/>
        <w:t>, since</w:t>
        <w:br/>
        <w:t>their purpose is to make aggregates commensurable between raters. This</w:t>
        <w:br/>
        <w:t>evaluation has a single condition, so there is nothing for them to</w:t>
        <w:br/>
        <w:t>discriminate between. They would also put each participant's aggregate on a</w:t>
        <w:br/>
        <w:t>slightly different scale, which adds variance to an N of about twelve in</w:t>
        <w:br/>
        <w:t xml:space="preserve">exchange for nothing.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literature does not favour weighting.</w:t>
      </w:r>
      <w:r>
        <w:rPr/>
        <w:t xml:space="preserve"> Reviewing 550 studies twenty</w:t>
        <w:br/>
        <w:t>years after the instrument's publication, Hart records that dropping the</w:t>
        <w:br/>
        <w:t>weighting is the most common modification made to the NASA-TLX, and that</w:t>
        <w:br/>
        <w:t>across the 29 studies directly comparing the two versions the Raw variant was</w:t>
        <w:br/>
        <w:t>found more sensitive, less sensitive, or equally sensitive depending on the</w:t>
        <w:br/>
        <w:t xml:space="preserve">study - no consistent advantage either way (Hart, 2006; </w:t>
      </w:r>
      <w:r>
        <w:rPr>
          <w:rStyle w:val="SourceText"/>
        </w:rPr>
        <w:t>Hart:2006TLX</w:t>
      </w:r>
      <w:r>
        <w:rPr/>
        <w:t>). This is the</w:t>
        <w:br/>
        <w:t>strongest of the four arguments, because it turns the decision from "the</w:t>
        <w:br/>
        <w:t>weighted version was impractical for us" into "the weighted version buys</w:t>
        <w:br/>
        <w:t xml:space="preserve">nothing reliable".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What is given up: Raw aggregates are not directly comparable to weighted</w:t>
        <w:br/>
        <w:t>aggregates published elsewhere. This costs almost nothing here, since the</w:t>
        <w:br/>
        <w:t>six-subscale profile is the primary result and the subscale scores are</w:t>
        <w:br/>
        <w:t xml:space="preserve">identical under both versions - weighting affects only how they are combined.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 xml:space="preserve">Written into Chapter 9 </w:t>
      </w:r>
      <w:r>
        <w:rPr>
          <w:rStyle w:val="SourceText"/>
        </w:rPr>
        <w:t>sec:tlx</w:t>
      </w:r>
      <w:r>
        <w:rPr>
          <w:rStyle w:val="StrongEmphasis"/>
        </w:rPr>
        <w:t xml:space="preserve"> 2026-08-12</w:t>
      </w:r>
      <w:r>
        <w:rPr/>
        <w:t>, replacing the writing prompt</w:t>
        <w:br/>
        <w:t>that used to sit there. Report it as "Raw TLX" explicitly, never as "NASA-TLX"</w:t>
        <w:br/>
        <w:t>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Done 2026-08-11: the paper was obtained and the ten items are transcribed</w:t>
        <w:br/>
        <w:t xml:space="preserve">verbatim in </w:t>
      </w:r>
      <w:r>
        <w:rPr>
          <w:rStyle w:val="SourceText"/>
        </w:rPr>
        <w:t>instrument-sus.md</w:t>
      </w:r>
      <w:r>
        <w:rPr>
          <w:rStyle w:val="StrongEmphasis"/>
        </w:rPr>
        <w:t>.</w:t>
      </w:r>
      <w:r>
        <w:rPr/>
        <w:t xml:space="preserve"> F2-PT can be built.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State the instrument's reported limits in Chapter 9 pre-emptively.</w:t>
      </w:r>
      <w:r>
        <w:rPr/>
        <w:t xml:space="preserve"> Martins</w:t>
        <w:br/>
        <w:t xml:space="preserve">et al. report construct validity (r = 0.70 vs PSSUQ) but </w:t>
      </w:r>
      <w:r>
        <w:rPr>
          <w:rStyle w:val="StrongEmphasis"/>
        </w:rPr>
        <w:t>weak inter-rater</w:t>
        <w:br/>
        <w:t>reliability, ICC = 0.36</w:t>
      </w:r>
      <w:r>
        <w:rPr/>
        <w:t>, and 76.67% agreement against their own 80%</w:t>
        <w:br/>
        <w:t>threshold. They attribute it to the alternating item polarity. Their sample</w:t>
        <w:br/>
        <w:t>was also drawn from the general community, not software practitioners. All of</w:t>
        <w:br/>
        <w:t xml:space="preserve">this is in </w:t>
      </w:r>
      <w:r>
        <w:rPr>
          <w:rStyle w:val="SourceText"/>
        </w:rPr>
        <w:t>instrument-sus.md</w:t>
      </w:r>
      <w:r>
        <w:rPr/>
        <w:t>; one sentence in the text closes the line of</w:t>
        <w:br/>
        <w:t>attack that citing a validated instrument without knowing its limits would</w:t>
        <w:br/>
        <w:t xml:space="preserve">otherwise open.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~~RQ naming.~~ </w:t>
      </w:r>
      <w:r>
        <w:rPr>
          <w:rStyle w:val="StrongEmphasis"/>
        </w:rPr>
        <w:t>CLOSED 2026-08-11.</w:t>
      </w:r>
      <w:r>
        <w:rPr/>
        <w:t xml:space="preserve"> The dissertation's own research</w:t>
        <w:br/>
        <w:t xml:space="preserve">questions were renamed </w:t>
      </w:r>
      <w:r>
        <w:rPr>
          <w:rStyle w:val="SourceText"/>
        </w:rPr>
        <w:t>RQ-A</w:t>
      </w:r>
      <w:r>
        <w:rPr/>
        <w:t>..</w:t>
      </w:r>
      <w:r>
        <w:rPr>
          <w:rStyle w:val="SourceText"/>
        </w:rPr>
        <w:t>RQ-D</w:t>
      </w:r>
      <w:r>
        <w:rPr/>
        <w:t xml:space="preserve"> to </w:t>
      </w:r>
      <w:r>
        <w:rPr>
          <w:rStyle w:val="SourceText"/>
        </w:rPr>
        <w:t>DRQ1</w:t>
      </w:r>
      <w:r>
        <w:rPr>
          <w:rStyle w:val="StrongEmphasis"/>
        </w:rPr>
        <w:t>..</w:t>
      </w:r>
      <w:r>
        <w:rPr>
          <w:rStyle w:val="SourceText"/>
        </w:rPr>
        <w:t>DRQ4</w:t>
      </w:r>
      <w:r>
        <w:rPr/>
        <w:t xml:space="preserve"> (Dissertation</w:t>
        <w:br/>
        <w:t>Research Question) across Chapters 1, 6, 7 and 9, so they no longer collide</w:t>
        <w:br/>
        <w:t xml:space="preserve">with the systematic review's </w:t>
      </w:r>
      <w:r>
        <w:rPr>
          <w:rStyle w:val="SourceText"/>
        </w:rPr>
        <w:t>RQ1</w:t>
      </w:r>
      <w:r>
        <w:rPr/>
        <w:t>-</w:t>
      </w:r>
      <w:r>
        <w:rPr>
          <w:rStyle w:val="SourceText"/>
        </w:rPr>
        <w:t>RQ5</w:t>
      </w:r>
      <w:r>
        <w:rPr/>
        <w:t xml:space="preserve">. </w:t>
      </w:r>
      <w:r>
        <w:rPr>
          <w:rStyle w:val="SourceText"/>
        </w:rPr>
        <w:t>\Cref{tab:eval_instruments}</w:t>
      </w:r>
      <w:r>
        <w:rPr/>
        <w:t xml:space="preserve"> now</w:t>
        <w:br/>
        <w:t>maps instruments to DRQ1..DRQ4. Chapter 1 states the distinction explicitly</w:t>
        <w:br/>
        <w:t xml:space="preserve">and </w:t>
      </w:r>
      <w:r>
        <w:rPr>
          <w:rStyle w:val="SourceText"/>
        </w:rPr>
        <w:t>DRQ</w:t>
      </w:r>
      <w:r>
        <w:rPr/>
        <w:t xml:space="preserve"> is in the acronym list.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CLOSED 2026-08-11: validated</w:t>
        <w:br/>
        <w:t>European Portuguese version (Martins et al., 2015), obtained and</w:t>
        <w:br/>
        <w:t>transcribed.</w:t>
      </w:r>
      <w:r>
        <w:rPr/>
        <w:t xml:space="preserve"> Nothing outstanding.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 and recruitment.</w:t>
      </w:r>
      <w:r>
        <w:rPr/>
        <w:t xml:space="preserve"> Whether the partner organisation can supply 12, or</w:t>
        <w:br/>
        <w:t>whether the sample gets topped up with MEIC students, which changes the</w:t>
        <w:br/>
        <w:t xml:space="preserve">external-validity claim.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Ethics approval.</w:t>
      </w:r>
      <w:r>
        <w:rPr/>
        <w:t xml:space="preserve"> Whether IST requires a formal submission for this study</w:t>
        <w:br/>
        <w:t xml:space="preserve">or whether informed consent plus anonymisation suffices. Ask the supervisor.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 xml:space="preserve">and accept losing the observational findings.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~~TLX response scale.~~ </w:t>
      </w:r>
      <w:r>
        <w:rPr>
          <w:rStyle w:val="StrongEmphasis"/>
        </w:rPr>
        <w:t>CLOSED 2026-08-12: linear scale 0 to 10, multiplied</w:t>
        <w:br/>
        <w:t>by 10 at analysis time</w:t>
      </w:r>
      <w:r>
        <w:rPr/>
        <w:t>, in place of the published 20-interval line, which</w:t>
        <w:br/>
        <w:t>Google Forms cannot render. This is a real deviation from the instrument and</w:t>
        <w:br/>
        <w:t>is disclosed in Chapter 9 in the wording drafted below. Frozen - it cannot</w:t>
        <w:br/>
        <w:t>change once the first participant has run, and a mid-study change would make</w:t>
        <w:br/>
        <w:t xml:space="preserve">the earlier and later responses two different instruments.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~~Form platform.~~ </w:t>
      </w:r>
      <w:r>
        <w:rPr>
          <w:rStyle w:val="StrongEmphasis"/>
        </w:rPr>
        <w:t>CLOSED 2026-08-12: Google Forms</w:t>
      </w:r>
      <w:r>
        <w:rPr/>
        <w:t>, which follows from</w:t>
        <w:br/>
        <w:t>decision 6. Six submissions per participant are handled by one prefilled link</w:t>
        <w:br/>
        <w:t>per task, so the participant never retypes the task name or their code by</w:t>
        <w:br/>
        <w:t xml:space="preserve">hand. Build details in </w:t>
      </w:r>
      <w:r>
        <w:rPr>
          <w:rStyle w:val="SourceText"/>
        </w:rPr>
        <w:t>FORMS-BUILD-SHEET.md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Drafted disclosure wording for Chapter 9</w:t>
      </w:r>
    </w:p>
    <w:p>
      <w:pPr>
        <w:pStyle w:val="TextBody"/>
        <w:bidi w:val="0"/>
        <w:spacing w:before="0" w:after="283"/>
        <w:jc w:val="left"/>
        <w:rPr/>
      </w:pPr>
      <w:r>
        <w:rPr/>
        <w:t>Two deviations from the published instrument, disclosed together in</w:t>
        <w:br/>
      </w:r>
      <w:r>
        <w:rPr>
          <w:rStyle w:val="SourceText"/>
        </w:rPr>
        <w:t>\Cref{sec:tlx}</w:t>
      </w:r>
      <w:r>
        <w:rPr/>
        <w:t xml:space="preserve"> rather than one being mentioned and the other not: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Workload was collected on a linear scale from 0 to 10 rather than on the</w:t>
        <w:br/>
        <w:t>original twenty-interval line, and the responses were rescaled to the</w:t>
        <w:br/>
        <w:t>instrument's 0-100 range by multiplying by ten. The subscales were also</w:t>
        <w:br/>
        <w:t>presented in the order mental, physical and temporal demand, effort,</w:t>
        <w:br/>
        <w:t>frustration and performance, placing the reversed performance scale last</w:t>
        <w:br/>
        <w:t>rather than fourth. Neither change affects the unweighted Raw TLX</w:t>
        <w:br/>
        <w:t>computation, but the first reduces the resolution of the instrument, and the</w:t>
        <w:br/>
        <w:t>resulting values are therefore not directly comparable to studies using the</w:t>
        <w:br/>
        <w:t>original response scale.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for each, for the surrounding prose: the response scale because no</w:t>
        <w:br/>
        <w:t>form tool available for an unmoderated study reproduces a twenty-interval line,</w:t>
        <w:br/>
        <w:t>and the item order because a reversed scale met in the middle of five forward</w:t>
        <w:br/>
        <w:t>ones, with no facilitator present to explain it, is the most likely way a</w:t>
        <w:br/>
        <w:t>participant inverts a sixth of the data set.</w:t>
        <w:br/>
        <w:t xml:space="preserve">8. </w:t>
      </w: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>spend ten minutes doing the wrong thing with nobody there to notice.</w:t>
      </w:r>
    </w:p>
    <w:p>
      <w:pPr>
        <w:pStyle w:val="Heading2"/>
        <w:bidi w:val="0"/>
        <w:jc w:val="left"/>
        <w:rPr/>
      </w:pPr>
      <w:r>
        <w:rPr/>
        <w:t>7. Bibliography entries - ADDED 2026-08-11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All seven are now in </w:t>
      </w:r>
      <w:r>
        <w:rPr>
          <w:rStyle w:val="SourceText"/>
        </w:rPr>
        <w:t>Bibliography.bib</w:t>
      </w:r>
      <w:r>
        <w:rPr/>
        <w:t xml:space="preserve"> and cited from Chapter 9, and the build</w:t>
        <w:br/>
        <w:t>was reverified afterwards. Kept here as the record of what was added and where</w:t>
        <w:br/>
        <w:t>each is used. Page counts move with every chapter written, so they are recorded</w:t>
        <w:br/>
        <w:t>in the commit messages rather than here; the current build is verified at each</w:t>
        <w:br/>
        <w:t>change with 0 errors and 0 undefined references or citations.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87"/>
        <w:gridCol w:w="4032"/>
      </w:tblGrid>
      <w:tr>
        <w:trPr>
          <w:tblHeader w:val="true"/>
        </w:trPr>
        <w:tc>
          <w:tcPr>
            <w:tcW w:w="13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Key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Brooke:1996SUS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SUS instrument itself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Martins:2015SUS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validated European Portuguese version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Bangor:2009SUS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adjective rating bands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Sauro:2016QUANT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curved grading scale, small-sample reporting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Lewis:2009SUS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and Learnability sub-scales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Hart:1988TLX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NASA-TLX instrument itself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Hart:2006TLX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Raw TLX variant, and the twenty-year review finding that it has no consistent sensitivity disadvantage against the weighted version</w:t>
            </w:r>
          </w:p>
        </w:tc>
      </w:tr>
    </w:tbl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Doi = {10.1016/j.procs.2015.09.273},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{https://doi.org/10.1016/j.procs.2015.09.273},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Authors, volume, pages, year and DOI all verified against the published PDF.</w:t>
        <w:br/>
        <w:t>Note the article title capitalises "validation" lowercase in the original.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RQ naming resolved: </w:t>
      </w:r>
      <w:r>
        <w:rPr>
          <w:rStyle w:val="SourceText"/>
        </w:rPr>
        <w:t>DRQ1</w:t>
      </w:r>
      <w:r>
        <w:rPr/>
        <w:t>..</w:t>
      </w:r>
      <w:r>
        <w:rPr>
          <w:rStyle w:val="SourceText"/>
        </w:rPr>
        <w:t>DRQ4</w:t>
      </w:r>
      <w:r>
        <w:rPr/>
        <w:t xml:space="preserve">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Martins et al. obtained; the ten PT items transcribed verbatim into</w:t>
        <w:br/>
      </w:r>
      <w:r>
        <w:rPr>
          <w:rStyle w:val="SourceText"/>
        </w:rPr>
        <w:t>instrument-sus.md</w:t>
      </w:r>
      <w:r>
        <w:rPr/>
        <w:t xml:space="preserve"> and the provisional translation deleted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Bibliography entries added and the build reverified (0 errors, 0 undefined</w:t>
        <w:br/>
        <w:t xml:space="preserve">references or citations)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</w:t>
      </w:r>
      <w:r>
        <w:rPr>
          <w:rStyle w:val="SourceText"/>
        </w:rPr>
        <w:t>sec:tlx</w:t>
      </w:r>
      <w:r>
        <w:rPr/>
        <w:t xml:space="preserve"> written 2026-08-12: Raw-variant justification including Hart's</w:t>
        <w:br/>
        <w:t>review finding, both instrument deviations disclosed together, anchoring</w:t>
        <w:br/>
        <w:t xml:space="preserve">and fatigue carried into </w:t>
      </w:r>
      <w:r>
        <w:rPr>
          <w:rStyle w:val="SourceText"/>
        </w:rPr>
        <w:t>sec:threats</w:t>
      </w:r>
      <w:r>
        <w:rPr/>
        <w:t xml:space="preserve">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Sauro and Lewis curved grading scale boundaries verified 2026-08-12</w:t>
        <w:br/>
        <w:t>against two independent reproductions, one of them by a co-author of the</w:t>
        <w:br/>
        <w:t>scale. Every band confirmed; percentile ranges added. See</w:t>
        <w:br/>
      </w:r>
      <w:r>
        <w:rPr>
          <w:rStyle w:val="SourceText"/>
        </w:rPr>
        <w:t>instrument-sus.md</w:t>
      </w:r>
      <w:r>
        <w:rPr/>
        <w:t>, "Verification status of these boundaries". The book's</w:t>
        <w:br/>
        <w:t xml:space="preserve">page locator is still unverified, so cite the book without one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Supervisor sign-off on the task set and the session length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Ethics/consent route confirmed with the supervisor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TLX response scale decided 2026-08-12 - linear 0 to 10, rescaled by ten -</w:t>
        <w:br/>
        <w:t>and the disclosure wording drafted in section 6 above, covering both the</w:t>
        <w:br/>
        <w:t xml:space="preserve">scale and the reordered Performance subscale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Eight forms built - consent/demographics, TLX, SUS and UX, each in EN and</w:t>
        <w:br/>
        <w:t xml:space="preserve">PT. Every string is paste-ready in </w:t>
      </w:r>
      <w:r>
        <w:rPr>
          <w:rStyle w:val="SourceText"/>
        </w:rPr>
        <w:t>FORMS-BUILD-SHEET.md</w:t>
      </w:r>
      <w:r>
        <w:rPr/>
        <w:t>; the acceptance</w:t>
        <w:br/>
        <w:t>check at the end of that file is the test-submit procedure, and it must be</w:t>
        <w:br/>
        <w:t xml:space="preserve">run in full before the pilot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all</w:t>
        <w:br/>
        <w:t>eighteen placeholder links filled in - nine per language: the tool link,</w:t>
        <w:br/>
        <w:t xml:space="preserve">six per-task prefilled TLX links, the SUS link and the UX link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all nine placeholders per language: </w:t>
      </w:r>
      <w:r>
        <w:rPr>
          <w:rStyle w:val="SourceText"/>
        </w:rPr>
        <w:t>&lt;TOOL LINK&gt;</w:t>
      </w:r>
      <w:r>
        <w:rPr/>
        <w:t>, the six per-task</w:t>
        <w:br/>
        <w:t xml:space="preserve">links </w:t>
      </w:r>
      <w:r>
        <w:rPr>
          <w:rStyle w:val="SourceText"/>
        </w:rPr>
        <w:t>&lt;TLX LINK T3&gt;</w:t>
      </w:r>
      <w:r>
        <w:rPr/>
        <w:t xml:space="preserve">, </w:t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>,</w:t>
        <w:br/>
      </w:r>
      <w:r>
        <w:rPr>
          <w:rStyle w:val="SourceText"/>
        </w:rPr>
        <w:t>&lt;TLX LINK T8&gt;</w:t>
      </w:r>
      <w:r>
        <w:rPr/>
        <w:t xml:space="preserve">, </w:t>
      </w:r>
      <w:r>
        <w:rPr>
          <w:rStyle w:val="SourceText"/>
        </w:rPr>
        <w:t>&lt;TLX LINK T9&gt;</w:t>
      </w:r>
      <w:r>
        <w:rPr/>
        <w:t xml:space="preserve">, then </w:t>
      </w:r>
      <w:r>
        <w:rPr>
          <w:rStyle w:val="SourceText"/>
        </w:rPr>
        <w:t>&lt;SUS FORM LINK&gt;</w:t>
      </w:r>
      <w:r>
        <w:rPr/>
        <w:t xml:space="preserve"> and</w:t>
        <w:br/>
      </w:r>
      <w:r>
        <w:rPr>
          <w:rStyle w:val="SourceText"/>
        </w:rPr>
        <w:t>&lt;UX FORM LINK&gt;</w:t>
      </w:r>
      <w:r>
        <w:rPr/>
        <w:t>. Eighteen substitutions across both languages.</w:t>
        <w:br/>
        <w:t xml:space="preserve">- </w:t>
      </w:r>
      <w:r>
        <w:rPr>
          <w:rStyle w:val="StrongEmphasis"/>
        </w:rPr>
        <w:t>The six TLX links are prefilled links, not one link repeated.</w:t>
      </w:r>
      <w:r>
        <w:rPr/>
        <w:t xml:space="preserve"> Each has its</w:t>
        <w:br/>
        <w:t xml:space="preserve">task already selected, generated per </w:t>
      </w:r>
      <w:r>
        <w:rPr>
          <w:rStyle w:val="SourceText"/>
        </w:rPr>
        <w:t>FORMS-BUILD-SHEET.md</w:t>
      </w:r>
      <w:r>
        <w:rPr/>
        <w:t>. Pasting the same</w:t>
        <w:br/>
        <w:t>bare form link into all six slots re-creates exactly the failure the prefilled</w:t>
        <w:br/>
        <w:t>links exist to prevent: a participant selecting the wrong task, or none, and</w:t>
        <w:br/>
        <w:t>six rows that cannot be reassembled into the workload matrix.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Each </w:t>
      </w:r>
      <w:r>
        <w:rPr>
          <w:rStyle w:val="SourceText"/>
        </w:rPr>
        <w:t>[TLX]</w:t>
      </w:r>
      <w:r>
        <w:rPr>
          <w:rStyle w:val="StrongEmphasis"/>
        </w:rPr>
        <w:t xml:space="preserve"> task has its own link.</w:t>
      </w:r>
      <w:r>
        <w:rPr/>
        <w:t xml:space="preserve"> Use the one printed in that task, not</w:t>
        <w:br/>
        <w:t>the one above or below it - each link already knows which task it belongs to.</w:t>
      </w:r>
    </w:p>
    <w:tbl>
      <w:tblPr>
        <w:tblW w:w="481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6"/>
        <w:gridCol w:w="1951"/>
      </w:tblGrid>
      <w:tr>
        <w:trPr>
          <w:tblHeader w:val="true"/>
        </w:trPr>
        <w:tc>
          <w:tcPr>
            <w:tcW w:w="28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3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4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6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7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8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9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Cada tarefa </w:t>
      </w:r>
      <w:r>
        <w:rPr>
          <w:rStyle w:val="SourceText"/>
        </w:rPr>
        <w:t>[TLX]</w:t>
      </w:r>
      <w:r>
        <w:rPr>
          <w:rStyle w:val="StrongEmphasis"/>
        </w:rPr>
        <w:t xml:space="preserve"> tem a sua própria ligação.</w:t>
      </w:r>
      <w:r>
        <w:rPr/>
        <w:t xml:space="preserve"> Utilize a que está indicada</w:t>
        <w:br/>
        <w:t>nessa tarefa, e não a de cima ou a de baixo - cada ligação já sabe a que tarefa</w:t>
        <w:br/>
        <w:t>pertence.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07"/>
        <w:gridCol w:w="1812"/>
      </w:tblGrid>
      <w:tr>
        <w:trPr>
          <w:tblHeader w:val="true"/>
        </w:trPr>
        <w:tc>
          <w:tcPr>
            <w:tcW w:w="360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3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4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6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7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8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9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Versão portuguesa validada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Source of record:</w:t>
      </w:r>
      <w:r>
        <w:rPr/>
        <w:t xml:space="preserve"> Martins, A. I., Rosa, A. F., Queirós, A., Silva, A., and</w:t>
        <w:br/>
        <w:t xml:space="preserve">Rocha, N. P. (2015). </w:t>
      </w:r>
      <w:r>
        <w:rPr>
          <w:rStyle w:val="Emphasis"/>
        </w:rPr>
        <w:t>European Portuguese validation of the System Usability</w:t>
        <w:br/>
        <w:t>Scale (SUS).</w:t>
      </w:r>
      <w:r>
        <w:rPr/>
        <w:t xml:space="preserve"> Procedia Computer Science, 67, 293-300.</w:t>
        <w:br/>
        <w:t xml:space="preserve">DOI </w:t>
      </w:r>
      <w:r>
        <w:rPr>
          <w:rStyle w:val="SourceText"/>
        </w:rPr>
        <w:t>10.1016/j.procs.2015.09.273</w:t>
      </w:r>
      <w:r>
        <w:rPr/>
        <w:t>. Open access, CC BY-NC-ND.</w:t>
      </w:r>
    </w:p>
    <w:p>
      <w:pPr>
        <w:pStyle w:val="TextBody"/>
        <w:bidi w:val="0"/>
        <w:spacing w:before="0" w:after="283"/>
        <w:jc w:val="left"/>
        <w:rPr/>
      </w:pPr>
      <w:r>
        <w:rPr/>
        <w:t>Presented at DSAI 2015. The ten items below are their Table 1, transcribed</w:t>
        <w:br/>
        <w:t>verbatim. This is the instrument; the provisional translation that previously</w:t>
        <w:br/>
        <w:t>sat here has been discarded.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their generic referent is </w:t>
      </w:r>
      <w:r>
        <w:rPr>
          <w:rStyle w:val="StrongEmphasis"/>
        </w:rPr>
        <w:t>"produto"</w:t>
      </w:r>
      <w:r>
        <w:rPr/>
        <w:t>, not "sistema".</w:t>
      </w:r>
    </w:p>
    <w:p>
      <w:pPr>
        <w:pStyle w:val="Heading3"/>
        <w:bidi w:val="0"/>
        <w:jc w:val="left"/>
        <w:rPr/>
      </w:pPr>
      <w:r>
        <w:rPr/>
        <w:t>Published items, verbatim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452"/>
        <w:gridCol w:w="263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Original item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 correspondente em português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this system frequently.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este produto com frequência.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unnecessarily complex.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mais complexo do que necessário.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 system was easy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produto fácil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this system were well integrated.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deste produto estavam bem integradas.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este produto tinha muitas inconsistências.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this system very quickly.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very cumbersome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muito complicado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the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este produto.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As administered - substituting the system name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only change is the referent: </w:t>
      </w:r>
      <w:r>
        <w:rPr>
          <w:rStyle w:val="SourceText"/>
        </w:rPr>
        <w:t>este produto</w:t>
      </w:r>
      <w:r>
        <w:rPr/>
        <w:t xml:space="preserve"> / </w:t>
      </w:r>
      <w:r>
        <w:rPr>
          <w:rStyle w:val="SourceText"/>
        </w:rPr>
        <w:t>o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  <w:br/>
        <w:t>Nothing else moves. Same order, same polarity, same words. Declare the</w:t>
        <w:br/>
        <w:t>substitution in one sentence in Chapter 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mais complexo do que necessário.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o Apex tinha muitas inconsistências.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Response anchors.</w:t>
      </w:r>
      <w:r>
        <w:rPr/>
        <w:t xml:space="preserve"> The paper does not print Portuguese anchor labels, only</w:t>
        <w:br/>
        <w:t xml:space="preserve">that SUS is a five-point Likert scale of strength of agreement. </w:t>
      </w:r>
      <w:r>
        <w:rPr>
          <w:rStyle w:val="SourceText"/>
        </w:rPr>
        <w:t>Discordo totalmente</w:t>
      </w:r>
      <w:r>
        <w:rPr/>
        <w:t xml:space="preserve"> and </w:t>
      </w:r>
      <w:r>
        <w:rPr>
          <w:rStyle w:val="SourceText"/>
        </w:rPr>
        <w:t>Concordo totalmente</w:t>
      </w:r>
      <w:r>
        <w:rPr/>
        <w:t xml:space="preserve"> are the conventional wording and are what</w:t>
        <w:br/>
        <w:t>this study uses; say so rather than implying the anchors came from Martins et</w:t>
        <w:br/>
        <w:t>al.</w:t>
      </w:r>
    </w:p>
    <w:p>
      <w:pPr>
        <w:pStyle w:val="Heading3"/>
        <w:bidi w:val="0"/>
        <w:jc w:val="left"/>
        <w:rPr/>
      </w:pPr>
      <w:r>
        <w:rPr/>
        <w:t>What the validation actually established, and what it did not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 this in Chapter 9 </w:t>
      </w:r>
      <w:r>
        <w:rPr>
          <w:rStyle w:val="StrongEmphasis"/>
        </w:rPr>
        <w:t>before</w:t>
      </w:r>
      <w:r>
        <w:rPr/>
        <w:t xml:space="preserve"> an examiner raises it. Citing a validated</w:t>
        <w:br/>
        <w:t>instrument without knowing its reported limits is worse than using a translation</w:t>
        <w:br/>
        <w:t>openly.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3020"/>
      </w:tblGrid>
      <w:tr>
        <w:trPr>
          <w:tblHeader w:val="true"/>
        </w:trPr>
        <w:tc>
          <w:tcPr>
            <w:tcW w:w="239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Property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Reported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and content equivalence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established, pilot with 4 participants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PSSUQ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0.70, significant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a general usability question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0.48, p &lt; 0.05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Inter-rater reliability, ICC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0.36, which the authors classify as weak</w:t>
            </w:r>
            <w:r>
              <w:rPr/>
              <w:t xml:space="preserve"> (CI 95%: 0.01 to 0.63)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Percentage of agreement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76.67%, below the 80% they state as acceptable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authors' own conclusion, paraphrased: the Portuguese version can be used to</w:t>
        <w:br/>
        <w:t>distinguish usable from non-usable applications, but the low ICC means they</w:t>
        <w:br/>
        <w:t>intend to validate the all-positive variant of SUS and repeat the study with a</w:t>
        <w:br/>
        <w:t>larger sample. They attribute the weak reliability to the alternating</w:t>
        <w:br/>
        <w:t>positive/negative item polarity causing filling errors, and cite Sauro and Lewis</w:t>
        <w:br/>
        <w:t>on the same problem.</w:t>
      </w:r>
    </w:p>
    <w:p>
      <w:pPr>
        <w:pStyle w:val="TextBody"/>
        <w:bidi w:val="0"/>
        <w:spacing w:before="0" w:after="283"/>
        <w:jc w:val="left"/>
        <w:rPr/>
      </w:pPr>
      <w:r>
        <w:rPr/>
        <w:t>Two consequences for this thesis: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 not overclaim.</w:t>
      </w:r>
      <w:r>
        <w:rPr/>
        <w:t xml:space="preserve"> Write "the European Portuguese version validated by</w:t>
        <w:br/>
        <w:t>Martins et al. (2015), whose authors report construct validity but weak</w:t>
        <w:br/>
        <w:t>inter-rater reliability (ICC = 0.36)". That sentence costs nothing and closes</w:t>
        <w:br/>
        <w:t xml:space="preserve">the line of attack completely.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Their sample was drawn from the general community</w:t>
      </w:r>
      <w:r>
        <w:rPr/>
        <w:t>, not software</w:t>
        <w:br/>
        <w:t>practitioners. The linguistic validation carries over; the reliability</w:t>
        <w:br/>
        <w:t>estimate was obtained in a different population from this study's. Worth one</w:t>
        <w:br/>
        <w:t xml:space="preserve">sentence in </w:t>
      </w:r>
      <w:r>
        <w:rPr>
          <w:rStyle w:val="SourceText"/>
        </w:rPr>
        <w:t>\Cref{sec:threats}</w:t>
      </w:r>
      <w:r>
        <w:rPr/>
        <w:t xml:space="preserve">.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switch to the all-positive variant. It is not validated in European</w:t>
        <w:br/>
        <w:t>Portuguese, and adopting an unvalidated variant to dodge a caveat about a</w:t>
        <w:br/>
        <w:t>validated one is the wrong trade.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Instruções ao participante:</w:t>
      </w:r>
      <w:r>
        <w:rPr/>
        <w:t xml:space="preserve"> Responda a cada afirmação sobre o </w:t>
      </w:r>
      <w:r>
        <w:rPr>
          <w:rStyle w:val="StrongEmphasis"/>
        </w:rPr>
        <w:t>Apex</w:t>
      </w:r>
      <w:r>
        <w:rPr/>
        <w:t>, a</w:t>
        <w:br/>
        <w:t>ferramenta que acabou de utilizar, marcando uma opção. Não há respostas</w:t>
        <w:br/>
        <w:t>certas. Registe a sua reacção imediata em vez de pensar muito tempo em cada</w:t>
        <w:br/>
        <w:t>uma. Se sentir que não consegue responder, marque o ponto central.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 (CGS)</w:t>
      </w:r>
      <w:r>
        <w:rPr/>
        <w:t xml:space="preserve"> - derived from 241 studies and</w:t>
        <w:br/>
        <w:t xml:space="preserve">surveys, published in Sauro and Lewis (2016), </w:t>
      </w:r>
      <w:r>
        <w:rPr>
          <w:rStyle w:val="Emphasis"/>
        </w:rPr>
        <w:t>Quantifying the User Experience</w:t>
      </w:r>
      <w:r>
        <w:rPr/>
        <w:t>,</w:t>
        <w:br/>
        <w:t>2nd ed., Morgan Kaufmann.</w:t>
      </w:r>
    </w:p>
    <w:tbl>
      <w:tblPr>
        <w:tblW w:w="34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096"/>
        <w:gridCol w:w="166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Percentile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84.1 - 100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96 - 100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90 - 95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85 - 89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80 - 84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70 - 79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65 - 69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60 - 64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41 - 59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35 - 40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15 - 34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0 - 51.6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0 - 14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inside grade C, at the 50th percentile. The scale is a curve fitted to that</w:t>
        <w:br/>
        <w:t>corpus, not a linear mapping: 80.8 is grade A because it is in the top 10 per</w:t>
        <w:br/>
        <w:t>cent of scores, not because 80 is "80 per cent".</w:t>
      </w:r>
    </w:p>
    <w:p>
      <w:pPr>
        <w:pStyle w:val="Heading3"/>
        <w:bidi w:val="0"/>
        <w:jc w:val="left"/>
        <w:rPr/>
      </w:pPr>
      <w:r>
        <w:rPr/>
        <w:t>Verification status of these boundaries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Checked 2026-08-12. Every boundary above is confirmed.</w:t>
      </w:r>
      <w:r>
        <w:rPr/>
        <w:t xml:space="preserve"> Two independent</w:t>
        <w:br/>
        <w:t>reproductions of the table were compared against each other and against the</w:t>
        <w:br/>
        <w:t>values previously recorded here; all three agree to the decimal: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Sauro, J., </w:t>
      </w:r>
      <w:r>
        <w:rPr>
          <w:rStyle w:val="Emphasis"/>
        </w:rPr>
        <w:t>5 Ways to Interpret a SUS Score</w:t>
      </w:r>
      <w:r>
        <w:rPr/>
        <w:t>, MeasuringU. Sauro is a</w:t>
        <w:br/>
        <w:t>co-author of the scale, so this is the closest thing to the source that is</w:t>
        <w:br/>
        <w:t xml:space="preserve">openly available.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Emphasis"/>
        </w:rPr>
        <w:t>How to use the System Usability Scale (SUS) in 2021</w:t>
      </w:r>
      <w:r>
        <w:rPr/>
        <w:t>, Chuniversiteit, which</w:t>
        <w:br/>
        <w:t xml:space="preserve">reproduces the table and attributes it to the 2016 book. </w:t>
      </w:r>
    </w:p>
    <w:p>
      <w:pPr>
        <w:pStyle w:val="TextBody"/>
        <w:bidi w:val="0"/>
        <w:jc w:val="left"/>
        <w:rPr/>
      </w:pPr>
      <w:r>
        <w:rPr/>
        <w:t>Two details worth carrying into the thesis: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percentile column is the honest way to report a grade.</w:t>
      </w:r>
      <w:r>
        <w:rPr/>
        <w:t xml:space="preserve"> "B (70th to</w:t>
        <w:br/>
        <w:t>79th percentile of 241 published studies)" is defensible in a way that a bare</w:t>
        <w:br/>
        <w:t xml:space="preserve">letter is not.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MeasuringU splits F into </w:t>
      </w:r>
      <w:r>
        <w:rPr>
          <w:rStyle w:val="SourceText"/>
        </w:rPr>
        <w:t>25.1 - 51.6</w:t>
      </w:r>
      <w:r>
        <w:rPr/>
        <w:t xml:space="preserve"> (percentile 2 - 14) and </w:t>
      </w:r>
      <w:r>
        <w:rPr>
          <w:rStyle w:val="SourceText"/>
        </w:rPr>
        <w:t>0 - 25</w:t>
      </w:r>
      <w:r>
        <w:rPr/>
        <w:br/>
        <w:t>(percentile 0 - 1.9). The split changes nothing for interpretation; the single</w:t>
        <w:br/>
        <w:t xml:space="preserve">F row above is the form the table is usually reproduced in.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Still unverified: the page number inside the book.</w:t>
      </w:r>
      <w:r>
        <w:rPr/>
        <w:t xml:space="preserve"> Secondary sources point</w:t>
        <w:br/>
        <w:t>at around p. 204 of the 2nd edition but this was not confirmed against the</w:t>
        <w:br/>
        <w:t>printed text, so cite the book without a page locator, or check a physical or</w:t>
        <w:br/>
        <w:t>library copy before adding one. The band values themselves need no further</w:t>
        <w:br/>
        <w:t>checking.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Full justification is in </w:t>
      </w:r>
      <w:r>
        <w:rPr>
          <w:rStyle w:val="SourceText"/>
        </w:rPr>
        <w:t>EVALUATION-PLAN.md</w:t>
      </w:r>
      <w:r>
        <w:rPr/>
        <w:br/>
        <w:t xml:space="preserve">section 4, and it is written into Chapter 9 </w:t>
      </w:r>
      <w:r>
        <w:rPr>
          <w:rStyle w:val="SourceText"/>
        </w:rPr>
        <w:t>sec:tlx</w:t>
      </w:r>
      <w:r>
        <w:rPr/>
        <w:t xml:space="preserve"> as of 2026-08-12.</w:t>
        <w:br/>
        <w:t>Reporting an unweighted score as plain "NASA-TLX" is the error to avoid. Always</w:t>
        <w:br/>
        <w:t>write "Raw TLX".</w:t>
      </w:r>
    </w:p>
    <w:p>
      <w:pPr>
        <w:pStyle w:val="TextBody"/>
        <w:bidi w:val="0"/>
        <w:spacing w:before="0" w:after="283"/>
        <w:jc w:val="left"/>
        <w:rPr/>
      </w:pPr>
      <w:r>
        <w:rPr/>
        <w:t>The short form of the argument, in the order the arguments actually carry</w:t>
        <w:br/>
        <w:t>weight: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literature does not favour weighting.</w:t>
      </w:r>
      <w:r>
        <w:rPr/>
        <w:t xml:space="preserve"> Hart's twenty-year review of</w:t>
        <w:br/>
        <w:t>550 studies records that dropping the weighting is the most common</w:t>
        <w:br/>
        <w:t>modification made to the instrument, and that across the 29 studies directly</w:t>
        <w:br/>
        <w:t>comparing the two versions the Raw variant was found more sensitive, less</w:t>
        <w:br/>
        <w:t>sensitive, or equally sensitive depending on the study - no consistent</w:t>
        <w:br/>
        <w:t xml:space="preserve">advantage either way (Hart, 2006).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Weights only earn their cost across conditions.</w:t>
      </w:r>
      <w:r>
        <w:rPr/>
        <w:t xml:space="preserve"> Their purpose is to make</w:t>
        <w:br/>
        <w:t>aggregates commensurable between raters when conditions are compared. This</w:t>
        <w:br/>
        <w:t xml:space="preserve">evaluation has one condition.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Ninety comparisons per participant.</w:t>
      </w:r>
      <w:r>
        <w:rPr/>
        <w:t xml:space="preserve"> Fifteen pairwise comparisons times</w:t>
        <w:br/>
        <w:t xml:space="preserve">six tasks, on top of 36 ratings, inside a 60-minute unmoderated session.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 subscale scores are identical either way.</w:t>
      </w:r>
      <w:r>
        <w:rPr/>
        <w:t xml:space="preserve"> Weighting affects only how</w:t>
        <w:br/>
        <w:t>they are combined into an aggregate, and the six-subscale profile is this</w:t>
        <w:br/>
        <w:t>evaluation's primary result. What is given up is comparability of the</w:t>
        <w:br/>
      </w:r>
      <w:r>
        <w:rPr>
          <w:rStyle w:val="Emphasis"/>
        </w:rPr>
        <w:t>aggregate</w:t>
      </w:r>
      <w:r>
        <w:rPr/>
        <w:t xml:space="preserve"> to weighted aggregates published elsewhere. 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 considered: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DECIDED 2026-08-12: linear scale 0 to 10, multiplied by ten at analysis time.</w:t>
      </w:r>
      <w:r>
        <w:rPr/>
        <w:br/>
        <w:t xml:space="preserve">Google Forms is the platform that follows from it. </w:t>
      </w:r>
      <w:r>
        <w:rPr>
          <w:rStyle w:val="StrongEmphasis"/>
        </w:rPr>
        <w:t>Frozen</w:t>
      </w:r>
      <w:r>
        <w:rPr/>
        <w:t xml:space="preserve"> - the scale cannot</w:t>
        <w:br/>
        <w:t>change once the first participant has run, because a mid-study change would make</w:t>
        <w:br/>
        <w:t>the earlier and later responses two different instruments.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disclosure sentence for Chapter 9 is drafted in </w:t>
      </w:r>
      <w:r>
        <w:rPr>
          <w:rStyle w:val="SourceText"/>
        </w:rPr>
        <w:t>EVALUATION-PLAN.md</w:t>
      </w:r>
      <w:r>
        <w:rPr/>
        <w:br/>
        <w:t>section 6 and covers this together with the item reordering below. In short: a</w:t>
        <w:br/>
        <w:t>0-10 scale was used in place of the 20-interval line and rescaled to 0-100; this</w:t>
        <w:br/>
        <w:t>reduces the resolution of the instrument and the values are not directly</w:t>
        <w:br/>
        <w:t>comparable to studies using the original scale.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Consequence for analysis:</w:t>
      </w:r>
      <w:r>
        <w:rPr/>
        <w:t xml:space="preserve"> every response is a multiple of ten, so the</w:t>
        <w:br/>
        <w:t>subscale means are coarser than the instrument's own granularity. Report medians</w:t>
        <w:br/>
        <w:t>and ranges alongside means, and do not read a difference of a few points between</w:t>
        <w:br/>
        <w:t>two cells of the matrix as meaningful when the smallest step a participant could</w:t>
        <w:br/>
        <w:t>express was ten.</w:t>
      </w:r>
    </w:p>
    <w:p>
      <w:pPr>
        <w:pStyle w:val="Heading3"/>
        <w:bidi w:val="0"/>
        <w:jc w:val="left"/>
        <w:rPr/>
      </w:pPr>
      <w:r>
        <w:rPr/>
        <w:t>3. Item order as administered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Performance is administered last, not fourth.</w:t>
      </w:r>
      <w:r>
        <w:rPr/>
        <w:t xml:space="preserve"> The published order</w:t>
        <w:br/>
        <w:t>is Mental, Physical, Temporal, Performance, Effort, Frustration; the forms built</w:t>
        <w:br/>
        <w:t xml:space="preserve">from </w:t>
      </w:r>
      <w:r>
        <w:rPr>
          <w:rStyle w:val="SourceText"/>
        </w:rPr>
        <w:t>FORMS-BUILD-SHEET.md</w:t>
      </w:r>
      <w:r>
        <w:rPr/>
        <w:t xml:space="preserve"> use Mental, Physical, Temporal, Effort, Frustration,</w:t>
        <w:br/>
        <w:t>Performance.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is the reversed anchors. Meeting a backwards scale in the middle of</w:t>
        <w:br/>
        <w:t>five forward ones, with nobody present to explain it, is the most likely way an</w:t>
        <w:br/>
        <w:t>unmoderated participant inverts a sixth of the data set. Placing it last means</w:t>
        <w:br/>
        <w:t>the reversal is encountered once, at the end, immediately after its own warning.</w:t>
      </w:r>
    </w:p>
    <w:p>
      <w:pPr>
        <w:pStyle w:val="TextBody"/>
        <w:bidi w:val="0"/>
        <w:spacing w:before="0" w:after="283"/>
        <w:jc w:val="left"/>
        <w:rPr/>
      </w:pPr>
      <w:r>
        <w:rPr/>
        <w:t>Scoring is unaffected - Raw TLX is an unweighted mean, so order does not enter</w:t>
        <w:br/>
        <w:t>the arithmetic. It is still a departure from the instrument as published, so</w:t>
        <w:br/>
      </w:r>
      <w:r>
        <w:rPr>
          <w:rStyle w:val="StrongEmphasis"/>
        </w:rPr>
        <w:t>state it in Chapter 9 in the same sentence as the response-scale deviation.</w:t>
      </w:r>
      <w:r>
        <w:rPr/>
        <w:br/>
        <w:t>Reordering is a much smaller deviation than rescaling, but the two should be</w:t>
        <w:br/>
        <w:t>disclosed together rather than one being mentioned and the other not.</w:t>
      </w:r>
    </w:p>
    <w:p>
      <w:pPr>
        <w:pStyle w:val="Heading3"/>
        <w:bidi w:val="0"/>
        <w:jc w:val="left"/>
        <w:rPr/>
      </w:pPr>
      <w:r>
        <w:rPr/>
        <w:t>4.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 with the supervisor whether IST requires formal ethics approval for this</w:t>
        <w:br/>
        <w:t>study before running the first session.</w:t>
      </w:r>
      <w:r>
        <w:rPr/>
        <w:t xml:space="preserve"> The consent form below is written to</w:t>
        <w:br/>
        <w:t>be sufficient on its own, but it is not a substitute for an institutional</w:t>
        <w:br/>
        <w:t>requirement if one exists. This is on the pre-flight checklist.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nine predefined tasks, thinking aloud as you go. After six of those</w:t>
        <w:br/>
        <w:t>tasks you will fill in a short workload questionnaire, which takes about a</w:t>
        <w:br/>
        <w:t>minute each time. At the end of the session you will fill in two further short</w:t>
        <w:br/>
        <w:t>questionnaires, taking about 20 minutes in total. You may optionally be invited</w:t>
        <w:br/>
        <w:t>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nove tarefas predefinidas, verbalizando o seu raciocínio.</w:t>
        <w:br/>
        <w:t>Depois de seis dessas tarefas preencherá um questionário curto sobre a carga de</w:t>
        <w:br/>
        <w:t>trabalho, que demora cerca de um minuto de cada vez. No fim da sessão</w:t>
        <w:br/>
        <w:t>preencherá mais dois questionários curtos, cerca de 20 minutos no total. Poderá</w:t>
        <w:br/>
        <w:t>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nine tasks in a tool called Apex, and after</w:t>
        <w:br/>
        <w:t>six of them a short workload questionnaire. I want to be clear that we are</w:t>
        <w:br/>
        <w:t>testing the tool, not you. If something is confusing or you cannot find</w:t>
        <w:br/>
        <w:t>something, that is exactly what I need to know. There is no way for you to get</w:t>
        <w:br/>
        <w:t>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