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 — Implementation, Testing, and Deployment Report</w:t>
      </w:r>
    </w:p>
    <w:p>
      <w:r>
        <w:rPr>
          <w:i/>
          <w:sz w:val="24"/>
        </w:rPr>
        <w:t>Internal + external engineering documentation for the MEIC-T thesis writeup</w:t>
      </w:r>
    </w:p>
    <w:p>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Bdr>
          <w:bottom w:val="single" w:sz="6" w:space="1" w:color="auto"/>
        </w:pBdr>
      </w:pPr>
    </w:p>
    <w:p>
      <w:pPr>
        <w:pStyle w:val="Heading1"/>
      </w:pPr>
      <w:r>
        <w:t>1. Purpose and Scope</w:t>
      </w:r>
    </w:p>
    <w:p>
      <w:r>
        <w:rPr>
          <w:b w:val="0"/>
          <w:i w:val="0"/>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pPr>
      <w:r>
        <w:t>2. Architecture and Implementation</w:t>
      </w:r>
    </w:p>
    <w:p>
      <w:pPr>
        <w:pStyle w:val="Heading2"/>
      </w:pPr>
      <w:r>
        <w:t>2.1 Split-stack overview</w:t>
      </w:r>
    </w:p>
    <w:p>
      <w:r>
        <w:rPr>
          <w:b w:val="0"/>
          <w:i w:val="0"/>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Heading2"/>
      </w:pPr>
      <w:r>
        <w:t>2.2 Spec-anchored storage</w:t>
      </w:r>
    </w:p>
    <w:p>
      <w:r>
        <w:rPr>
          <w:b w:val="0"/>
          <w:i w:val="0"/>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pPr>
      <w:r>
        <w:t>2.3 Concurrency model: single writer by design</w:t>
      </w:r>
    </w:p>
    <w:p>
      <w:r>
        <w:rPr>
          <w:b w:val="0"/>
          <w:i w:val="0"/>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r>
        <w:rPr>
          <w:b w:val="0"/>
          <w:i w:val="0"/>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pPr>
      <w:r>
        <w:t>2.4 External integrations: proxy-first for security</w:t>
      </w:r>
    </w:p>
    <w:p>
      <w:r>
        <w:rPr>
          <w:b w:val="0"/>
          <w:i w:val="0"/>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pPr>
      <w:r>
        <w:t>2.5 AI provider abstraction</w:t>
      </w:r>
    </w:p>
    <w:p>
      <w:r>
        <w:rPr>
          <w:b w:val="0"/>
          <w:i w:val="0"/>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pPr>
      <w:r>
        <w:t>2.6 Bolt tracking</w:t>
      </w:r>
    </w:p>
    <w:p>
      <w:pPr/>
      <w:r>
        <w:rPr>
          <w:b w:val="0"/>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pPr>
      <w:r>
        <w:t>3. Testing Strategy</w:t>
      </w:r>
    </w:p>
    <w:p>
      <w:r>
        <w:rPr>
          <w:b w:val="0"/>
          <w:i w:val="0"/>
        </w:rPr>
        <w:t>Testing is layered by what each layer can actually catch, not run as one undifferentiated suite:</w:t>
      </w:r>
      <w:r>
        <w:t xml:space="preserve"> Coverage spans workflow logic, security boundaries, and product-specific state machines such as Bolt lifecycle tracking (§2.6) and its list/config/cycle-time-aggregation routes.</w:t>
      </w:r>
    </w:p>
    <w:p>
      <w:pPr>
        <w:pStyle w:val="Heading2"/>
      </w:pPr>
      <w:r>
        <w:t>3.1 Backend — pytest</w:t>
      </w:r>
    </w:p>
    <w:p>
      <w:r>
        <w:rPr>
          <w:b w:val="0"/>
          <w:i w:val="0"/>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pPr>
      <w:r>
        <w:t>_disable_distributed — forces the Redis-off code path so tests never depend on network reachability to Upstash.</w:t>
      </w:r>
    </w:p>
    <w:p>
      <w:pPr>
        <w:pStyle w:val="ListBullet"/>
      </w:pPr>
      <w:r>
        <w:t>_bypass_pm_auth — skips real Taiga/Jira authentication so route tests exercise business logic, not third-party auth flows.</w:t>
      </w:r>
    </w:p>
    <w:p>
      <w:pPr>
        <w:pStyle w:val="ListBullet"/>
      </w:pPr>
      <w:r>
        <w:t>_reset_rate_limit_buckets — per-IP rate-limit state is process-local; without a reset, test order would leak between tests.</w:t>
      </w:r>
    </w:p>
    <w:p>
      <w:pPr>
        <w:pStyle w:val="ListBullet"/>
      </w:pPr>
      <w:r>
        <w:t>_force_local_storage — pins storage.py to local disk regardless of environment, so tests never accidentally touch Azure.</w:t>
      </w:r>
    </w:p>
    <w:p>
      <w:pPr>
        <w:pStyle w:val="ListBullet"/>
      </w:pPr>
      <w:r>
        <w:t>_isolate_active_context — resets the two ContextVars (_active_project_id, _active_instance_id) between tests, the same isolation mechanism production relies on per-request.</w:t>
      </w:r>
    </w:p>
    <w:p>
      <w:pPr>
        <w:pStyle w:val="ListBullet"/>
      </w:pPr>
      <w:r>
        <w:t>_reset_config_cache — clears the workspace-config TTL cache, another piece of per-process state that would otherwise bleed across tests.</w:t>
      </w:r>
    </w:p>
    <w:p>
      <w:r>
        <w:rPr>
          <w:b w:val="0"/>
          <w:i w:val="0"/>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pPr>
      <w:r>
        <w:t>3.2 Frontend — Vitest (unit) and Playwright (E2E)</w:t>
      </w:r>
    </w:p>
    <w:p>
      <w:r>
        <w:rPr>
          <w:b w:val="0"/>
          <w:i w:val="0"/>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pPr>
      <w:r>
        <w:t>3.3 CI gating structure</w:t>
      </w:r>
    </w:p>
    <w:p>
      <w:r>
        <w:rPr>
          <w:b w:val="0"/>
          <w:i w:val="0"/>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pPr>
      <w:r>
        <w:t>4. Deployment Pipeline</w:t>
      </w:r>
    </w:p>
    <w:p>
      <w:pPr>
        <w:pStyle w:val="Heading2"/>
      </w:pPr>
      <w:r>
        <w:t>4.1 Containerization</w:t>
      </w:r>
    </w:p>
    <w:p>
      <w:r>
        <w:rPr>
          <w:b w:val="0"/>
          <w:i w:val="0"/>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pPr>
      <w:r>
        <w:t>4.2 CI/CD pipeline</w:t>
      </w:r>
    </w:p>
    <w:p>
      <w:r>
        <w:rPr>
          <w:b w:val="0"/>
          <w:i w:val="0"/>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pPr>
      <w: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pPr>
      <w:r>
        <w:t>Updates both Container Apps to the new sha-tagged images.</w:t>
      </w:r>
    </w:p>
    <w:p>
      <w:pPr>
        <w:pStyle w:val="ListBullet"/>
      </w:pPr>
      <w:r>
        <w:t>Polls each app's health endpoint for up to two minutes.</w:t>
      </w:r>
    </w:p>
    <w:p>
      <w:pPr>
        <w:pStyle w:val="ListBullet"/>
      </w:pPr>
      <w:r>
        <w:t>On failure, automatically rolls both apps back to the image tags captured at the start — an automatic rollback, not a manual runbook step.</w:t>
      </w:r>
    </w:p>
    <w:p>
      <w:r>
        <w:rPr>
          <w:b w:val="0"/>
          <w:i w:val="0"/>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pPr>
      <w:r>
        <w:t>4.3 Cost-aware scaling</w:t>
      </w:r>
    </w:p>
    <w:p>
      <w:r>
        <w:rPr>
          <w:b w:val="0"/>
          <w:i w:val="0"/>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pPr>
      <w:r>
        <w:t>4.4 A distinct, feature-level deployment path</w:t>
      </w:r>
    </w:p>
    <w:p>
      <w:r>
        <w:rPr>
          <w:b w:val="0"/>
          <w:i w:val="0"/>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pPr>
      <w:r>
        <w:t>5. Honest Engineering Notes</w:t>
      </w:r>
    </w:p>
    <w:p>
      <w:pPr>
        <w:pStyle w:val="ListBullet"/>
      </w:pPr>
      <w: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already built and tested but not yet enabled in production.</w:t>
      </w:r>
    </w:p>
    <w:p>
      <w:pPr>
        <w:pStyle w:val="ListBullet"/>
      </w:pPr>
      <w: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pPr>
      <w: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pPr>
      <w: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