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2026-08-11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TextBody"/>
        <w:bidi w:val="0"/>
        <w:spacing w:before="0" w:after="283"/>
        <w:jc w:val="left"/>
        <w:rPr/>
      </w:pPr>
      <w:r>
        <w:rPr/>
        <w:t>Four forms. The task script links to three of them; the fourth is completed</w:t>
        <w:br/>
        <w:t>before the script is 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967"/>
        <w:gridCol w:w="1672"/>
        <w:gridCol w:w="1434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the supervisor.</w:t>
      </w:r>
      <w:r>
        <w:rPr/>
        <w:t xml:space="preserve"> Two questions: does this study need an ethics</w:t>
        <w:br/>
        <w:t>committee submission, and is there a standard IST consent template to use</w:t>
        <w:br/>
        <w:t xml:space="preserve">instead of the one in </w:t>
      </w:r>
      <w:r>
        <w:rPr>
          <w:rStyle w:val="SourceText"/>
        </w:rPr>
        <w:t>consent-and-briefing.md</w:t>
      </w:r>
      <w:r>
        <w:rPr/>
        <w:t>. This gates the first</w:t>
        <w:br/>
        <w:t xml:space="preserve">session and nothing else unblocks 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Decided: validated European Portuguese</w:t>
        <w:br/>
        <w:t>version.</w:t>
      </w:r>
      <w:r>
        <w:rPr/>
        <w:t xml:space="preserve"> Action instead: obtain Martins et al. (2015), Procedia Computer</w:t>
        <w:br/>
        <w:t>Science 67, 293-300, and paste the ten Portuguese items verbatim into</w:t>
        <w:br/>
      </w:r>
      <w:r>
        <w:rPr>
          <w:rStyle w:val="SourceText"/>
        </w:rPr>
        <w:t>instrument-sus.md</w:t>
      </w:r>
      <w:r>
        <w:rPr/>
        <w:t xml:space="preserve">. Form F2 cannot be built correctly until this is done.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Decide the TLX response scale.</w:t>
      </w:r>
      <w:r>
        <w:rPr/>
        <w:t xml:space="preserve"> 0-10 rescaled to 0-100, or a form tool</w:t>
        <w:br/>
        <w:t xml:space="preserve">with a real slider. Cannot change mid-study.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links, one per task, so the participant does not</w:t>
        <w:br/>
        <w:t>retype the task name. Google Forms: three-dot menu, "Get pre-filled link",</w:t>
        <w:br/>
        <w:t>set the task field, copy the URL. Paste each into the matching task in the</w:t>
        <w:br/>
        <w:t xml:space="preserve">script.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the four placeholder links into </w:t>
      </w:r>
      <w:r>
        <w:rPr>
          <w:rStyle w:val="SourceText"/>
        </w:rPr>
        <w:t>task-script.md</w:t>
      </w:r>
      <w:r>
        <w:rPr/>
        <w:t xml:space="preserve"> and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 above.</w:t>
        <w:br/>
        <w:t>F2-PT uses the validated European Portuguese items from Martins et al. (2015),</w:t>
        <w:br/>
        <w:t>pasted verbatim. Do not mix languages within one form, and do not build F2-PT</w:t>
        <w:br/>
        <w:t xml:space="preserve">from the provisional translation currently in </w:t>
      </w:r>
      <w:r>
        <w:rPr>
          <w:rStyle w:val="SourceText"/>
        </w:rPr>
        <w:t>instrument-sus.md</w:t>
      </w:r>
      <w:r>
        <w:rPr/>
        <w:t xml:space="preserve"> - it is a</w:t>
        <w:br/>
        <w:t>placeholder and is marked as such.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which is not</w:t>
        <w:br/>
        <w:t xml:space="preserve">survivable in a 60-minute unmoderated session.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Raw TLX correlates highly with weighted TLX and is the dominant form in</w:t>
        <w:br/>
        <w:t xml:space="preserve">software-tool evaluation.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bidi w:val="0"/>
        <w:jc w:val="left"/>
        <w:rPr/>
      </w:pPr>
      <w:r>
        <w:rPr/>
        <w:t xml:space="preserve">Chapter 9's </w:t>
      </w:r>
      <w:r>
        <w:rPr>
          <w:rStyle w:val="SourceText"/>
        </w:rPr>
        <w:t>\todo</w:t>
      </w:r>
      <w:r>
        <w:rPr/>
        <w:t xml:space="preserve"> at </w:t>
      </w:r>
      <w:r>
        <w:rPr>
          <w:rStyle w:val="SourceText"/>
        </w:rPr>
        <w:t>sec:tlx</w:t>
      </w:r>
      <w:r>
        <w:rPr/>
        <w:t xml:space="preserve"> says the justification matters more than the</w:t>
        <w:br/>
        <w:t>choice. This is the justification. Report it as "Raw TLX" explicitly, never as</w:t>
        <w:br/>
        <w:t>"NASA-TLX" 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ten Portuguese items currently in </w:t>
      </w:r>
      <w:r>
        <w:rPr>
          <w:rStyle w:val="SourceText"/>
        </w:rPr>
        <w:t>instrument-sus.md</w:t>
      </w:r>
      <w:r>
        <w:rPr/>
        <w:t xml:space="preserve"> are a provisional</w:t>
        <w:br/>
        <w:t xml:space="preserve">translation and </w:t>
      </w:r>
      <w:r>
        <w:rPr>
          <w:rStyle w:val="StrongEmphasis"/>
        </w:rPr>
        <w:t>must be replaced with the published wording verbatim</w:t>
      </w:r>
      <w:r>
        <w:rPr/>
        <w:br/>
        <w:t xml:space="preserve">before form F2 is built. That file carries an action block saying so.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RQ naming.</w:t>
      </w:r>
      <w:r>
        <w:rPr/>
        <w:t xml:space="preserve"> </w:t>
      </w:r>
      <w:r>
        <w:rPr>
          <w:rStyle w:val="SourceText"/>
        </w:rPr>
        <w:t>\Cref{tab:eval_instruments}</w:t>
      </w:r>
      <w:r>
        <w:rPr/>
        <w:t xml:space="preserve"> maps instruments to RQ-A..RQ-D,</w:t>
        <w:br/>
        <w:t>which are still the unresolved assistant-written set colliding with the SLR's</w:t>
        <w:br/>
        <w:t>RQ1-RQ5. Every instrument mapping in this plan inherits that. Resolve the</w:t>
        <w:br/>
        <w:t xml:space="preserve">naming before Appendix B is typeset.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DECIDED 2026-08-11: validated</w:t>
        <w:br/>
        <w:t>European Portuguese version (Martins et al., 2015).</w:t>
      </w:r>
      <w:r>
        <w:rPr/>
        <w:t xml:space="preserve"> Remaining action, not a</w:t>
        <w:br/>
        <w:t xml:space="preserve">decision: obtain the paper and paste the ten items verbatim.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 xml:space="preserve">external-validity claim.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Ethics approval.</w:t>
      </w:r>
      <w:r>
        <w:rPr/>
        <w:t xml:space="preserve"> Whether IST requires a formal submission for this study</w:t>
        <w:br/>
        <w:t xml:space="preserve">or whether informed consent plus anonymisation suffices. Ask the supervisor.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scale.</w:t>
      </w:r>
      <w:r>
        <w:rPr/>
        <w:t xml:space="preserve"> Google Forms cannot render the 20-interval line. The</w:t>
        <w:br/>
        <w:t>recommendation is a 0-10 scale rescaled to 0-100, documented as a deviation.</w:t>
        <w:br/>
        <w:t>Alternative: use a form tool with a real slider. Decide before the pilot, and</w:t>
        <w:br/>
        <w:t xml:space="preserve">never change it mid-study.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Form platform.</w:t>
      </w:r>
      <w:r>
        <w:rPr/>
        <w:t xml:space="preserve"> Google Forms is assumed. Anything with a 0-100 slider and</w:t>
        <w:br/>
        <w:t>CSV export is better. Whatever is chosen must let a participant submit the</w:t>
        <w:br/>
        <w:t>TLX form six times without re-entering their code by hand each time, or use a</w:t>
        <w:br/>
        <w:t xml:space="preserve">prefilled link per task.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 xml:space="preserve">spend ten minutes doing the wrong thing with nobody there to notice. </w:t>
      </w:r>
    </w:p>
    <w:p>
      <w:pPr>
        <w:pStyle w:val="Heading2"/>
        <w:bidi w:val="0"/>
        <w:jc w:val="left"/>
        <w:rPr/>
      </w:pPr>
      <w:r>
        <w:rPr/>
        <w:t>7. Missing bibliography entries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None of these exist in </w:t>
      </w:r>
      <w:r>
        <w:rPr>
          <w:rStyle w:val="SourceText"/>
        </w:rPr>
        <w:t>Bibliography.bib</w:t>
      </w:r>
      <w:r>
        <w:rPr/>
        <w:t xml:space="preserve"> yet. All are required before Chapter 9</w:t>
        <w:br/>
        <w:t>can cite the instruments.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{https://www.sciencedirect.com/science/article/pii/S1877050915031191},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Volume, pages and year confirmed against the publisher listing. Verify the DOI</w:t>
        <w:br/>
        <w:t>and add it when the paper is obtained.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RQ naming resolved,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Martins et al. obtained and the ten PT items pasted verbatim into</w:t>
        <w:br/>
      </w:r>
      <w:r>
        <w:rPr>
          <w:rStyle w:val="SourceText"/>
        </w:rPr>
        <w:t>instrument-sus.md</w:t>
      </w:r>
      <w:r>
        <w:rPr/>
        <w:t xml:space="preserve">, replacing the provisional translation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Bibliography entries above added and the build reverified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Supervisor sign-off on the task set and the session length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Ethics/consent route confirmed with the supervisor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TLX response scale decided and the deviation wording drafted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Three forms built: TLX (with the task selector and participant code first),</w:t>
        <w:br/>
        <w:t xml:space="preserve">SUS, UX. Test-submit each one and check the CSV export column names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the four</w:t>
        <w:br/>
        <w:t xml:space="preserve">placeholder links filled in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5"/>
        <w:gridCol w:w="1844"/>
      </w:tblGrid>
      <w:tr>
        <w:trPr>
          <w:tblHeader w:val="true"/>
        </w:trPr>
        <w:tc>
          <w:tcPr>
            <w:tcW w:w="357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14"/>
        <w:gridCol w:w="1705"/>
      </w:tblGrid>
      <w:tr>
        <w:trPr>
          <w:tblHeader w:val="true"/>
        </w:trPr>
        <w:tc>
          <w:tcPr>
            <w:tcW w:w="371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Heading2"/>
        <w:pBdr>
          <w:left w:val="single" w:sz="18" w:space="10" w:color="2F5496"/>
        </w:pBdr>
        <w:bidi w:val="0"/>
        <w:ind w:left="567" w:right="567" w:hanging="0"/>
        <w:jc w:val="left"/>
        <w:rPr/>
      </w:pPr>
      <w:r>
        <w:rPr/>
        <w:t>ACTION REQUIRED - DO NOT ADMINISTER THIS TEXT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Decision taken 2026-08-11: the study uses the validated European Portuguese</w:t>
        <w:br/>
        <w:t>SUS.</w:t>
      </w:r>
      <w:r>
        <w:rPr/>
        <w:t xml:space="preserve"> The ten items below are a provisional working translation and are</w:t>
        <w:br/>
      </w:r>
      <w:r>
        <w:rPr>
          <w:rStyle w:val="StrongEmphasis"/>
        </w:rPr>
        <w:t>not</w:t>
      </w:r>
      <w:r>
        <w:rPr/>
        <w:t xml:space="preserve"> that instrument. They are here only so the form can be laid out before</w:t>
        <w:br/>
        <w:t>the paper is obtained.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Before building form F2, replace all ten items with the published wording,</w:t>
        <w:br/>
        <w:t>verbatim, from: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Martins, A. I., Rosa, A. F., Queirós, A., Silva, A., and Rocha, N. P. (2015).</w:t>
        <w:br/>
      </w:r>
      <w:r>
        <w:rPr>
          <w:rStyle w:val="Emphasis"/>
        </w:rPr>
        <w:t>European Portuguese Validation of the System Usability Scale (SUS).</w:t>
      </w:r>
      <w:r>
        <w:rPr/>
        <w:br/>
        <w:t>Procedia Computer Science, 67, 293-300.</w:t>
        <w:br/>
      </w:r>
      <w:r>
        <w:rPr>
          <w:rStyle w:val="SourceText"/>
        </w:rPr>
        <w:t>https://www.sciencedirect.com/science/article/pii/S1877050915031191</w:t>
      </w:r>
      <w:r>
        <w:rPr/>
        <w:br/>
        <w:t>(Procedia is open access; the item table is the one pairing each English item</w:t>
        <w:br/>
        <w:t>with its Portuguese translation.)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Then delete this warning block. Administering the text below and citing</w:t>
        <w:br/>
        <w:t>Martins et al. would be a misrepresentation: the validation applies to their</w:t>
        <w:br/>
        <w:t>wording, not to a translation that merely resembles it.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Responda a cada afirmação sobre o </w:t>
      </w:r>
      <w:r>
        <w:rPr>
          <w:rStyle w:val="StrongEmphasis"/>
        </w:rPr>
        <w:t>Apex</w:t>
      </w:r>
      <w:r>
        <w:rPr/>
        <w:t>, a ferramenta que acabou de</w:t>
        <w:br/>
        <w:t>utilizar, marcando uma opção. Não há respostas certas. Registe a sua reacção</w:t>
        <w:br/>
        <w:t>imediata em vez de pensar muito tempo em cada uma. Se sentir que não consegue</w:t>
        <w:br/>
        <w:t>responder, marque o ponto central.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Penso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desnecessariamente complexo.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Penso que precisaria do apoio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havia demasiada inconsistência no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Imagino que a maioria das pessoas aprenderia a utilizar o Apex muito rapidamente.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Precisei de aprender muitas coisas antes de conseguir começar a usar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Adapting the published items.</w:t>
      </w:r>
      <w:r>
        <w:rPr/>
        <w:t xml:space="preserve"> Martins et al. validated the items with the</w:t>
        <w:br/>
        <w:t>generic word "sistema". Substituting "o Apex" for "o sistema" is the same</w:t>
        <w:br/>
        <w:t>adaptation already made in the English version and is standard practice; note it</w:t>
        <w:br/>
        <w:t>in one sentence in Chapter 9. Change nothing else - not the order, not the</w:t>
        <w:br/>
        <w:t>polarity, not a single other word.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</w:t>
      </w:r>
      <w:r>
        <w:rPr/>
        <w:t xml:space="preserve"> - roughly:</w:t>
      </w:r>
    </w:p>
    <w:tbl>
      <w:tblPr>
        <w:tblW w:w="21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48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and above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below 51.7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at grade C.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Verify the exact band boundaries against the printed source before they go</w:t>
        <w:br/>
        <w:t>into the thesis.</w:t>
      </w:r>
      <w:r>
        <w:rPr/>
        <w:t xml:space="preserve"> They are reproduced here from a secondary reading and are</w:t>
        <w:br/>
        <w:t>close enough to plan with, not to publish unchecked.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Justification is in </w:t>
      </w:r>
      <w:r>
        <w:rPr>
          <w:rStyle w:val="SourceText"/>
        </w:rPr>
        <w:t>EVALUATION-PLAN.md</w:t>
      </w:r>
      <w:r>
        <w:rPr/>
        <w:t xml:space="preserve"> section 4 and</w:t>
        <w:br/>
        <w:t>must appear in Chapter 9 - reporting an unweighted score as plain "NASA-TLX" is</w:t>
        <w:br/>
        <w:t>the error to avoid. Always write "Raw TLX".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options, in order of preference: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Recommendation: 0-10 linear scale, multiplied by 10 at analysis time.</w:t>
      </w:r>
      <w:r>
        <w:rPr/>
        <w:t xml:space="preserve"> Then</w:t>
        <w:br/>
        <w:t xml:space="preserve">write in Chapter 9, in plain words: </w:t>
      </w:r>
      <w:r>
        <w:rPr>
          <w:rStyle w:val="Emphasis"/>
        </w:rPr>
        <w:t>"a 0-10 response scale was used in place of</w:t>
        <w:br/>
        <w:t>the original 20-interval line, and scores were rescaled to 0-100; this reduces</w:t>
        <w:br/>
        <w:t>the resolution of the instrument and the resulting values are not directly</w:t>
        <w:br/>
        <w:t>comparable to studies using the original scale."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Heading3"/>
        <w:bidi w:val="0"/>
        <w:jc w:val="left"/>
        <w:rPr/>
      </w:pPr>
      <w:r>
        <w:rPr/>
        <w:t>3.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 with the supervisor whether IST requires formal ethics approval for this</w:t>
        <w:br/>
        <w:t>study before running the first session.</w:t>
      </w:r>
      <w:r>
        <w:rPr/>
        <w:t xml:space="preserve"> The consent form below is written to</w:t>
        <w:br/>
        <w:t>be sufficient on its own, but it is not a substitute for an institutional</w:t>
        <w:br/>
        <w:t>requirement if one exists. This is on the pre-flight checklist.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a set of predefined tasks, thinking aloud as you go. Afterwards you</w:t>
        <w:br/>
        <w:t>will fill in three short questionnaires, taking about 20 minutes. You may</w:t>
        <w:br/>
        <w:t>optionally be invited 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um conjunto de tarefas predefinidas, verbalizando o seu</w:t>
        <w:br/>
        <w:t>raciocínio. Depois preencherá três questionários curtos, cerca de 20 minutos.</w:t>
        <w:br/>
        <w:t>Poderá 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six tasks in a tool called Apex. I want to</w:t>
        <w:br/>
        <w:t>be clear that we are testing the tool, not you. If something is confusing or</w:t>
        <w:br/>
        <w:t>you cannot find something, that is exactly what I need to know. There is no</w:t>
        <w:br/>
        <w:t>way for you to get 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4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