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835" w:after="283"/>
        <w:jc w:val="center"/>
        <w:rPr/>
      </w:pPr>
      <w:r>
        <w:rPr/>
        <w:t>Apex Evaluation Package</w:t>
      </w:r>
    </w:p>
    <w:p>
      <w:pPr>
        <w:pStyle w:val="TextBody"/>
        <w:bidi w:val="0"/>
        <w:spacing w:before="2835" w:after="283"/>
        <w:jc w:val="center"/>
        <w:rPr/>
      </w:pPr>
      <w:r>
        <w:rPr/>
        <w:t>SUS, NASA-TLX, UI/UX instruments and study protocol</w:t>
      </w:r>
    </w:p>
    <w:p>
      <w:pPr>
        <w:pStyle w:val="TextBody"/>
        <w:bidi w:val="0"/>
        <w:spacing w:before="2835" w:after="283"/>
        <w:jc w:val="center"/>
        <w:rPr/>
      </w:pPr>
      <w:r>
        <w:rPr/>
        <w:t>Tomas dos Santos Taborda</w:t>
        <w:br/>
        <w:t>MEIC-T, Instituto Superior Tecnico, Universidade de Lisboa</w:t>
        <w:br/>
        <w:t>Supervisors: Prof. Miguel Mira da Silva, Hugo de Sousa</w:t>
        <w:br/>
        <w:br/>
      </w:r>
      <w:r>
        <w:rPr>
          <w:b/>
        </w:rPr>
        <w:t>Draft. No data has been collected.</w:t>
      </w:r>
      <w:r>
        <w:rPr/>
        <w:br/>
        <w:t xml:space="preserve">Generated 2026-08-11 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Forms build guide and master TODO</w:t>
      </w:r>
    </w:p>
    <w:p>
      <w:pPr>
        <w:pStyle w:val="TextBody"/>
        <w:bidi w:val="0"/>
        <w:spacing w:before="0" w:after="283"/>
        <w:jc w:val="left"/>
        <w:rPr/>
      </w:pPr>
      <w:r>
        <w:rPr/>
        <w:t>What to build, in what order, question by question. Follow this top to bottom</w:t>
        <w:br/>
        <w:t>and the study is ready to pilot.</w:t>
      </w:r>
    </w:p>
    <w:p>
      <w:pPr>
        <w:pStyle w:val="TextBody"/>
        <w:bidi w:val="0"/>
        <w:spacing w:before="0" w:after="283"/>
        <w:jc w:val="left"/>
        <w:rPr/>
      </w:pPr>
      <w:r>
        <w:rPr/>
        <w:t>Four forms. The task script links to three of them; the fourth is completed</w:t>
        <w:br/>
        <w:t>before the script is opened.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6"/>
        <w:gridCol w:w="1967"/>
        <w:gridCol w:w="1672"/>
        <w:gridCol w:w="1434"/>
      </w:tblGrid>
      <w:tr>
        <w:trPr>
          <w:tblHeader w:val="true"/>
        </w:trPr>
        <w:tc>
          <w:tcPr>
            <w:tcW w:w="34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1967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Form</w:t>
            </w:r>
          </w:p>
        </w:tc>
        <w:tc>
          <w:tcPr>
            <w:tcW w:w="1672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When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Times submitted</w:t>
            </w:r>
          </w:p>
        </w:tc>
      </w:tr>
      <w:tr>
        <w:trPr/>
        <w:tc>
          <w:tcPr>
            <w:tcW w:w="3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F0</w:t>
            </w:r>
          </w:p>
        </w:tc>
        <w:tc>
          <w:tcPr>
            <w:tcW w:w="196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Consent and demographics</w:t>
            </w:r>
          </w:p>
        </w:tc>
        <w:tc>
          <w:tcPr>
            <w:tcW w:w="16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before anything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once</w:t>
            </w:r>
          </w:p>
        </w:tc>
      </w:tr>
      <w:tr>
        <w:trPr/>
        <w:tc>
          <w:tcPr>
            <w:tcW w:w="3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F1</w:t>
            </w:r>
          </w:p>
        </w:tc>
        <w:tc>
          <w:tcPr>
            <w:tcW w:w="196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Raw NASA-TLX</w:t>
            </w:r>
          </w:p>
        </w:tc>
        <w:tc>
          <w:tcPr>
            <w:tcW w:w="16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after tasks 3, 4, 6, 7, 8, 9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six times</w:t>
            </w:r>
          </w:p>
        </w:tc>
      </w:tr>
      <w:tr>
        <w:trPr/>
        <w:tc>
          <w:tcPr>
            <w:tcW w:w="3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F2</w:t>
            </w:r>
          </w:p>
        </w:tc>
        <w:tc>
          <w:tcPr>
            <w:tcW w:w="196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SUS</w:t>
            </w:r>
          </w:p>
        </w:tc>
        <w:tc>
          <w:tcPr>
            <w:tcW w:w="16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after task 9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once</w:t>
            </w:r>
          </w:p>
        </w:tc>
      </w:tr>
      <w:tr>
        <w:trPr/>
        <w:tc>
          <w:tcPr>
            <w:tcW w:w="3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F3</w:t>
            </w:r>
          </w:p>
        </w:tc>
        <w:tc>
          <w:tcPr>
            <w:tcW w:w="196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Apex UX</w:t>
            </w:r>
          </w:p>
        </w:tc>
        <w:tc>
          <w:tcPr>
            <w:tcW w:w="16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after SUS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once</w:t>
            </w:r>
          </w:p>
        </w:tc>
      </w:tr>
    </w:tbl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Master TODO, in order</w:t>
      </w:r>
    </w:p>
    <w:p>
      <w:pPr>
        <w:pStyle w:val="Heading3"/>
        <w:bidi w:val="0"/>
        <w:jc w:val="left"/>
        <w:rPr/>
      </w:pPr>
      <w:r>
        <w:rPr/>
        <w:t>Before building anything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Email the supervisor.</w:t>
      </w:r>
      <w:r>
        <w:rPr/>
        <w:t xml:space="preserve"> Two questions: does this study need an ethics</w:t>
        <w:br/>
        <w:t>committee submission, and is there a standard IST consent template to use</w:t>
        <w:br/>
        <w:t xml:space="preserve">instead of the one in </w:t>
      </w:r>
      <w:r>
        <w:rPr>
          <w:rStyle w:val="SourceText"/>
        </w:rPr>
        <w:t>consent-and-briefing.md</w:t>
      </w:r>
      <w:r>
        <w:rPr/>
        <w:t>. This gates the first</w:t>
        <w:br/>
        <w:t xml:space="preserve">session and nothing else unblocks it.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~~Decide the PT SUS question.~~ </w:t>
      </w:r>
      <w:r>
        <w:rPr>
          <w:rStyle w:val="StrongEmphasis"/>
        </w:rPr>
        <w:t>CLOSED.</w:t>
      </w:r>
      <w:r>
        <w:rPr/>
        <w:t xml:space="preserve"> Validated European Portuguese</w:t>
        <w:br/>
        <w:t>version, Martins et al. (2015). Paper obtained, ten items transcribed</w:t>
        <w:br/>
        <w:t xml:space="preserve">verbatim into </w:t>
      </w:r>
      <w:r>
        <w:rPr>
          <w:rStyle w:val="SourceText"/>
        </w:rPr>
        <w:t>instrument-sus.md</w:t>
      </w:r>
      <w:r>
        <w:rPr/>
        <w:t xml:space="preserve">. F2-PT is ready to build.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Decide the TLX response scale.</w:t>
      </w:r>
      <w:r>
        <w:rPr/>
        <w:t xml:space="preserve"> 0-10 rescaled to 0-100, or a form tool</w:t>
        <w:br/>
        <w:t xml:space="preserve">with a real slider. Cannot change mid-study.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Decide the arm split.</w:t>
      </w:r>
      <w:r>
        <w:rPr/>
        <w:t xml:space="preserve"> Unmoderated only, or unmoderated plus 3-4</w:t>
        <w:br/>
        <w:t xml:space="preserve">moderated sessions. </w:t>
      </w:r>
    </w:p>
    <w:p>
      <w:pPr>
        <w:pStyle w:val="Heading3"/>
        <w:bidi w:val="0"/>
        <w:jc w:val="left"/>
        <w:rPr/>
      </w:pPr>
      <w:r>
        <w:rPr/>
        <w:t>Build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Build F0, F1, F2, F3 as specified below.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Test-submit every form once yourself. Open the response spreadsheet and</w:t>
        <w:br/>
        <w:t xml:space="preserve">check the column headers are usable. Delete the test rows.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Generate six prefilled F1 links, one per task, so the participant does not</w:t>
        <w:br/>
        <w:t>retype the task name. Google Forms: three-dot menu, "Get pre-filled link",</w:t>
        <w:br/>
        <w:t>set the task field, copy the URL. Paste each into the matching task in the</w:t>
        <w:br/>
        <w:t xml:space="preserve">script.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Seed the demo project. Confirm </w:t>
      </w:r>
      <w:r>
        <w:rPr>
          <w:rStyle w:val="SourceText"/>
        </w:rPr>
        <w:t>Export board to CSV</w:t>
      </w:r>
      <w:r>
        <w:rPr/>
        <w:t xml:space="preserve"> exists and has </w:t>
      </w:r>
      <w:r>
        <w:rPr>
          <w:rStyle w:val="StrongEmphasis"/>
        </w:rPr>
        <w:t>never</w:t>
      </w:r>
      <w:r>
        <w:rPr/>
        <w:br/>
        <w:t xml:space="preserve">passed QA. Task 8 does nothing without it.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Capture the nine reference screenshots from the seeded project.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Fill the four placeholder links into </w:t>
      </w:r>
      <w:r>
        <w:rPr>
          <w:rStyle w:val="SourceText"/>
        </w:rPr>
        <w:t>task-script.md</w:t>
      </w:r>
      <w:r>
        <w:rPr/>
        <w:t xml:space="preserve"> and export it to PDF.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Print participant code cards: code, sign-in credentials, GitHub repo URL,</w:t>
        <w:br/>
        <w:t xml:space="preserve">PAT. </w:t>
      </w:r>
    </w:p>
    <w:p>
      <w:pPr>
        <w:pStyle w:val="Heading3"/>
        <w:bidi w:val="0"/>
        <w:jc w:val="left"/>
        <w:rPr/>
      </w:pPr>
      <w:r>
        <w:rPr/>
        <w:t>Pilot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Run </w:t>
      </w:r>
      <w:r>
        <w:rPr>
          <w:rStyle w:val="StrongEmphasis"/>
        </w:rPr>
        <w:t>one</w:t>
      </w:r>
      <w:r>
        <w:rPr/>
        <w:t xml:space="preserve"> pilot participant. Not counted, ever.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Check the pilot returned six correctly labelled F1 rows. If not, fix F1</w:t>
        <w:br/>
        <w:t xml:space="preserve">before anyone else runs.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Time the pilot. If the tasks overrun 60 minutes, cut an optional task, not a</w:t>
        <w:br/>
        <w:t xml:space="preserve">marked one.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Fix whatever the pilot broke, then freeze everything. No wording changes</w:t>
        <w:br/>
        <w:t xml:space="preserve">after this point. </w:t>
      </w:r>
    </w:p>
    <w:p>
      <w:pPr>
        <w:pStyle w:val="Heading3"/>
        <w:bidi w:val="0"/>
        <w:jc w:val="left"/>
        <w:rPr/>
      </w:pPr>
      <w:r>
        <w:rPr/>
        <w:t>Run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Recruit and run. Reset the demo project between participants and verify the</w:t>
        <w:br/>
        <w:t xml:space="preserve">reset. 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Log any technical failure against the specific task it happened in. </w:t>
      </w:r>
    </w:p>
    <w:p>
      <w:pPr>
        <w:pStyle w:val="Heading3"/>
        <w:bidi w:val="0"/>
        <w:jc w:val="left"/>
        <w:rPr/>
      </w:pPr>
      <w:r>
        <w:rPr/>
        <w:t>After</w:t>
      </w:r>
    </w:p>
    <w:p>
      <w:pPr>
        <w:pStyle w:val="TextBody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Export all four response sheets to CSV. </w:t>
      </w:r>
    </w:p>
    <w:p>
      <w:pPr>
        <w:pStyle w:val="TextBody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Score SUS per </w:t>
      </w:r>
      <w:r>
        <w:rPr>
          <w:rStyle w:val="SourceText"/>
        </w:rPr>
        <w:t>instrument-sus.md</w:t>
      </w:r>
      <w:r>
        <w:rPr/>
        <w:t>. Build the TLX matrix per</w:t>
        <w:br/>
      </w:r>
      <w:r>
        <w:rPr>
          <w:rStyle w:val="SourceText"/>
        </w:rPr>
        <w:t>instrument-nasa-tlx.md</w:t>
      </w:r>
      <w:r>
        <w:rPr/>
        <w:t xml:space="preserve">. </w:t>
      </w:r>
    </w:p>
    <w:p>
      <w:pPr>
        <w:pStyle w:val="TextBody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Write Chapter 9 results. Write the deviations you decided in steps 2 and 3</w:t>
        <w:br/>
        <w:t xml:space="preserve">into the text explicitly.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F0 - Consent and demographics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Single form, two sections. Turn </w:t>
      </w:r>
      <w:r>
        <w:rPr>
          <w:rStyle w:val="StrongEmphasis"/>
        </w:rPr>
        <w:t>off</w:t>
      </w:r>
      <w:r>
        <w:rPr/>
        <w:t xml:space="preserve"> "collect email addresses" - it defeats</w:t>
        <w:br/>
        <w:t>the anonymity claim in the consent text.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Section 1: Consent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Paste the consent text from </w:t>
      </w:r>
      <w:r>
        <w:rPr>
          <w:rStyle w:val="SourceText"/>
        </w:rPr>
        <w:t>consent-and-briefing.md</w:t>
      </w:r>
      <w:r>
        <w:rPr/>
        <w:t xml:space="preserve"> into the section</w:t>
        <w:br/>
        <w:t>description. Then: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1"/>
        <w:gridCol w:w="1193"/>
        <w:gridCol w:w="946"/>
        <w:gridCol w:w="3009"/>
      </w:tblGrid>
      <w:tr>
        <w:trPr>
          <w:tblHeader w:val="true"/>
        </w:trPr>
        <w:tc>
          <w:tcPr>
            <w:tcW w:w="27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Type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Required</w:t>
            </w:r>
          </w:p>
        </w:tc>
        <w:tc>
          <w:tcPr>
            <w:tcW w:w="3009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Content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Short answer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00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Participant code (on your card)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Checkboxes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00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I confirm I have read and understood the above and I agree to take part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Checkboxes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</w:t>
            </w:r>
          </w:p>
        </w:tc>
        <w:tc>
          <w:tcPr>
            <w:tcW w:w="300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I consent to anonymised quotations being used in the dissertation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Checkboxes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</w:t>
            </w:r>
          </w:p>
        </w:tc>
        <w:tc>
          <w:tcPr>
            <w:tcW w:w="300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I agree to be contacted about a follow-up interview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Checkboxes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</w:t>
            </w:r>
          </w:p>
        </w:tc>
        <w:tc>
          <w:tcPr>
            <w:tcW w:w="300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I consent to the session being screen and audio recorded</w:t>
            </w:r>
            <w:r>
              <w:rPr/>
              <w:t xml:space="preserve"> - </w:t>
            </w:r>
            <w:r>
              <w:rPr>
                <w:rStyle w:val="StrongEmphasis"/>
              </w:rPr>
              <w:t>moderated arm only</w:t>
            </w:r>
            <w:r>
              <w:rPr/>
              <w:t>, delete this question for the unmoderated form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Section 2: About you</w:t>
      </w:r>
      <w:r>
        <w:rPr/>
        <w:t xml:space="preserve"> - G1 to G6 exactly as listed in</w:t>
        <w:br/>
      </w:r>
      <w:r>
        <w:rPr>
          <w:rStyle w:val="SourceText"/>
        </w:rPr>
        <w:t>consent-and-briefing.md</w:t>
      </w:r>
      <w:r>
        <w:rPr/>
        <w:t>. All multiple choice, all required except G2's "other".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F1 - Raw NASA-TLX</w:t>
      </w:r>
    </w:p>
    <w:p>
      <w:pPr>
        <w:pStyle w:val="TextBody"/>
        <w:bidi w:val="0"/>
        <w:spacing w:before="0" w:after="283"/>
        <w:jc w:val="left"/>
        <w:rPr/>
      </w:pPr>
      <w:r>
        <w:rPr/>
        <w:t>The one that must be right. It is submitted six times per participant.</w:t>
      </w:r>
    </w:p>
    <w:p>
      <w:pPr>
        <w:pStyle w:val="TextBody"/>
        <w:bidi w:val="0"/>
        <w:spacing w:before="0" w:after="283"/>
        <w:jc w:val="left"/>
        <w:rPr/>
      </w:pPr>
      <w:r>
        <w:rPr/>
        <w:t>Title it something the participant will recognise mid-task, for example</w:t>
        <w:br/>
        <w:t>"Apex - workload after each task".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1"/>
        <w:gridCol w:w="1019"/>
        <w:gridCol w:w="946"/>
        <w:gridCol w:w="3183"/>
      </w:tblGrid>
      <w:tr>
        <w:trPr>
          <w:tblHeader w:val="true"/>
        </w:trPr>
        <w:tc>
          <w:tcPr>
            <w:tcW w:w="27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Type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Required</w:t>
            </w:r>
          </w:p>
        </w:tc>
        <w:tc>
          <w:tcPr>
            <w:tcW w:w="3183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Content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Short answer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1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Participant code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Multiple choice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1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Which task? </w:t>
            </w:r>
            <w:r>
              <w:rPr>
                <w:rStyle w:val="SourceText"/>
              </w:rPr>
              <w:t>Task 3 - Requirement to locked scenarios</w:t>
            </w:r>
            <w:r>
              <w:rPr/>
              <w:t xml:space="preserve"> / </w:t>
            </w:r>
            <w:r>
              <w:rPr>
                <w:rStyle w:val="SourceText"/>
              </w:rPr>
              <w:t>Task 4 - Produce and lock the design</w:t>
            </w:r>
            <w:r>
              <w:rPr/>
              <w:t xml:space="preserve"> / </w:t>
            </w:r>
            <w:r>
              <w:rPr>
                <w:rStyle w:val="SourceText"/>
              </w:rPr>
              <w:t>Task 6 - Break the work into implementation tasks</w:t>
            </w:r>
            <w:r>
              <w:rPr/>
              <w:t xml:space="preserve"> / </w:t>
            </w:r>
            <w:r>
              <w:rPr>
                <w:rStyle w:val="SourceText"/>
              </w:rPr>
              <w:t>Task 7 - Test plan and QA sign-off</w:t>
            </w:r>
            <w:r>
              <w:rPr/>
              <w:t xml:space="preserve"> / </w:t>
            </w:r>
            <w:r>
              <w:rPr>
                <w:rStyle w:val="SourceText"/>
              </w:rPr>
              <w:t>Task 8 - Deploy a different feature</w:t>
            </w:r>
            <w:r>
              <w:rPr/>
              <w:t xml:space="preserve"> / </w:t>
            </w:r>
            <w:r>
              <w:rPr>
                <w:rStyle w:val="SourceText"/>
              </w:rPr>
              <w:t>Task 9 - Export what the tool produced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Linear scale 0-10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1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Mental Demand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Linear scale 0-10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1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Physical Demand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Linear scale 0-10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1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Temporal Demand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Linear scale 0-10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1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Effort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Linear scale 0-10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1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Frustration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Linear scale 0-10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1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Performance</w:t>
            </w:r>
            <w:r>
              <w:rPr/>
              <w:t xml:space="preserve"> - reversed anchors, placed last on purpose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Paragraph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</w:t>
            </w:r>
          </w:p>
        </w:tc>
        <w:tc>
          <w:tcPr>
            <w:tcW w:w="31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Anything you want to say about this task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Every scale question needs its full description in the question help text</w:t>
      </w:r>
      <w:r>
        <w:rPr/>
        <w:t>,</w:t>
        <w:br/>
        <w:t xml:space="preserve">copied from </w:t>
      </w:r>
      <w:r>
        <w:rPr>
          <w:rStyle w:val="SourceText"/>
        </w:rPr>
        <w:t>instrument-nasa-tlx.md</w:t>
      </w:r>
      <w:r>
        <w:rPr/>
        <w:t>. Nobody is present to explain them.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Labels on each scale:</w:t>
      </w:r>
      <w:r>
        <w:rPr/>
        <w:br/>
        <w:t xml:space="preserve">- Q3 to Q7: left </w:t>
      </w:r>
      <w:r>
        <w:rPr>
          <w:rStyle w:val="SourceText"/>
        </w:rPr>
        <w:t>Very low</w:t>
      </w:r>
      <w:r>
        <w:rPr/>
        <w:t xml:space="preserve">, right </w:t>
      </w:r>
      <w:r>
        <w:rPr>
          <w:rStyle w:val="SourceText"/>
        </w:rPr>
        <w:t>Very high</w:t>
      </w:r>
      <w:r>
        <w:rPr/>
        <w:t>.</w:t>
        <w:br/>
        <w:t xml:space="preserve">- Q8 Performance: left </w:t>
      </w:r>
      <w:r>
        <w:rPr>
          <w:rStyle w:val="SourceText"/>
        </w:rPr>
        <w:t>Perfect</w:t>
      </w:r>
      <w:r>
        <w:rPr/>
        <w:t xml:space="preserve">, right </w:t>
      </w:r>
      <w:r>
        <w:rPr>
          <w:rStyle w:val="SourceText"/>
        </w:rPr>
        <w:t>Failure</w:t>
      </w:r>
      <w:r>
        <w:rPr/>
        <w:t>. Put the word</w:t>
        <w:br/>
        <w:t>"reversed" in the help text and repeat that good performance is the left end.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Task 6 and Task 8 need an extra prompt.</w:t>
      </w:r>
      <w:r>
        <w:rPr/>
        <w:t xml:space="preserve"> Add a paragraph question shown</w:t>
        <w:br/>
        <w:t>conditionally, or simply add to Q9's help text: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>If you are answering for Task 6, name the task you think must be done first</w:t>
        <w:br/>
        <w:t>and say why in one sentence. If you are answering for Task 8, describe in your</w:t>
        <w:br/>
        <w:t>own words what happened when you tried to deploy.</w:t>
      </w:r>
    </w:p>
    <w:p>
      <w:pPr>
        <w:pStyle w:val="TextBody"/>
        <w:bidi w:val="0"/>
        <w:spacing w:before="0" w:after="283"/>
        <w:jc w:val="left"/>
        <w:rPr/>
      </w:pPr>
      <w:r>
        <w:rPr/>
        <w:t>Simplest robust option: two extra optional paragraph questions, "For task 6</w:t>
        <w:br/>
        <w:t>only" and "For task 8 only". Conditional section logic in Google Forms is</w:t>
        <w:br/>
        <w:t>fragile and easy to misconfigure.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Scoring reminder:</w:t>
      </w:r>
      <w:r>
        <w:rPr/>
        <w:t xml:space="preserve"> multiply every 0-10 response by 10 at analysis time, and</w:t>
        <w:br/>
        <w:t>write the deviation into Chapter 9.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F2 - SUS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Ten items, in order, exactly as in </w:t>
      </w:r>
      <w:r>
        <w:rPr>
          <w:rStyle w:val="SourceText"/>
        </w:rPr>
        <w:t>instrument-sus.md</w:t>
      </w:r>
      <w:r>
        <w:rPr/>
        <w:t>. Do not reword, reorder,</w:t>
        <w:br/>
        <w:t>add or drop any item.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87"/>
        <w:gridCol w:w="1444"/>
        <w:gridCol w:w="946"/>
        <w:gridCol w:w="2542"/>
      </w:tblGrid>
      <w:tr>
        <w:trPr>
          <w:tblHeader w:val="true"/>
        </w:trPr>
        <w:tc>
          <w:tcPr>
            <w:tcW w:w="487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</w:t>
            </w:r>
          </w:p>
        </w:tc>
        <w:tc>
          <w:tcPr>
            <w:tcW w:w="1444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Type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Required</w:t>
            </w:r>
          </w:p>
        </w:tc>
        <w:tc>
          <w:tcPr>
            <w:tcW w:w="2542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Content</w:t>
            </w:r>
          </w:p>
        </w:tc>
      </w:tr>
      <w:tr>
        <w:trPr/>
        <w:tc>
          <w:tcPr>
            <w:tcW w:w="4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144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Short answer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5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Participant code</w:t>
            </w:r>
          </w:p>
        </w:tc>
      </w:tr>
      <w:tr>
        <w:trPr/>
        <w:tc>
          <w:tcPr>
            <w:tcW w:w="4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2-11</w:t>
            </w:r>
          </w:p>
        </w:tc>
        <w:tc>
          <w:tcPr>
            <w:tcW w:w="144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Linear scale </w:t>
            </w:r>
            <w:r>
              <w:rPr>
                <w:rStyle w:val="StrongEmphasis"/>
              </w:rPr>
              <w:t>1-5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5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SUS items 1 to 10, verbatim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 xml:space="preserve">Scale labels: left </w:t>
      </w:r>
      <w:r>
        <w:rPr>
          <w:rStyle w:val="SourceText"/>
        </w:rPr>
        <w:t>Strongly disagree</w:t>
      </w:r>
      <w:r>
        <w:rPr/>
        <w:t xml:space="preserve">, right </w:t>
      </w:r>
      <w:r>
        <w:rPr>
          <w:rStyle w:val="SourceText"/>
        </w:rPr>
        <w:t>Strongly agree</w:t>
      </w:r>
      <w:r>
        <w:rPr/>
        <w:t>. Same labels on</w:t>
        <w:br/>
        <w:t>all ten - alternating them is a common and fatal build error, because the</w:t>
        <w:br/>
        <w:t>scoring formula already handles the polarity reversal.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Form description: the participant instructions block from </w:t>
      </w:r>
      <w:r>
        <w:rPr>
          <w:rStyle w:val="SourceText"/>
        </w:rPr>
        <w:t>instrument-sus.md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Two separate forms, one per language.</w:t>
      </w:r>
      <w:r>
        <w:rPr/>
        <w:t xml:space="preserve"> F2-EN uses the English items. F2-PT</w:t>
        <w:br/>
        <w:t>uses the validated European Portuguese items from Martins et al. (2015), which</w:t>
        <w:br/>
        <w:t xml:space="preserve">are now transcribed verbatim in </w:t>
      </w:r>
      <w:r>
        <w:rPr>
          <w:rStyle w:val="SourceText"/>
        </w:rPr>
        <w:t>instrument-sus.md</w:t>
      </w:r>
      <w:r>
        <w:rPr/>
        <w:t xml:space="preserve"> under "As administered".</w:t>
        <w:br/>
        <w:t>Copy that table, not the "Published items, verbatim" one above it - the</w:t>
        <w:br/>
        <w:t xml:space="preserve">administered version is the same wording with </w:t>
      </w:r>
      <w:r>
        <w:rPr>
          <w:rStyle w:val="SourceText"/>
        </w:rPr>
        <w:t>este produto</w:t>
      </w:r>
      <w:r>
        <w:rPr/>
        <w:t xml:space="preserve"> replaced by</w:t>
        <w:br/>
      </w:r>
      <w:r>
        <w:rPr>
          <w:rStyle w:val="SourceText"/>
        </w:rPr>
        <w:t>o Apex</w:t>
      </w:r>
      <w:r>
        <w:rPr/>
        <w:t>, which is the only permitted change.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Do not mix languages within one form. PT anchors: </w:t>
      </w:r>
      <w:r>
        <w:rPr>
          <w:rStyle w:val="SourceText"/>
        </w:rPr>
        <w:t>Discordo totalmente</w:t>
      </w:r>
      <w:r>
        <w:rPr/>
        <w:t xml:space="preserve"> and</w:t>
        <w:br/>
      </w:r>
      <w:r>
        <w:rPr>
          <w:rStyle w:val="SourceText"/>
        </w:rPr>
        <w:t>Concordo totalmente</w:t>
      </w:r>
      <w:r>
        <w:rPr/>
        <w:t>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F3 - Apex UX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9"/>
        <w:gridCol w:w="1302"/>
        <w:gridCol w:w="946"/>
        <w:gridCol w:w="2802"/>
      </w:tblGrid>
      <w:tr>
        <w:trPr>
          <w:tblHeader w:val="true"/>
        </w:trPr>
        <w:tc>
          <w:tcPr>
            <w:tcW w:w="369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</w:t>
            </w:r>
          </w:p>
        </w:tc>
        <w:tc>
          <w:tcPr>
            <w:tcW w:w="1302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Type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Required</w:t>
            </w:r>
          </w:p>
        </w:tc>
        <w:tc>
          <w:tcPr>
            <w:tcW w:w="2802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Content</w:t>
            </w:r>
          </w:p>
        </w:tc>
      </w:tr>
      <w:tr>
        <w:trPr/>
        <w:tc>
          <w:tcPr>
            <w:tcW w:w="3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130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Short answer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80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Participant code</w:t>
            </w:r>
          </w:p>
        </w:tc>
      </w:tr>
      <w:tr>
        <w:trPr/>
        <w:tc>
          <w:tcPr>
            <w:tcW w:w="3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2-19</w:t>
            </w:r>
          </w:p>
        </w:tc>
        <w:tc>
          <w:tcPr>
            <w:tcW w:w="130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Multiple choice, 6 options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80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18 items A1-A4, B1-B5, C1-C4, D1-D2, E1-E3</w:t>
            </w:r>
          </w:p>
        </w:tc>
      </w:tr>
      <w:tr>
        <w:trPr/>
        <w:tc>
          <w:tcPr>
            <w:tcW w:w="3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</w:t>
            </w:r>
          </w:p>
        </w:tc>
        <w:tc>
          <w:tcPr>
            <w:tcW w:w="130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Paragraph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80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What was the single most confusing thing about using Apex?</w:t>
            </w:r>
          </w:p>
        </w:tc>
      </w:tr>
      <w:tr>
        <w:trPr/>
        <w:tc>
          <w:tcPr>
            <w:tcW w:w="3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21</w:t>
            </w:r>
          </w:p>
        </w:tc>
        <w:tc>
          <w:tcPr>
            <w:tcW w:w="130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Paragraph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80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Was there a point where you did not trust what the tool had produced? What made you doubt it?</w:t>
            </w:r>
          </w:p>
        </w:tc>
      </w:tr>
      <w:tr>
        <w:trPr/>
        <w:tc>
          <w:tcPr>
            <w:tcW w:w="3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22</w:t>
            </w:r>
          </w:p>
        </w:tc>
        <w:tc>
          <w:tcPr>
            <w:tcW w:w="130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Paragraph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80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If you could change one thing about the interface, what would it be?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Use multiple choice, not linear scale, for Q2-Q19.</w:t>
      </w:r>
      <w:r>
        <w:rPr/>
        <w:t xml:space="preserve"> The six options are</w:t>
        <w:br/>
      </w:r>
      <w:r>
        <w:rPr>
          <w:rStyle w:val="SourceText"/>
        </w:rPr>
        <w:t>1 Strongly disagree</w:t>
      </w:r>
      <w:r>
        <w:rPr/>
        <w:t xml:space="preserve">, </w:t>
      </w:r>
      <w:r>
        <w:rPr>
          <w:rStyle w:val="SourceText"/>
        </w:rPr>
        <w:t>2</w:t>
      </w:r>
      <w:r>
        <w:rPr/>
        <w:t xml:space="preserve">, </w:t>
      </w:r>
      <w:r>
        <w:rPr>
          <w:rStyle w:val="SourceText"/>
        </w:rPr>
        <w:t>3</w:t>
      </w:r>
      <w:r>
        <w:rPr/>
        <w:t xml:space="preserve">, </w:t>
      </w:r>
      <w:r>
        <w:rPr>
          <w:rStyle w:val="SourceText"/>
        </w:rPr>
        <w:t>4</w:t>
      </w:r>
      <w:r>
        <w:rPr/>
        <w:t xml:space="preserve">, </w:t>
      </w:r>
      <w:r>
        <w:rPr>
          <w:rStyle w:val="SourceText"/>
        </w:rPr>
        <w:t>5 Strongly agree</w:t>
      </w:r>
      <w:r>
        <w:rPr/>
        <w:t xml:space="preserve">, </w:t>
      </w:r>
      <w:r>
        <w:rPr>
          <w:rStyle w:val="SourceText"/>
        </w:rPr>
        <w:t>N/A - did not use this</w:t>
      </w:r>
      <w:r>
        <w:rPr/>
        <w:t>. A linear scale cannot carry an N/A option, and forcing a centre point for</w:t>
        <w:br/>
        <w:t>a surface the participant never opened manufactures data.</w:t>
      </w:r>
    </w:p>
    <w:p>
      <w:pPr>
        <w:pStyle w:val="TextBody"/>
        <w:bidi w:val="0"/>
        <w:spacing w:before="0" w:after="283"/>
        <w:jc w:val="left"/>
        <w:rPr/>
      </w:pPr>
      <w:r>
        <w:rPr/>
        <w:t>Group them into four sections matching A, B, C, D and E so the form does not</w:t>
        <w:br/>
        <w:t>read as a wall of 18 statements.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Response-sheet hygiene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Participant code is the join key across all four sheets. If a code is missing</w:t>
        <w:br/>
        <w:t>or mistyped, that row is orphaned. Print the code large on the card and ask</w:t>
        <w:br/>
        <w:t xml:space="preserve">for it first on every form. 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F1 produces six rows per participant. Sort by code then task before building</w:t>
        <w:br/>
        <w:t xml:space="preserve">the matrix. 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Google Forms writes the question text as the column header, which is unwieldy.</w:t>
        <w:br/>
        <w:t>Add a second header row of short names (</w:t>
      </w:r>
      <w:r>
        <w:rPr>
          <w:rStyle w:val="SourceText"/>
        </w:rPr>
        <w:t>mental</w:t>
      </w:r>
      <w:r>
        <w:rPr/>
        <w:t xml:space="preserve">, </w:t>
      </w:r>
      <w:r>
        <w:rPr>
          <w:rStyle w:val="SourceText"/>
        </w:rPr>
        <w:t>physical</w:t>
      </w:r>
      <w:r>
        <w:rPr/>
        <w:t xml:space="preserve">, </w:t>
      </w:r>
      <w:r>
        <w:rPr>
          <w:rStyle w:val="SourceText"/>
        </w:rPr>
        <w:t>temporal</w:t>
      </w:r>
      <w:r>
        <w:rPr/>
        <w:t>,</w:t>
        <w:br/>
      </w:r>
      <w:r>
        <w:rPr>
          <w:rStyle w:val="SourceText"/>
        </w:rPr>
        <w:t>effort</w:t>
      </w:r>
      <w:r>
        <w:rPr/>
        <w:t xml:space="preserve">, </w:t>
      </w:r>
      <w:r>
        <w:rPr>
          <w:rStyle w:val="SourceText"/>
        </w:rPr>
        <w:t>frustration</w:t>
      </w:r>
      <w:r>
        <w:rPr/>
        <w:t xml:space="preserve">, </w:t>
      </w:r>
      <w:r>
        <w:rPr>
          <w:rStyle w:val="SourceText"/>
        </w:rPr>
        <w:t>performance</w:t>
      </w:r>
      <w:r>
        <w:rPr/>
        <w:t>) before analysis, or rename the columns</w:t>
        <w:br/>
        <w:t xml:space="preserve">in a copy of the sheet. Never edit the raw response sheet itself. 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Export to CSV and keep the raw exports untouched. Do all cleaning in a copy.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What goes in Appendix B</w:t>
      </w:r>
    </w:p>
    <w:p>
      <w:pPr>
        <w:pStyle w:val="TextBody"/>
        <w:bidi w:val="0"/>
        <w:spacing w:before="0" w:after="283"/>
        <w:jc w:val="left"/>
        <w:rPr/>
      </w:pPr>
      <w:r>
        <w:rPr/>
        <w:t>Once the study has run, Appendix B needs: the SUS form as administered, the</w:t>
        <w:br/>
        <w:t>Raw TLX form as administered including subscale descriptions and the response</w:t>
        <w:br/>
        <w:t>scale actually used, the UX questionnaire, both interview guides, the consent</w:t>
        <w:br/>
        <w:t>form, and the per-participant raw scores in anonymised form.</w:t>
      </w:r>
    </w:p>
    <w:p>
      <w:pPr>
        <w:pStyle w:val="TextBody"/>
        <w:bidi w:val="0"/>
        <w:spacing w:before="0" w:after="283"/>
        <w:jc w:val="left"/>
        <w:rPr/>
      </w:pPr>
      <w:r>
        <w:rPr/>
        <w:t>Everything except the raw scores already exists in these files. Appendix B is</w:t>
        <w:br/>
        <w:t xml:space="preserve">currently four </w:t>
      </w:r>
      <w:r>
        <w:rPr>
          <w:rStyle w:val="SourceText"/>
        </w:rPr>
        <w:t>\todo</w:t>
      </w:r>
      <w:r>
        <w:rPr/>
        <w:t xml:space="preserve"> prompts.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Apex evaluation plan - SUS, NASA-TLX and UI/UX instruments</w:t>
      </w:r>
    </w:p>
    <w:p>
      <w:pPr>
        <w:pStyle w:val="TextBody"/>
        <w:bidi w:val="0"/>
        <w:spacing w:before="0" w:after="283"/>
        <w:jc w:val="left"/>
        <w:rPr/>
      </w:pPr>
      <w:r>
        <w:rPr/>
        <w:t>Working document. Defines the empirical study that feeds Chapter 9 (Evaluation)</w:t>
        <w:br/>
        <w:t xml:space="preserve">and Appendix B. Written </w:t>
      </w:r>
      <w:r>
        <w:rPr>
          <w:rStyle w:val="StrongEmphasis"/>
        </w:rPr>
        <w:t>before</w:t>
      </w:r>
      <w:r>
        <w:rPr/>
        <w:t xml:space="preserve"> running the study on purpose: pre-registering</w:t>
        <w:br/>
        <w:t>the task set, the measures and the analysis is what separates a demonstration</w:t>
        <w:br/>
        <w:t>from an anecdote, and it is the single cheapest defence against "the</w:t>
        <w:br/>
        <w:t>observations were selected after the fact to suit the artefact".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Status: </w:t>
      </w:r>
      <w:r>
        <w:rPr>
          <w:rStyle w:val="StrongEmphasis"/>
        </w:rPr>
        <w:t>draft, not yet executed.</w:t>
      </w:r>
      <w:r>
        <w:rPr/>
        <w:t xml:space="preserve"> Nothing here has been administered.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1. What each instrument is allowed to claim</w:t>
      </w:r>
    </w:p>
    <w:p>
      <w:pPr>
        <w:pStyle w:val="TextBody"/>
        <w:bidi w:val="0"/>
        <w:spacing w:before="0" w:after="283"/>
        <w:jc w:val="left"/>
        <w:rPr/>
      </w:pPr>
      <w:r>
        <w:rPr/>
        <w:t>This is the sharpest attack surface in the whole thesis, so it is stated first</w:t>
        <w:br/>
        <w:t>and never softened later.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96"/>
        <w:gridCol w:w="1216"/>
        <w:gridCol w:w="1216"/>
        <w:gridCol w:w="1291"/>
      </w:tblGrid>
      <w:tr>
        <w:trPr>
          <w:tblHeader w:val="true"/>
        </w:trPr>
        <w:tc>
          <w:tcPr>
            <w:tcW w:w="169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Instrument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Artefact evaluated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Claim it supports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Claim it does NOT support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SUS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Apex (instantiation)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Perceived usability of the tool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That the framework is sound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NASA-TLX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Apex (instantiation)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Perceived workload while operating the tool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Delivered software quality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Apex UX questionnaire (custom)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Apex (instantiation)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Where specifically the UI helps or obstructs; AI trust calibration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Anything generalisable - unvalidated instrument, descriptive only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Task-performance measures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Apex (instantiation)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Objective completion, time, assists, errors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Long-term productivity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Practitioner interviews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Framework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Practicality and perceived value in real workflows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Usability of the tool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Agile/Scrum expert interviews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Framework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Alignment with and departure from established methodology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Adoption outcomes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Analytical assessment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Framework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Degree to which stated design criteria are met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Independent validation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 xml:space="preserve">A good SUS score for Apex is </w:t>
      </w:r>
      <w:r>
        <w:rPr>
          <w:rStyle w:val="StrongEmphasis"/>
        </w:rPr>
        <w:t>not</w:t>
      </w:r>
      <w:r>
        <w:rPr/>
        <w:t xml:space="preserve"> evidence that the framework works. Chapter 9</w:t>
        <w:br/>
        <w:t xml:space="preserve">already says this in </w:t>
      </w:r>
      <w:r>
        <w:rPr>
          <w:rStyle w:val="SourceText"/>
        </w:rPr>
        <w:t>\Cref{tab:eval_instruments}</w:t>
      </w:r>
      <w:r>
        <w:rPr/>
        <w:t>; keep it in the running text</w:t>
        <w:br/>
        <w:t>too.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Objective measures are included deliberately.</w:t>
      </w:r>
      <w:r>
        <w:rPr/>
        <w:t xml:space="preserve"> Chapter 9's threats section</w:t>
        <w:br/>
        <w:t>already concedes that "the instruments measure perception rather than delivered</w:t>
        <w:br/>
        <w:t>software quality". Adding completion rate, time on task and assist count costs</w:t>
        <w:br/>
        <w:t>nothing during the session and blunts that threat instead of merely admitting it.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2. Study design</w:t>
      </w:r>
    </w:p>
    <w:p>
      <w:pPr>
        <w:pStyle w:val="TextBody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Type:</w:t>
      </w:r>
      <w:r>
        <w:rPr/>
        <w:t xml:space="preserve"> ex post, naturalistic, single-setting, within-subject (no control</w:t>
        <w:br/>
        <w:t xml:space="preserve">group). Pries-Heje et al. classification already cited in Chapter 9. </w:t>
      </w:r>
    </w:p>
    <w:p>
      <w:pPr>
        <w:pStyle w:val="TextBody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Unit of analysis:</w:t>
      </w:r>
      <w:r>
        <w:rPr/>
        <w:t xml:space="preserve"> one practitioner completing a fixed task set in Apex on a</w:t>
        <w:br/>
        <w:t xml:space="preserve">real project. </w:t>
      </w:r>
    </w:p>
    <w:p>
      <w:pPr>
        <w:pStyle w:val="TextBody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Setting:</w:t>
      </w:r>
      <w:r>
        <w:rPr/>
        <w:t xml:space="preserve"> the partner organisation already using Apex (the same one driving</w:t>
        <w:br/>
        <w:t>the Plane.so migration), plus, if the sample is short, MEIC students or</w:t>
        <w:br/>
        <w:t xml:space="preserve">practitioners with a development background. </w:t>
      </w:r>
    </w:p>
    <w:p>
      <w:pPr>
        <w:pStyle w:val="TextBody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Session length:</w:t>
      </w:r>
      <w:r>
        <w:rPr/>
        <w:t xml:space="preserve"> about 60 minutes unmoderated, about 80 minutes moderated. </w:t>
      </w:r>
    </w:p>
    <w:p>
      <w:pPr>
        <w:pStyle w:val="TextBody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No control condition.</w:t>
      </w:r>
      <w:r>
        <w:rPr/>
        <w:t xml:space="preserve"> There is no baseline "same task without Apex" arm,</w:t>
        <w:br/>
        <w:t>because the task set is defined in terms of Apex's own artefacts. This is a</w:t>
        <w:br/>
        <w:t xml:space="preserve">real limitation and belongs in </w:t>
      </w:r>
      <w:r>
        <w:rPr>
          <w:rStyle w:val="SourceText"/>
        </w:rPr>
        <w:t>\Cref{sec:threats}</w:t>
      </w:r>
      <w:r>
        <w:rPr/>
        <w:t xml:space="preserve">, not hidden. </w:t>
      </w:r>
    </w:p>
    <w:p>
      <w:pPr>
        <w:pStyle w:val="Heading3"/>
        <w:bidi w:val="0"/>
        <w:jc w:val="left"/>
        <w:rPr/>
      </w:pPr>
      <w:r>
        <w:rPr/>
        <w:t>Two arms: unmoderated primary, moderated secondary</w:t>
      </w:r>
    </w:p>
    <w:p>
      <w:pPr>
        <w:pStyle w:val="TextBody"/>
        <w:bidi w:val="0"/>
        <w:spacing w:before="0" w:after="283"/>
        <w:jc w:val="left"/>
        <w:rPr/>
      </w:pPr>
      <w:r>
        <w:rPr/>
        <w:t>The study runs in two arms. This is a deliberate split, not indecision, and it</w:t>
        <w:br/>
        <w:t>must be described as such in Chapter 9.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94"/>
        <w:gridCol w:w="1963"/>
        <w:gridCol w:w="2462"/>
      </w:tblGrid>
      <w:tr>
        <w:trPr>
          <w:tblHeader w:val="true"/>
        </w:trPr>
        <w:tc>
          <w:tcPr>
            <w:tcW w:w="994" w:type="dxa"/>
            <w:tcBorders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963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>
                <w:rStyle w:val="StrongEmphasis"/>
                <w:b/>
              </w:rPr>
              <w:t>Arm 1 - unmoderated</w:t>
            </w:r>
          </w:p>
        </w:tc>
        <w:tc>
          <w:tcPr>
            <w:tcW w:w="2462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>
                <w:rStyle w:val="StrongEmphasis"/>
                <w:b/>
              </w:rPr>
              <w:t>Arm 2 - moderated</w:t>
            </w:r>
          </w:p>
        </w:tc>
      </w:tr>
      <w:tr>
        <w:trPr/>
        <w:tc>
          <w:tcPr>
            <w:tcW w:w="9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Target N</w:t>
            </w:r>
          </w:p>
        </w:tc>
        <w:tc>
          <w:tcPr>
            <w:tcW w:w="19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10-12</w:t>
            </w:r>
          </w:p>
        </w:tc>
        <w:tc>
          <w:tcPr>
            <w:tcW w:w="24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3-4</w:t>
            </w:r>
          </w:p>
        </w:tc>
      </w:tr>
      <w:tr>
        <w:trPr/>
        <w:tc>
          <w:tcPr>
            <w:tcW w:w="9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Format</w:t>
            </w:r>
          </w:p>
        </w:tc>
        <w:tc>
          <w:tcPr>
            <w:tcW w:w="19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Self-administered task script, remote, participant's own time</w:t>
            </w:r>
          </w:p>
        </w:tc>
        <w:tc>
          <w:tcPr>
            <w:tcW w:w="24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 person or screen-shared, facilitator present</w:t>
            </w:r>
          </w:p>
        </w:tc>
      </w:tr>
      <w:tr>
        <w:trPr/>
        <w:tc>
          <w:tcPr>
            <w:tcW w:w="9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Materials</w:t>
            </w:r>
          </w:p>
        </w:tc>
        <w:tc>
          <w:tcPr>
            <w:tcW w:w="19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task-script.md</w:t>
            </w:r>
            <w:r>
              <w:rPr/>
              <w:t xml:space="preserve"> plus three online forms</w:t>
            </w:r>
          </w:p>
        </w:tc>
        <w:tc>
          <w:tcPr>
            <w:tcW w:w="24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Same script, plus </w:t>
            </w:r>
            <w:r>
              <w:rPr>
                <w:rStyle w:val="SourceText"/>
              </w:rPr>
              <w:t>observer-sheet.md</w:t>
            </w:r>
          </w:p>
        </w:tc>
      </w:tr>
      <w:tr>
        <w:trPr/>
        <w:tc>
          <w:tcPr>
            <w:tcW w:w="9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Yields</w:t>
            </w:r>
          </w:p>
        </w:tc>
        <w:tc>
          <w:tcPr>
            <w:tcW w:w="19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SUS, per-task Raw TLX, UX questionnaire, self-reported outcomes</w:t>
            </w:r>
          </w:p>
        </w:tc>
        <w:tc>
          <w:tcPr>
            <w:tcW w:w="24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All of the above </w:t>
            </w:r>
            <w:r>
              <w:rPr>
                <w:rStyle w:val="StrongEmphasis"/>
              </w:rPr>
              <w:t>plus</w:t>
            </w:r>
            <w:r>
              <w:rPr/>
              <w:t xml:space="preserve"> think-aloud, assist counts, time on task, the Task 8 comprehension score</w:t>
            </w:r>
          </w:p>
        </w:tc>
      </w:tr>
      <w:tr>
        <w:trPr/>
        <w:tc>
          <w:tcPr>
            <w:tcW w:w="9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Does not yield</w:t>
            </w:r>
          </w:p>
        </w:tc>
        <w:tc>
          <w:tcPr>
            <w:tcW w:w="19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anything observational</w:t>
            </w:r>
          </w:p>
        </w:tc>
        <w:tc>
          <w:tcPr>
            <w:tcW w:w="24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N, realistically</w:t>
            </w:r>
          </w:p>
        </w:tc>
      </w:tr>
      <w:tr>
        <w:trPr/>
        <w:tc>
          <w:tcPr>
            <w:tcW w:w="9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Facilitator bias</w:t>
            </w:r>
          </w:p>
        </w:tc>
        <w:tc>
          <w:tcPr>
            <w:tcW w:w="19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none</w:t>
            </w:r>
          </w:p>
        </w:tc>
        <w:tc>
          <w:tcPr>
            <w:tcW w:w="24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present, mitigated only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Why both.</w:t>
      </w:r>
      <w:r>
        <w:rPr/>
        <w:t xml:space="preserve"> Arm 1 is the only realistic route to a usable SUS N, and it</w:t>
        <w:br/>
        <w:t>removes the facilitator-bias problem entirely, which matters unusually much here</w:t>
        <w:br/>
        <w:t>because the author designed both artefacts. Arm 2 supplies the observational</w:t>
        <w:br/>
        <w:t>findings that a questionnaire cannot reach: where people actually got stuck,</w:t>
        <w:br/>
        <w:t>what they said while stuck, and whether they understood the Task 8 refusal.</w:t>
        <w:br/>
        <w:t>Neither arm alone produces a defensible chapter.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Report the arms separately</w:t>
      </w:r>
      <w:r>
        <w:rPr/>
        <w:t xml:space="preserve"> wherever the instrument differs between them (see</w:t>
        <w:br/>
        <w:t>the TLX response-scale note below). Pooling arms silently is the error to avoid.</w:t>
      </w:r>
    </w:p>
    <w:p>
      <w:pPr>
        <w:pStyle w:val="Heading3"/>
        <w:bidi w:val="0"/>
        <w:jc w:val="left"/>
        <w:rPr/>
      </w:pPr>
      <w:r>
        <w:rPr/>
        <w:t>Per-task NASA-TLX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Raw TLX is administered </w:t>
      </w:r>
      <w:r>
        <w:rPr>
          <w:rStyle w:val="StrongEmphasis"/>
        </w:rPr>
        <w:t>after each marked task</w:t>
      </w:r>
      <w:r>
        <w:rPr/>
        <w:t>, not once at the end. Six</w:t>
        <w:br/>
        <w:t>administrations per participant, on script tasks 3, 4, 6, 7, 8 and 9. Rationale,</w:t>
        <w:br/>
        <w:t xml:space="preserve">costs and the anchoring/fatigue trade-off are in </w:t>
      </w:r>
      <w:r>
        <w:rPr>
          <w:rStyle w:val="SourceText"/>
        </w:rPr>
        <w:t>instrument-nasa-tlx.md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/>
        <w:t>The primary result becomes a six-subscale by six-task matrix, which is what lets</w:t>
        <w:br/>
        <w:t xml:space="preserve">the chapter say </w:t>
      </w:r>
      <w:r>
        <w:rPr>
          <w:rStyle w:val="Emphasis"/>
        </w:rPr>
        <w:t>where in the framework</w:t>
      </w:r>
      <w:r>
        <w:rPr/>
        <w:t xml:space="preserve"> the workload sits rather than only how</w:t>
        <w:br/>
        <w:t>much of it there is.</w:t>
      </w:r>
    </w:p>
    <w:p>
      <w:pPr>
        <w:pStyle w:val="Heading3"/>
        <w:bidi w:val="0"/>
        <w:jc w:val="left"/>
        <w:rPr/>
      </w:pPr>
      <w:r>
        <w:rPr/>
        <w:t>Session timetable</w:t>
      </w:r>
    </w:p>
    <w:p>
      <w:pPr>
        <w:pStyle w:val="TextBody"/>
        <w:bidi w:val="0"/>
        <w:spacing w:before="0" w:after="283"/>
        <w:jc w:val="left"/>
        <w:rPr/>
      </w:pPr>
      <w:r>
        <w:rPr/>
        <w:t>Arm 1, self-paced, roughly 60 minutes: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88"/>
        <w:gridCol w:w="4231"/>
      </w:tblGrid>
      <w:tr>
        <w:trPr>
          <w:tblHeader w:val="true"/>
        </w:trPr>
        <w:tc>
          <w:tcPr>
            <w:tcW w:w="118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Approx. min</w:t>
            </w:r>
          </w:p>
        </w:tc>
        <w:tc>
          <w:tcPr>
            <w:tcW w:w="423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Activity</w:t>
            </w:r>
          </w:p>
        </w:tc>
      </w:tr>
      <w:tr>
        <w:trPr/>
        <w:tc>
          <w:tcPr>
            <w:tcW w:w="11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0-5</w:t>
            </w:r>
          </w:p>
        </w:tc>
        <w:tc>
          <w:tcPr>
            <w:tcW w:w="42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Consent form and demographics, online</w:t>
            </w:r>
          </w:p>
        </w:tc>
      </w:tr>
      <w:tr>
        <w:trPr/>
        <w:tc>
          <w:tcPr>
            <w:tcW w:w="11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5-10</w:t>
            </w:r>
          </w:p>
        </w:tc>
        <w:tc>
          <w:tcPr>
            <w:tcW w:w="42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Read "Before You Begin", open the three form links</w:t>
            </w:r>
          </w:p>
        </w:tc>
      </w:tr>
      <w:tr>
        <w:trPr/>
        <w:tc>
          <w:tcPr>
            <w:tcW w:w="11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10-55</w:t>
            </w:r>
          </w:p>
        </w:tc>
        <w:tc>
          <w:tcPr>
            <w:tcW w:w="42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Tasks 1-9</w:t>
            </w:r>
            <w:r>
              <w:rPr/>
              <w:t>, with the TLX form after tasks 3, 4, 6, 7, 8, 9</w:t>
            </w:r>
          </w:p>
        </w:tc>
      </w:tr>
      <w:tr>
        <w:trPr/>
        <w:tc>
          <w:tcPr>
            <w:tcW w:w="11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55-58</w:t>
            </w:r>
          </w:p>
        </w:tc>
        <w:tc>
          <w:tcPr>
            <w:tcW w:w="42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SUS form</w:t>
            </w:r>
          </w:p>
        </w:tc>
      </w:tr>
      <w:tr>
        <w:trPr/>
        <w:tc>
          <w:tcPr>
            <w:tcW w:w="11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58-63</w:t>
            </w:r>
          </w:p>
        </w:tc>
        <w:tc>
          <w:tcPr>
            <w:tcW w:w="42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Apex UX form and the three open questions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Arm 2 adds a 5-minute scripted orientation before the tasks and runs about 80</w:t>
        <w:br/>
        <w:t>minutes, because think-aloud slows everything down.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Interviews are a </w:t>
      </w:r>
      <w:r>
        <w:rPr>
          <w:rStyle w:val="StrongEmphasis"/>
        </w:rPr>
        <w:t>separate</w:t>
      </w:r>
      <w:r>
        <w:rPr/>
        <w:t xml:space="preserve"> session for both arms, 30-45 minutes. Running one</w:t>
        <w:br/>
        <w:t>straight after an hour of task work produces fatigue answers.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Order matters at the end: SUS </w:t>
      </w:r>
      <w:r>
        <w:rPr>
          <w:rStyle w:val="StrongEmphasis"/>
        </w:rPr>
        <w:t>before</w:t>
      </w:r>
      <w:r>
        <w:rPr/>
        <w:t xml:space="preserve"> the UX questionnaire. SUS is the</w:t>
        <w:br/>
        <w:t>standardised, comparable instrument and should not be answered after 18 bespoke</w:t>
        <w:br/>
        <w:t>items have primed the participant about specific features.</w:t>
      </w:r>
    </w:p>
    <w:p>
      <w:pPr>
        <w:pStyle w:val="Heading3"/>
        <w:bidi w:val="0"/>
        <w:jc w:val="left"/>
        <w:rPr/>
      </w:pPr>
      <w:r>
        <w:rPr/>
        <w:t>Participants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Target N = 12</w:t>
      </w:r>
      <w:r>
        <w:rPr/>
        <w:t xml:space="preserve"> for SUS. Twelve is the point where SUS is generally treated</w:t>
        <w:br/>
        <w:t>as yielding a stable mean; below that, report the distribution and individual</w:t>
        <w:br/>
        <w:t xml:space="preserve">scores and make no inferential claim. 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Realistic N is likely lower.</w:t>
      </w:r>
      <w:r>
        <w:rPr/>
        <w:t xml:space="preserve"> If it is, say so plainly, report every</w:t>
        <w:br/>
        <w:t>individual score, plot the distribution, and drop all inferential statistics.</w:t>
        <w:br/>
        <w:t xml:space="preserve">A defensible small-N descriptive report beats an indefensible t-test. 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Interviews: 5-8 practitioners plus 2-3 Agile/Scrum experts. Interviews saturate</w:t>
        <w:br/>
        <w:t xml:space="preserve">much earlier than questionnaires; the two do not need the same N. 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Recruitment, consent, anonymisation and data handling: see</w:t>
        <w:br/>
      </w:r>
      <w:r>
        <w:rPr>
          <w:rStyle w:val="SourceText"/>
        </w:rPr>
        <w:t>consent-and-briefing.md</w:t>
      </w:r>
      <w:r>
        <w:rPr/>
        <w:t xml:space="preserve">. </w:t>
      </w:r>
    </w:p>
    <w:p>
      <w:pPr>
        <w:pStyle w:val="Heading3"/>
        <w:bidi w:val="0"/>
        <w:jc w:val="left"/>
        <w:rPr/>
      </w:pPr>
      <w:r>
        <w:rPr/>
        <w:t>Researcher role</w:t>
      </w:r>
    </w:p>
    <w:p>
      <w:pPr>
        <w:pStyle w:val="TextBody"/>
        <w:bidi w:val="0"/>
        <w:spacing w:before="0" w:after="283"/>
        <w:jc w:val="left"/>
        <w:rPr/>
      </w:pPr>
      <w:r>
        <w:rPr/>
        <w:t>The author designed both artefacts. This is a conflict and must be named in</w:t>
        <w:br/>
      </w:r>
      <w:r>
        <w:rPr>
          <w:rStyle w:val="SourceText"/>
        </w:rPr>
        <w:t>\Cref{sec:demo_design}</w:t>
      </w:r>
      <w:r>
        <w:rPr/>
        <w:t xml:space="preserve"> and again in </w:t>
      </w:r>
      <w:r>
        <w:rPr>
          <w:rStyle w:val="SourceText"/>
        </w:rPr>
        <w:t>\Cref{sec:threats}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Arm 1 removes it structurally.</w:t>
      </w:r>
      <w:r>
        <w:rPr/>
        <w:t xml:space="preserve"> No facilitator is present, the script is</w:t>
        <w:br/>
        <w:t>fixed text, and the forms are submitted without the author watching. This is the</w:t>
        <w:br/>
        <w:t>strongest single argument for making the unmoderated arm the primary one, and it</w:t>
        <w:br/>
        <w:t>should be stated in the chapter as a design choice rather than a convenience.</w:t>
      </w:r>
    </w:p>
    <w:p>
      <w:pPr>
        <w:pStyle w:val="TextBody"/>
        <w:bidi w:val="0"/>
        <w:spacing w:before="0" w:after="283"/>
        <w:jc w:val="left"/>
        <w:rPr/>
      </w:pPr>
      <w:r>
        <w:rPr/>
        <w:t>Arm 2 reintroduces the conflict, and there only mitigations are available:</w:t>
      </w:r>
    </w:p>
    <w:p>
      <w:pPr>
        <w:pStyle w:val="TextBody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The facilitator reads from a fixed script (in </w:t>
      </w:r>
      <w:r>
        <w:rPr>
          <w:rStyle w:val="SourceText"/>
        </w:rPr>
        <w:t>consent-and-briefing.md</w:t>
      </w:r>
      <w:r>
        <w:rPr/>
        <w:t>) and</w:t>
        <w:br/>
        <w:t xml:space="preserve">does not demonstrate, hint or defend the tool during tasks. </w:t>
      </w:r>
    </w:p>
    <w:p>
      <w:pPr>
        <w:pStyle w:val="TextBody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Assists are logged rather than silently given (observer sheet). </w:t>
      </w:r>
    </w:p>
    <w:p>
      <w:pPr>
        <w:pStyle w:val="TextBody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Questionnaires are self-administered, on the same forms as arm 1, without the</w:t>
        <w:br/>
        <w:t xml:space="preserve">facilitator watching. </w:t>
      </w:r>
    </w:p>
    <w:p>
      <w:pPr>
        <w:pStyle w:val="TextBody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Participants are told explicitly that the tool is being tested, not them, and</w:t>
        <w:br/>
        <w:t xml:space="preserve">that negative answers are the useful ones. </w:t>
      </w:r>
    </w:p>
    <w:p>
      <w:pPr>
        <w:pStyle w:val="TextBody"/>
        <w:bidi w:val="0"/>
        <w:jc w:val="left"/>
        <w:rPr/>
      </w:pPr>
      <w:r>
        <w:rPr/>
        <w:t>None of this removes the bias in arm 2. Say so, and report which findings come</w:t>
        <w:br/>
        <w:t>from which arm.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3. Task set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Participant-facing wording: </w:t>
      </w:r>
      <w:r>
        <w:rPr>
          <w:rStyle w:val="SourceText"/>
        </w:rPr>
        <w:t>task-script.md</w:t>
      </w:r>
      <w:r>
        <w:rPr/>
        <w:t>. What each task is testing, success</w:t>
        <w:br/>
        <w:t xml:space="preserve">criteria, expected times and the environment reset: </w:t>
      </w:r>
      <w:r>
        <w:rPr>
          <w:rStyle w:val="SourceText"/>
        </w:rPr>
        <w:t>task-set.md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/>
        <w:t>Nine tasks, identical for every participant, roughly 45 minutes of tool time.</w:t>
        <w:br/>
        <w:t>Six of them carry a Raw TLX form.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6"/>
        <w:gridCol w:w="2381"/>
        <w:gridCol w:w="481"/>
        <w:gridCol w:w="2331"/>
      </w:tblGrid>
      <w:tr>
        <w:trPr>
          <w:tblHeader w:val="true"/>
        </w:trPr>
        <w:tc>
          <w:tcPr>
            <w:tcW w:w="22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238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Task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TLX</w:t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Apex surface exercised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3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Sign in and open the project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Auth, PM tool selector, project picker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3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Connect the project to GitHub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Sidebar, PAT entry, connected state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23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Requirement to locked Gherkin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Phase 1, clarifying Q&amp;A, assumptions, lock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23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Produce and lock the design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Phase 2, technical + visual + runtime spec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23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Resume a previous session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Session store, active-project persistence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</w:t>
            </w:r>
          </w:p>
        </w:tc>
        <w:tc>
          <w:tcPr>
            <w:tcW w:w="23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Break the work into implementation tasks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Phase 3, packs, task DAG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</w:t>
            </w:r>
          </w:p>
        </w:tc>
        <w:tc>
          <w:tcPr>
            <w:tcW w:w="23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Test plan and QA sign-off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Phase 4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</w:t>
            </w:r>
          </w:p>
        </w:tc>
        <w:tc>
          <w:tcPr>
            <w:tcW w:w="23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Deploy a </w:t>
            </w:r>
            <w:r>
              <w:rPr>
                <w:rStyle w:val="StrongEmphasis"/>
              </w:rPr>
              <w:t>different</w:t>
            </w:r>
            <w:r>
              <w:rPr/>
              <w:t>, un-QA'd feature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Phase 5 deployment gate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</w:t>
            </w:r>
          </w:p>
        </w:tc>
        <w:tc>
          <w:tcPr>
            <w:tcW w:w="23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Export what the tool produced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Export and download paths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Optional and excluded from all measures: Phase 6 drift check, traceability</w:t>
        <w:br/>
        <w:t>explorer, Autopilot.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Task 8 is designed to be refused.</w:t>
      </w:r>
      <w:r>
        <w:rPr/>
        <w:t xml:space="preserve"> The gate blocks a story that is not</w:t>
        <w:br/>
      </w:r>
      <w:r>
        <w:rPr>
          <w:rStyle w:val="SourceText"/>
        </w:rPr>
        <w:t>qa_passed</w:t>
      </w:r>
      <w:r>
        <w:rPr/>
        <w:t xml:space="preserve">. Whether the participant understands </w:t>
      </w:r>
      <w:r>
        <w:rPr>
          <w:rStyle w:val="Emphasis"/>
        </w:rPr>
        <w:t>why</w:t>
      </w:r>
      <w:r>
        <w:rPr/>
        <w:t xml:space="preserve"> is the single most</w:t>
        <w:br/>
        <w:t>informative observation available, and it is the one place the UI has to explain</w:t>
        <w:br/>
        <w:t>a refusal rather than celebrate a success. In arm 1 it is captured by the open</w:t>
        <w:br/>
        <w:t>text on the TLX form and by UX item A4; in arm 2 it is additionally scored 2/1/0</w:t>
        <w:br/>
        <w:t>on the observer sheet.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Task 5 is a real regression test, not filler.</w:t>
      </w:r>
      <w:r>
        <w:rPr/>
        <w:t xml:space="preserve"> Session state lives in</w:t>
        <w:br/>
      </w:r>
      <w:r>
        <w:rPr>
          <w:rStyle w:val="SourceText"/>
        </w:rPr>
        <w:t>sessionStorage</w:t>
      </w:r>
      <w:r>
        <w:rPr/>
        <w:t xml:space="preserve"> and the active-project-survives-a-fresh-session bug was fixed</w:t>
        <w:br/>
        <w:t>only recently. Putting a tab close in the middle of the script exercises exactly</w:t>
        <w:br/>
        <w:t>that path with a real user, which no automated test does.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4. Instruments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81"/>
        <w:gridCol w:w="2538"/>
      </w:tblGrid>
      <w:tr>
        <w:trPr>
          <w:tblHeader w:val="true"/>
        </w:trPr>
        <w:tc>
          <w:tcPr>
            <w:tcW w:w="288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File</w:t>
            </w:r>
          </w:p>
        </w:tc>
        <w:tc>
          <w:tcPr>
            <w:tcW w:w="253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Contents</w:t>
            </w:r>
          </w:p>
        </w:tc>
      </w:tr>
      <w:tr>
        <w:trPr/>
        <w:tc>
          <w:tcPr>
            <w:tcW w:w="28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task-script.md</w:t>
            </w:r>
          </w:p>
        </w:tc>
        <w:tc>
          <w:tcPr>
            <w:tcW w:w="253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Participant-facing document</w:t>
            </w:r>
            <w:r>
              <w:rPr/>
              <w:t xml:space="preserve">, EN + PT. Hand this out. Format follows the LiteraFlow task script: numbered tasks, </w:t>
            </w:r>
            <w:r>
              <w:rPr>
                <w:rStyle w:val="SourceText"/>
              </w:rPr>
              <w:t>[TLX]</w:t>
            </w:r>
            <w:r>
              <w:rPr/>
              <w:t xml:space="preserve"> markers, reference screenshots, explicit stop instructions</w:t>
            </w:r>
          </w:p>
        </w:tc>
      </w:tr>
      <w:tr>
        <w:trPr/>
        <w:tc>
          <w:tcPr>
            <w:tcW w:w="28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instrument-sus.md</w:t>
            </w:r>
          </w:p>
        </w:tc>
        <w:tc>
          <w:tcPr>
            <w:tcW w:w="253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SUS, 10 items, EN + PT, scoring procedure, interpretation bands</w:t>
            </w:r>
          </w:p>
        </w:tc>
      </w:tr>
      <w:tr>
        <w:trPr/>
        <w:tc>
          <w:tcPr>
            <w:tcW w:w="28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instrument-nasa-tlx.md</w:t>
            </w:r>
          </w:p>
        </w:tc>
        <w:tc>
          <w:tcPr>
            <w:tcW w:w="253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Raw NASA-TLX, 6 subscales, EN + PT, subscale definitions as shown to participants</w:t>
            </w:r>
          </w:p>
        </w:tc>
      </w:tr>
      <w:tr>
        <w:trPr/>
        <w:tc>
          <w:tcPr>
            <w:tcW w:w="28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instrument-apex-ux.md</w:t>
            </w:r>
          </w:p>
        </w:tc>
        <w:tc>
          <w:tcPr>
            <w:tcW w:w="253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 18-item Apex UX questionnaire + 3 open questions, EN + PT</w:t>
            </w:r>
          </w:p>
        </w:tc>
      </w:tr>
      <w:tr>
        <w:trPr/>
        <w:tc>
          <w:tcPr>
            <w:tcW w:w="28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interview-guides.md</w:t>
            </w:r>
          </w:p>
        </w:tc>
        <w:tc>
          <w:tcPr>
            <w:tcW w:w="253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Practitioner guide and Agile/Scrum expert guide</w:t>
            </w:r>
          </w:p>
        </w:tc>
      </w:tr>
      <w:tr>
        <w:trPr/>
        <w:tc>
          <w:tcPr>
            <w:tcW w:w="28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observer-sheet.md</w:t>
            </w:r>
          </w:p>
        </w:tc>
        <w:tc>
          <w:tcPr>
            <w:tcW w:w="253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Per-task completion, time, assists, errors, critical incidents</w:t>
            </w:r>
          </w:p>
        </w:tc>
      </w:tr>
      <w:tr>
        <w:trPr/>
        <w:tc>
          <w:tcPr>
            <w:tcW w:w="28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consent-and-briefing.md</w:t>
            </w:r>
          </w:p>
        </w:tc>
        <w:tc>
          <w:tcPr>
            <w:tcW w:w="253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Informed consent, facilitator script, demographics form</w:t>
            </w:r>
          </w:p>
        </w:tc>
      </w:tr>
    </w:tbl>
    <w:p>
      <w:pPr>
        <w:pStyle w:val="Heading3"/>
        <w:bidi w:val="0"/>
        <w:jc w:val="left"/>
        <w:rPr/>
      </w:pPr>
      <w:r>
        <w:rPr/>
        <w:t>Raw TLX, not weighted TLX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Decision: use Raw TLX (unweighted).</w:t>
      </w:r>
      <w:r>
        <w:rPr/>
        <w:t xml:space="preserve"> Justification for the chapter:</w:t>
      </w:r>
    </w:p>
    <w:p>
      <w:pPr>
        <w:pStyle w:val="TextBody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The weighted procedure adds 15 pairwise comparisons. Under per-task</w:t>
        <w:br/>
        <w:t xml:space="preserve">administration that is 15 comparisons </w:t>
      </w:r>
      <w:r>
        <w:rPr>
          <w:rStyle w:val="StrongEmphasis"/>
        </w:rPr>
        <w:t>times six tasks</w:t>
      </w:r>
      <w:r>
        <w:rPr/>
        <w:t>, which is not</w:t>
        <w:br/>
        <w:t xml:space="preserve">survivable in a 60-minute unmoderated session. </w:t>
      </w:r>
    </w:p>
    <w:p>
      <w:pPr>
        <w:pStyle w:val="TextBody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Raw TLX correlates highly with weighted TLX and is the dominant form in</w:t>
        <w:br/>
        <w:t xml:space="preserve">software-tool evaluation. </w:t>
      </w:r>
    </w:p>
    <w:p>
      <w:pPr>
        <w:pStyle w:val="TextBody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The weights would have to be either collected once and applied to all six</w:t>
        <w:br/>
        <w:t>tasks, which assumes the participant's priorities do not change between</w:t>
        <w:br/>
        <w:t>phases, or collected six times, which nobody will complete. Neither is</w:t>
        <w:br/>
        <w:t xml:space="preserve">attractive; Raw TLX avoids the choice. </w:t>
      </w:r>
    </w:p>
    <w:p>
      <w:pPr>
        <w:pStyle w:val="TextBody"/>
        <w:bidi w:val="0"/>
        <w:jc w:val="left"/>
        <w:rPr/>
      </w:pPr>
      <w:r>
        <w:rPr/>
        <w:t xml:space="preserve">Chapter 9's </w:t>
      </w:r>
      <w:r>
        <w:rPr>
          <w:rStyle w:val="SourceText"/>
        </w:rPr>
        <w:t>\todo</w:t>
      </w:r>
      <w:r>
        <w:rPr/>
        <w:t xml:space="preserve"> at </w:t>
      </w:r>
      <w:r>
        <w:rPr>
          <w:rStyle w:val="SourceText"/>
        </w:rPr>
        <w:t>sec:tlx</w:t>
      </w:r>
      <w:r>
        <w:rPr/>
        <w:t xml:space="preserve"> says the justification matters more than the</w:t>
        <w:br/>
        <w:t>choice. This is the justification. Report it as "Raw TLX" explicitly, never as</w:t>
        <w:br/>
        <w:t>"NASA-TLX" unqualified.</w:t>
      </w:r>
    </w:p>
    <w:p>
      <w:pPr>
        <w:pStyle w:val="Heading3"/>
        <w:bidi w:val="0"/>
        <w:jc w:val="left"/>
        <w:rPr/>
      </w:pPr>
      <w:r>
        <w:rPr/>
        <w:t>The custom questionnaire is not a validated instrument</w:t>
      </w:r>
    </w:p>
    <w:p>
      <w:pPr>
        <w:pStyle w:val="TextBody"/>
        <w:bidi w:val="0"/>
        <w:spacing w:before="0" w:after="283"/>
        <w:jc w:val="left"/>
        <w:rPr/>
      </w:pPr>
      <w:r>
        <w:rPr/>
        <w:t>SUS cannot see the things this thesis actually cares about: whether the</w:t>
        <w:br/>
        <w:t>practitioner trusted the AI output, whether the phase gates read as guardrails</w:t>
        <w:br/>
        <w:t>or as obstruction, whether reviewing generated work felt cheaper than writing</w:t>
        <w:br/>
        <w:t>it. Those need bespoke items.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Consequence: report the 18 items </w:t>
      </w:r>
      <w:r>
        <w:rPr>
          <w:rStyle w:val="StrongEmphasis"/>
        </w:rPr>
        <w:t>descriptively, item by item</w:t>
      </w:r>
      <w:r>
        <w:rPr/>
        <w:t>, with no</w:t>
        <w:br/>
        <w:t>composite score, no Cronbach's alpha, no factor claims. An unvalidated</w:t>
        <w:br/>
        <w:t>instrument reported as a single number is exactly the sort of thing that gets</w:t>
        <w:br/>
        <w:t>attacked in a viva. Reported as a per-item diverging bar chart it is honest and</w:t>
        <w:br/>
        <w:t>genuinely informative.</w:t>
      </w:r>
    </w:p>
    <w:p>
      <w:pPr>
        <w:pStyle w:val="Heading3"/>
        <w:bidi w:val="0"/>
        <w:jc w:val="left"/>
        <w:rPr/>
      </w:pPr>
      <w:r>
        <w:rPr/>
        <w:t>Language</w:t>
      </w:r>
    </w:p>
    <w:p>
      <w:pPr>
        <w:pStyle w:val="TextBody"/>
        <w:bidi w:val="0"/>
        <w:spacing w:before="0" w:after="283"/>
        <w:jc w:val="left"/>
        <w:rPr/>
      </w:pPr>
      <w:r>
        <w:rPr/>
        <w:t>Every instrument is written EN + PT because the app itself ships EN/PT parity</w:t>
        <w:br/>
        <w:t>and the likely participants are Portuguese speakers.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PT SUS: decided 2026-08-11 - use the validated European Portuguese version</w:t>
      </w:r>
      <w:r>
        <w:rPr/>
        <w:br/>
        <w:t>(Martins et al., 2015). Consequences:</w:t>
      </w:r>
    </w:p>
    <w:p>
      <w:pPr>
        <w:pStyle w:val="TextBody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Done 2026-08-11: the paper was obtained and the ten items are transcribed</w:t>
        <w:br/>
        <w:t xml:space="preserve">verbatim in </w:t>
      </w:r>
      <w:r>
        <w:rPr>
          <w:rStyle w:val="SourceText"/>
        </w:rPr>
        <w:t>instrument-sus.md</w:t>
      </w:r>
      <w:r>
        <w:rPr>
          <w:rStyle w:val="StrongEmphasis"/>
        </w:rPr>
        <w:t>.</w:t>
      </w:r>
      <w:r>
        <w:rPr/>
        <w:t xml:space="preserve"> F2-PT can be built. </w:t>
      </w:r>
    </w:p>
    <w:p>
      <w:pPr>
        <w:pStyle w:val="TextBody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Chapter 9 states that the validated European Portuguese SUS was used, and</w:t>
        <w:br/>
        <w:t xml:space="preserve">cites Martins et al. alongside Brooke. </w:t>
      </w:r>
    </w:p>
    <w:p>
      <w:pPr>
        <w:pStyle w:val="TextBody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Only the system name is substituted ("o Apex" for "o sistema"). Nothing else</w:t>
        <w:br/>
        <w:t xml:space="preserve">changes. </w:t>
      </w:r>
    </w:p>
    <w:p>
      <w:pPr>
        <w:pStyle w:val="TextBody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The English SUS stays available for participants who choose EN. Report which</w:t>
        <w:br/>
        <w:t>language each participant used; do not pool EN and PT into one mean without</w:t>
        <w:br/>
        <w:t xml:space="preserve">saying so, since they are strictly two instruments. </w:t>
      </w:r>
    </w:p>
    <w:p>
      <w:pPr>
        <w:pStyle w:val="TextBody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State the instrument's reported limits in Chapter 9 pre-emptively.</w:t>
      </w:r>
      <w:r>
        <w:rPr/>
        <w:t xml:space="preserve"> Martins</w:t>
        <w:br/>
        <w:t xml:space="preserve">et al. report construct validity (r = 0.70 vs PSSUQ) but </w:t>
      </w:r>
      <w:r>
        <w:rPr>
          <w:rStyle w:val="StrongEmphasis"/>
        </w:rPr>
        <w:t>weak inter-rater</w:t>
        <w:br/>
        <w:t>reliability, ICC = 0.36</w:t>
      </w:r>
      <w:r>
        <w:rPr/>
        <w:t>, and 76.67% agreement against their own 80%</w:t>
        <w:br/>
        <w:t>threshold. They attribute it to the alternating item polarity. Their sample</w:t>
        <w:br/>
        <w:t>was also drawn from the general community, not software practitioners. All of</w:t>
        <w:br/>
        <w:t xml:space="preserve">this is in </w:t>
      </w:r>
      <w:r>
        <w:rPr>
          <w:rStyle w:val="SourceText"/>
        </w:rPr>
        <w:t>instrument-sus.md</w:t>
      </w:r>
      <w:r>
        <w:rPr/>
        <w:t>; one sentence in the text closes the line of</w:t>
        <w:br/>
        <w:t>attack that citing a validated instrument without knowing its limits would</w:t>
        <w:br/>
        <w:t xml:space="preserve">otherwise open.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5. Analysis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SUS</w:t>
      </w:r>
      <w:r>
        <w:rPr/>
        <w:br/>
        <w:t xml:space="preserve">- Score per participant: odd items </w:t>
      </w:r>
      <w:r>
        <w:rPr>
          <w:rStyle w:val="SourceText"/>
        </w:rPr>
        <w:t>response - 1</w:t>
      </w:r>
      <w:r>
        <w:rPr/>
        <w:t xml:space="preserve">, even items </w:t>
      </w:r>
      <w:r>
        <w:rPr>
          <w:rStyle w:val="SourceText"/>
        </w:rPr>
        <w:t>5 - response</w:t>
      </w:r>
      <w:r>
        <w:rPr/>
        <w:t>,</w:t>
        <w:br/>
        <w:t>sum, multiply by 2.5. Range 0-100.</w:t>
        <w:br/>
        <w:t xml:space="preserve">- </w:t>
      </w:r>
      <w:r>
        <w:rPr>
          <w:rStyle w:val="StrongEmphasis"/>
        </w:rPr>
        <w:t>Not a percentage.</w:t>
      </w:r>
      <w:r>
        <w:rPr/>
        <w:t xml:space="preserve"> State this in the chapter; it is the most common</w:t>
        <w:br/>
        <w:t>misreading of SUS.</w:t>
        <w:br/>
        <w:t>- Report: every individual score, mean, median, SD, min/max, and a dot plot.</w:t>
        <w:br/>
        <w:t>- Interpret against the Bangor adjective ratings and the Sauro/Lewis curved</w:t>
        <w:br/>
        <w:t>grade, never against a bare "68 is average".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Raw TLX</w:t>
      </w:r>
      <w:r>
        <w:rPr/>
        <w:br/>
        <w:t xml:space="preserve">- Primary artefact: the </w:t>
      </w:r>
      <w:r>
        <w:rPr>
          <w:rStyle w:val="StrongEmphasis"/>
        </w:rPr>
        <w:t>six subscales by six tasks matrix</w:t>
      </w:r>
      <w:r>
        <w:rPr/>
        <w:t>, as a heatmap.</w:t>
        <w:br/>
        <w:t>This is the headline figure of the chapter.</w:t>
        <w:br/>
        <w:t>- Then per-task aggregate, so the phases can be ranked by total workload.</w:t>
        <w:br/>
        <w:t>- Then the subscale profile collapsed across tasks, for the overall claim.</w:t>
        <w:br/>
        <w:t>- The single grand aggregate last, if at all.</w:t>
        <w:br/>
        <w:t xml:space="preserve">- Per-task predictions are written down in </w:t>
      </w:r>
      <w:r>
        <w:rPr>
          <w:rStyle w:val="SourceText"/>
        </w:rPr>
        <w:t>instrument-nasa-tlx.md</w:t>
      </w:r>
      <w:r>
        <w:rPr/>
        <w:t xml:space="preserve"> in advance,</w:t>
        <w:br/>
        <w:t>including the specific prediction that task 8, the deployment gate, carries the</w:t>
        <w:br/>
        <w:t>highest Frustration and lowest Performance. A mismatch is then a finding rather</w:t>
        <w:br/>
        <w:t>than something rationalised afterwards.</w:t>
        <w:br/>
        <w:t>- If the two arms used different response scales, report them separately and do</w:t>
        <w:br/>
        <w:t>not pool them into one mean without saying so.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Apex UX questionnaire</w:t>
      </w:r>
      <w:r>
        <w:rPr/>
        <w:br/>
        <w:t>- Per-item stacked/diverging bars. No composite.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Task performance</w:t>
      </w:r>
      <w:r>
        <w:rPr/>
        <w:br/>
        <w:t>- Arm 1: self-reported completion, plus form timestamps as a rough proxy for</w:t>
        <w:br/>
        <w:t>time per task. Treat the timestamps as indicative only; an unmoderated</w:t>
        <w:br/>
        <w:t>participant can walk away mid-task.</w:t>
        <w:br/>
        <w:t>- Arm 2: completion rate, median time on task, assist count, error count, and</w:t>
        <w:br/>
        <w:t>the task 8 comprehension score from the observer sheet.</w:t>
        <w:br/>
        <w:t>- Any task under 100% completion gets a written explanation, not just a number.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Interviews</w:t>
      </w:r>
      <w:r>
        <w:rPr/>
        <w:br/>
        <w:t>- Thematic analysis, codebook developed from the first two transcripts then</w:t>
        <w:br/>
        <w:t>applied to the rest.</w:t>
        <w:br/>
        <w:t>- Report disconfirming evidence explicitly and with the same prominence.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Triangulation</w:t>
      </w:r>
      <w:r>
        <w:rPr/>
        <w:br/>
        <w:t xml:space="preserve">- Cross-read the four sources. Where they disagree, the disagreement </w:t>
      </w:r>
      <w:r>
        <w:rPr>
          <w:rStyle w:val="Emphasis"/>
        </w:rPr>
        <w:t>is</w:t>
      </w:r>
      <w:r>
        <w:rPr/>
        <w:t xml:space="preserve"> the</w:t>
        <w:br/>
        <w:t>finding. Example worth watching for: a good SUS score alongside interview</w:t>
        <w:br/>
        <w:t>scepticism about process overhead - that pattern says the tool is pleasant and</w:t>
        <w:br/>
        <w:t>the method is heavy, which is a real and publishable result.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6. What still has to be decided</w:t>
      </w:r>
    </w:p>
    <w:p>
      <w:pPr>
        <w:pStyle w:val="TextBody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RQ naming.</w:t>
      </w:r>
      <w:r>
        <w:rPr/>
        <w:t xml:space="preserve"> </w:t>
      </w:r>
      <w:r>
        <w:rPr>
          <w:rStyle w:val="SourceText"/>
        </w:rPr>
        <w:t>\Cref{tab:eval_instruments}</w:t>
      </w:r>
      <w:r>
        <w:rPr/>
        <w:t xml:space="preserve"> maps instruments to RQ-A..RQ-D,</w:t>
        <w:br/>
        <w:t>which are still the unresolved assistant-written set colliding with the SLR's</w:t>
        <w:br/>
        <w:t>RQ1-RQ5. Every instrument mapping in this plan inherits that. Resolve the</w:t>
        <w:br/>
        <w:t xml:space="preserve">naming before Appendix B is typeset. </w:t>
      </w:r>
    </w:p>
    <w:p>
      <w:pPr>
        <w:pStyle w:val="TextBody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~~Validated PT SUS or own translation.~~ </w:t>
      </w:r>
      <w:r>
        <w:rPr>
          <w:rStyle w:val="StrongEmphasis"/>
        </w:rPr>
        <w:t>CLOSED 2026-08-11: validated</w:t>
        <w:br/>
        <w:t>European Portuguese version (Martins et al., 2015), obtained and</w:t>
        <w:br/>
        <w:t>transcribed.</w:t>
      </w:r>
      <w:r>
        <w:rPr/>
        <w:t xml:space="preserve"> Nothing outstanding. </w:t>
      </w:r>
    </w:p>
    <w:p>
      <w:pPr>
        <w:pStyle w:val="TextBody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N and recruitment.</w:t>
      </w:r>
      <w:r>
        <w:rPr/>
        <w:t xml:space="preserve"> Whether the partner organisation can supply 12, or</w:t>
        <w:br/>
        <w:t>whether the sample gets topped up with MEIC students, which changes the</w:t>
        <w:br/>
        <w:t xml:space="preserve">external-validity claim. </w:t>
      </w:r>
    </w:p>
    <w:p>
      <w:pPr>
        <w:pStyle w:val="TextBody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Ethics approval.</w:t>
      </w:r>
      <w:r>
        <w:rPr/>
        <w:t xml:space="preserve"> Whether IST requires a formal submission for this study</w:t>
        <w:br/>
        <w:t xml:space="preserve">or whether informed consent plus anonymisation suffices. Ask the supervisor. </w:t>
      </w:r>
    </w:p>
    <w:p>
      <w:pPr>
        <w:pStyle w:val="TextBody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Arm split.</w:t>
      </w:r>
      <w:r>
        <w:rPr/>
        <w:t xml:space="preserve"> The 10-12 unmoderated plus 3-4 moderated split above is a</w:t>
        <w:br/>
        <w:t>proposal. Confirm the moderated arm is worth the scheduling cost, or drop it</w:t>
        <w:br/>
        <w:t xml:space="preserve">and accept losing the observational findings. </w:t>
      </w:r>
    </w:p>
    <w:p>
      <w:pPr>
        <w:pStyle w:val="TextBody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TLX response scale.</w:t>
      </w:r>
      <w:r>
        <w:rPr/>
        <w:t xml:space="preserve"> Google Forms cannot render the 20-interval line. The</w:t>
        <w:br/>
        <w:t>recommendation is a 0-10 scale rescaled to 0-100, documented as a deviation.</w:t>
        <w:br/>
        <w:t>Alternative: use a form tool with a real slider. Decide before the pilot, and</w:t>
        <w:br/>
        <w:t xml:space="preserve">never change it mid-study. </w:t>
      </w:r>
    </w:p>
    <w:p>
      <w:pPr>
        <w:pStyle w:val="TextBody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Form platform.</w:t>
      </w:r>
      <w:r>
        <w:rPr/>
        <w:t xml:space="preserve"> Google Forms is assumed. Anything with a 0-100 slider and</w:t>
        <w:br/>
        <w:t>CSV export is better. Whatever is chosen must let a participant submit the</w:t>
        <w:br/>
        <w:t>TLX form six times without re-entering their code by hand each time, or use a</w:t>
        <w:br/>
        <w:t xml:space="preserve">prefilled link per task. </w:t>
      </w:r>
    </w:p>
    <w:p>
      <w:pPr>
        <w:pStyle w:val="TextBody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Reference screenshots.</w:t>
      </w:r>
      <w:r>
        <w:rPr/>
        <w:t xml:space="preserve"> </w:t>
      </w:r>
      <w:r>
        <w:rPr>
          <w:rStyle w:val="SourceText"/>
        </w:rPr>
        <w:t>task-script.md</w:t>
      </w:r>
      <w:r>
        <w:rPr/>
        <w:t xml:space="preserve"> has nine </w:t>
      </w:r>
      <w:r>
        <w:rPr>
          <w:rStyle w:val="SourceText"/>
        </w:rPr>
        <w:t>[SCREENSHOT: ...]</w:t>
      </w:r>
      <w:r>
        <w:rPr/>
        <w:br/>
        <w:t>slots that must be captured from a real seeded project. In an unmoderated</w:t>
        <w:br/>
        <w:t>study these are load-bearing, not decoration: without them a participant can</w:t>
        <w:br/>
        <w:t xml:space="preserve">spend ten minutes doing the wrong thing with nobody there to notice. </w:t>
      </w:r>
    </w:p>
    <w:p>
      <w:pPr>
        <w:pStyle w:val="Heading2"/>
        <w:bidi w:val="0"/>
        <w:jc w:val="left"/>
        <w:rPr/>
      </w:pPr>
      <w:r>
        <w:rPr/>
        <w:t>7. Missing bibliography entries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None of these exist in </w:t>
      </w:r>
      <w:r>
        <w:rPr>
          <w:rStyle w:val="SourceText"/>
        </w:rPr>
        <w:t>Bibliography.bib</w:t>
      </w:r>
      <w:r>
        <w:rPr/>
        <w:t xml:space="preserve"> yet. All are required before Chapter 9</w:t>
        <w:br/>
        <w:t>can cite the instruments.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@incollection{Brooke:1996SUS,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Author = {Brooke, J.},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Booktitle = {Usability Evaluation in Industry},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Editor = {Jordan, P. W. and Thomas, B. and Weerdmeester, B. A. and McClelland, I. L.},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Pages = {189--194},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Publisher = {Taylor and Francis},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Title = {{SUS: A `quick and dirty' usability scale}},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Year = {1996}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}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@article{Bangor:2009SUS,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Author = {Bangor, A. and Kortum, P. and Miller, J.},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Journal = {Journal of Usability Studies},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Number = {3},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Pages = {114--123},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Title = {{Determining what individual SUS scores mean: Adding an adjective rating scale}},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Volume = {4},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Year = {2009}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}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@book{Sauro:2016QUANT,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Author = {Sauro, J. and Lewis, J. R.},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Edition = {2nd},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Publisher = {Morgan Kaufmann},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Title = {{Quantifying the User Experience: Practical Statistics for User Research}},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Year = {2016}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}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@incollection{Hart:1988TLX,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Author = {Hart, S. G. and Staveland, L. E.},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Booktitle = {Human Mental Workload},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Editor = {Hancock, P. A. and Meshkati, N.},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Pages = {139--183},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Publisher = {North-Holland},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Title = {{Development of NASA-TLX (Task Load Index): Results of empirical and theoretical research}},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Year = {1988}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}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@inproceedings{Hart:2006TLX,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Author = {Hart, S. G.},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Booktitle = {Proceedings of the Human Factors and Ergonomics Society Annual Meeting},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Pages = {904--908},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Title = {{NASA-Task Load Index (NASA-TLX); 20 years later}},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Volume = {50},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Year = {2006}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}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@article{Lewis:2009SUS,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Author = {Lewis, J. R. and Sauro, J.},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Journal = {Human Centered Design, HCII 2009, LNCS},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Pages = {94--103},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Title = {{The factor structure of the System Usability Scale}},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Volume = {5619},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Year = {2009}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}</w:t>
      </w:r>
    </w:p>
    <w:p>
      <w:pPr>
        <w:pStyle w:val="TextBody"/>
        <w:bidi w:val="0"/>
        <w:spacing w:before="0" w:after="283"/>
        <w:jc w:val="left"/>
        <w:rPr/>
      </w:pPr>
      <w:r>
        <w:rPr/>
        <w:t>Required by the PT SUS decision: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@article{Martins:2015SUS,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Author = {Martins, A. I. and Rosa, A. F. and Queir\'os, A. and Silva, A. and Rocha, N. P.},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Journal = {Procedia Computer Science},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Pages = {293--300},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Title = {{European Portuguese Validation of the System Usability Scale (SUS)}},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Doi = {10.1016/j.procs.2015.09.273},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Url = {https://doi.org/10.1016/j.procs.2015.09.273},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Volume = {67},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Year = {2015}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}</w:t>
      </w:r>
    </w:p>
    <w:p>
      <w:pPr>
        <w:pStyle w:val="TextBody"/>
        <w:bidi w:val="0"/>
        <w:spacing w:before="0" w:after="283"/>
        <w:jc w:val="left"/>
        <w:rPr/>
      </w:pPr>
      <w:r>
        <w:rPr/>
        <w:t>Authors, volume, pages, year and DOI all verified against the published PDF.</w:t>
        <w:br/>
        <w:t>Note the article title capitalises "validation" lowercase in the original.</w:t>
      </w:r>
    </w:p>
    <w:p>
      <w:pPr>
        <w:pStyle w:val="Heading2"/>
        <w:bidi w:val="0"/>
        <w:jc w:val="left"/>
        <w:rPr/>
      </w:pPr>
      <w:r>
        <w:rPr/>
        <w:t>8. Pre-flight checklist</w:t>
      </w:r>
    </w:p>
    <w:p>
      <w:pPr>
        <w:pStyle w:val="TextBody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RQ naming resolved, </w:t>
      </w:r>
      <w:r>
        <w:rPr>
          <w:rStyle w:val="SourceText"/>
        </w:rPr>
        <w:t>tab:eval_instruments</w:t>
      </w:r>
      <w:r>
        <w:rPr/>
        <w:t xml:space="preserve"> updated </w:t>
      </w:r>
    </w:p>
    <w:p>
      <w:pPr>
        <w:pStyle w:val="TextBody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[x] PT SUS decided: validated European Portuguese version, Martins et al. 2015 </w:t>
      </w:r>
    </w:p>
    <w:p>
      <w:pPr>
        <w:pStyle w:val="TextBody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[x] Martins et al. obtained; the ten PT items transcribed verbatim into</w:t>
        <w:br/>
      </w:r>
      <w:r>
        <w:rPr>
          <w:rStyle w:val="SourceText"/>
        </w:rPr>
        <w:t>instrument-sus.md</w:t>
      </w:r>
      <w:r>
        <w:rPr/>
        <w:t xml:space="preserve"> and the provisional translation deleted </w:t>
      </w:r>
    </w:p>
    <w:p>
      <w:pPr>
        <w:pStyle w:val="TextBody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Bibliography entries above added and the build reverified </w:t>
      </w:r>
    </w:p>
    <w:p>
      <w:pPr>
        <w:pStyle w:val="TextBody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Supervisor sign-off on the task set and the session length </w:t>
      </w:r>
    </w:p>
    <w:p>
      <w:pPr>
        <w:pStyle w:val="TextBody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Ethics/consent route confirmed with the supervisor </w:t>
      </w:r>
    </w:p>
    <w:p>
      <w:pPr>
        <w:pStyle w:val="TextBody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Arm split confirmed, or the moderated arm dropped </w:t>
      </w:r>
    </w:p>
    <w:p>
      <w:pPr>
        <w:pStyle w:val="TextBody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TLX response scale decided and the deviation wording drafted </w:t>
      </w:r>
    </w:p>
    <w:p>
      <w:pPr>
        <w:pStyle w:val="TextBody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[ ] Three forms built: TLX (with the task selector and participant code first),</w:t>
        <w:br/>
        <w:t xml:space="preserve">SUS, UX. Test-submit each one and check the CSV export column names </w:t>
      </w:r>
    </w:p>
    <w:p>
      <w:pPr>
        <w:pStyle w:val="TextBody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All nine reference screenshots captured from a seeded project </w:t>
      </w:r>
    </w:p>
    <w:p>
      <w:pPr>
        <w:pStyle w:val="TextBody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</w:t>
      </w:r>
      <w:r>
        <w:rPr>
          <w:rStyle w:val="SourceText"/>
        </w:rPr>
        <w:t>task-script.md</w:t>
      </w:r>
      <w:r>
        <w:rPr/>
        <w:t xml:space="preserve"> exported to the participant-facing format with the four</w:t>
        <w:br/>
        <w:t xml:space="preserve">placeholder links filled in </w:t>
      </w:r>
    </w:p>
    <w:p>
      <w:pPr>
        <w:pStyle w:val="TextBody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Participant code cards printed </w:t>
      </w:r>
    </w:p>
    <w:p>
      <w:pPr>
        <w:pStyle w:val="TextBody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Pilot run with </w:t>
      </w:r>
      <w:r>
        <w:rPr>
          <w:rStyle w:val="StrongEmphasis"/>
        </w:rPr>
        <w:t>one</w:t>
      </w:r>
      <w:r>
        <w:rPr/>
        <w:t xml:space="preserve"> participant, not counted in results, to time the</w:t>
        <w:br/>
        <w:t>script and catch broken instructions. Six TLX submissions must come back</w:t>
        <w:br/>
        <w:t xml:space="preserve">correctly labelled - if they do not, fix the form before anyone else runs </w:t>
      </w:r>
    </w:p>
    <w:p>
      <w:pPr>
        <w:pStyle w:val="TextBody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A clean demo project seeded, including the un-QA'd </w:t>
      </w:r>
      <w:r>
        <w:rPr>
          <w:rStyle w:val="SourceText"/>
        </w:rPr>
        <w:t>Export board to CSV</w:t>
      </w:r>
      <w:r>
        <w:rPr/>
        <w:br/>
        <w:t xml:space="preserve">story that task 8 depends on, and a reset procedure that actually works </w:t>
      </w:r>
    </w:p>
    <w:p>
      <w:pPr>
        <w:pStyle w:val="TextBody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[ ] Chapter 8 </w:t>
      </w:r>
      <w:r>
        <w:rPr>
          <w:rStyle w:val="SourceText"/>
        </w:rPr>
        <w:t>sec:demo_design</w:t>
      </w:r>
      <w:r>
        <w:rPr/>
        <w:t xml:space="preserve"> written before the first real session </w:t>
      </w:r>
    </w:p>
    <w:p>
      <w:pPr>
        <w:pStyle w:val="Heading1"/>
        <w:bidi w:val="0"/>
        <w:jc w:val="left"/>
        <w:rPr/>
      </w:pPr>
      <w:r>
        <w:rPr/>
        <w:t>Task set - internal notes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Not handed to participants. The participant-facing wording is </w:t>
      </w:r>
      <w:r>
        <w:rPr>
          <w:rStyle w:val="SourceText"/>
        </w:rPr>
        <w:t>task-script.md</w:t>
      </w:r>
      <w:r>
        <w:rPr/>
        <w:t>;</w:t>
        <w:br/>
        <w:t>this file records what each task is actually testing, how to judge it, and how</w:t>
        <w:br/>
        <w:t>to prepare the environment.</w:t>
      </w:r>
    </w:p>
    <w:p>
      <w:pPr>
        <w:pStyle w:val="TextBody"/>
        <w:bidi w:val="0"/>
        <w:spacing w:before="0" w:after="283"/>
        <w:jc w:val="left"/>
        <w:rPr/>
      </w:pPr>
      <w:r>
        <w:rPr/>
        <w:t>Nine tasks, roughly 45 minutes of tool time. Six carry a Raw TLX form.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Environment, reset before every participant</w:t>
      </w:r>
    </w:p>
    <w:p>
      <w:pPr>
        <w:pStyle w:val="TextBody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 dedicated </w:t>
      </w:r>
      <w:r>
        <w:rPr>
          <w:rStyle w:val="StrongEmphasis"/>
        </w:rPr>
        <w:t>Demo Project</w:t>
      </w:r>
      <w:r>
        <w:rPr/>
        <w:t xml:space="preserve"> on the PM instance, seeded with 3 epics and 6</w:t>
        <w:br/>
        <w:t xml:space="preserve">stories at </w:t>
      </w:r>
      <w:r>
        <w:rPr>
          <w:rStyle w:val="SourceText"/>
        </w:rPr>
        <w:t>phase_status: new</w:t>
      </w:r>
      <w:r>
        <w:rPr/>
        <w:t xml:space="preserve">, plus one story named </w:t>
      </w:r>
      <w:r>
        <w:rPr>
          <w:rStyle w:val="StrongEmphasis"/>
        </w:rPr>
        <w:t>Export board to CSV</w:t>
      </w:r>
      <w:r>
        <w:rPr/>
        <w:br/>
        <w:t>that must stay un-QA'd. Task 8 depends entirely on that story existing and</w:t>
        <w:br/>
        <w:t xml:space="preserve">never having passed QA. </w:t>
      </w:r>
    </w:p>
    <w:p>
      <w:pPr>
        <w:pStyle w:val="TextBody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 GitHub repo with a </w:t>
      </w:r>
      <w:r>
        <w:rPr>
          <w:rStyle w:val="StrongEmphasis"/>
        </w:rPr>
        <w:t>real codebase</w:t>
      </w:r>
      <w:r>
        <w:rPr/>
        <w:t xml:space="preserve"> in it, not an empty repo. Phase 3 and</w:t>
        <w:br/>
        <w:t xml:space="preserve">Phase 4 grounding read </w:t>
      </w:r>
      <w:r>
        <w:rPr>
          <w:rStyle w:val="SourceText"/>
        </w:rPr>
        <w:t>github-context.md</w:t>
      </w:r>
      <w:r>
        <w:rPr/>
        <w:t>; an empty repo produces vacuous</w:t>
        <w:br/>
        <w:t xml:space="preserve">output and the participant is then evaluating nothing. </w:t>
      </w:r>
    </w:p>
    <w:p>
      <w:pPr>
        <w:pStyle w:val="TextBody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A PAT and repo URL printed on the participant card, along with sign-in</w:t>
        <w:br/>
        <w:t xml:space="preserve">credentials and the participant code. </w:t>
      </w:r>
    </w:p>
    <w:p>
      <w:pPr>
        <w:pStyle w:val="TextBody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AI provider key configured server-side so nobody is blocked on it. </w:t>
      </w:r>
    </w:p>
    <w:p>
      <w:pPr>
        <w:pStyle w:val="TextBody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Language left at the participant's choice from the start, then not changed. </w:t>
      </w:r>
    </w:p>
    <w:p>
      <w:pPr>
        <w:pStyle w:val="TextBody"/>
        <w:bidi w:val="0"/>
        <w:jc w:val="left"/>
        <w:rPr/>
      </w:pPr>
      <w:r>
        <w:rPr>
          <w:rStyle w:val="StrongEmphasis"/>
        </w:rPr>
        <w:t>Reset procedure:</w:t>
      </w:r>
      <w:r>
        <w:rPr/>
        <w:t xml:space="preserve"> delete</w:t>
        <w:br/>
      </w:r>
      <w:r>
        <w:rPr>
          <w:rStyle w:val="SourceText"/>
        </w:rPr>
        <w:t>contextspec/&lt;instance_id&gt;/&lt;project_id&gt;/</w:t>
      </w:r>
      <w:r>
        <w:rPr/>
        <w:t xml:space="preserve"> for the demo project and re-seed the</w:t>
        <w:br/>
        <w:t>PM board. Verify the reset by loading the project and confirming every story is</w:t>
        <w:br/>
        <w:t xml:space="preserve">back at </w:t>
      </w:r>
      <w:r>
        <w:rPr>
          <w:rStyle w:val="SourceText"/>
        </w:rPr>
        <w:t>new</w:t>
      </w:r>
      <w:r>
        <w:rPr/>
        <w:t xml:space="preserve"> and </w:t>
      </w:r>
      <w:r>
        <w:rPr>
          <w:rStyle w:val="SourceText"/>
        </w:rPr>
        <w:t>Export board to CSV</w:t>
      </w:r>
      <w:r>
        <w:rPr/>
        <w:t xml:space="preserve"> has no QA record.</w:t>
      </w:r>
    </w:p>
    <w:p>
      <w:pPr>
        <w:pStyle w:val="TextBody"/>
        <w:bidi w:val="0"/>
        <w:spacing w:before="0" w:after="283"/>
        <w:jc w:val="left"/>
        <w:rPr/>
      </w:pPr>
      <w:r>
        <w:rPr/>
        <w:t>Test the reset before the pilot. A half-reset project is the most likely way to</w:t>
        <w:br/>
        <w:t>silently ruin a participant's data, because task 8 will not refuse if the story</w:t>
        <w:br/>
        <w:t>already passed QA in a previous session.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Per-task notes</w:t>
      </w:r>
    </w:p>
    <w:p>
      <w:pPr>
        <w:pStyle w:val="Heading3"/>
        <w:bidi w:val="0"/>
        <w:jc w:val="left"/>
        <w:rPr/>
      </w:pPr>
      <w:r>
        <w:rPr/>
        <w:t>Task 1 - Sign in and open the project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Surface:</w:t>
      </w:r>
      <w:r>
        <w:rPr/>
        <w:t xml:space="preserve"> auth, PM tool selector, project picker.</w:t>
        <w:br/>
      </w:r>
      <w:r>
        <w:rPr>
          <w:rStyle w:val="StrongEmphasis"/>
        </w:rPr>
        <w:t>Success:</w:t>
      </w:r>
      <w:r>
        <w:rPr/>
        <w:t xml:space="preserve"> signed in, correct project active.</w:t>
        <w:br/>
      </w:r>
      <w:r>
        <w:rPr>
          <w:rStyle w:val="StrongEmphasis"/>
        </w:rPr>
        <w:t>Watch for:</w:t>
      </w:r>
      <w:r>
        <w:rPr/>
        <w:t xml:space="preserve"> whether the PM tool selector on the login form is understood at</w:t>
        <w:br/>
        <w:t>all. It was only recently labelled.</w:t>
        <w:br/>
      </w:r>
      <w:r>
        <w:rPr>
          <w:rStyle w:val="StrongEmphasis"/>
        </w:rPr>
        <w:t>Expected:</w:t>
      </w:r>
      <w:r>
        <w:rPr/>
        <w:t xml:space="preserve"> 3 min. No TLX.</w:t>
      </w:r>
    </w:p>
    <w:p>
      <w:pPr>
        <w:pStyle w:val="Heading3"/>
        <w:bidi w:val="0"/>
        <w:jc w:val="left"/>
        <w:rPr/>
      </w:pPr>
      <w:r>
        <w:rPr/>
        <w:t>Task 2 - Connect the project to GitHub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Surface:</w:t>
      </w:r>
      <w:r>
        <w:rPr/>
        <w:t xml:space="preserve"> sidebar GitHub section, PAT entry, connected state.</w:t>
        <w:br/>
      </w:r>
      <w:r>
        <w:rPr>
          <w:rStyle w:val="StrongEmphasis"/>
        </w:rPr>
        <w:t>Success:</w:t>
      </w:r>
      <w:r>
        <w:rPr/>
        <w:t xml:space="preserve"> repo shows as connected.</w:t>
        <w:br/>
      </w:r>
      <w:r>
        <w:rPr>
          <w:rStyle w:val="StrongEmphasis"/>
        </w:rPr>
        <w:t>Watch for:</w:t>
      </w:r>
      <w:r>
        <w:rPr/>
        <w:t xml:space="preserve"> whether the connected state is legible after connecting; whether</w:t>
        <w:br/>
        <w:t>the participant looks for GitHub in Settings rather than the sidebar.</w:t>
        <w:br/>
      </w:r>
      <w:r>
        <w:rPr>
          <w:rStyle w:val="StrongEmphasis"/>
        </w:rPr>
        <w:t>Expected:</w:t>
      </w:r>
      <w:r>
        <w:rPr/>
        <w:t xml:space="preserve"> 4 min. No TLX.</w:t>
      </w:r>
    </w:p>
    <w:p>
      <w:pPr>
        <w:pStyle w:val="Heading3"/>
        <w:bidi w:val="0"/>
        <w:jc w:val="left"/>
        <w:rPr/>
      </w:pPr>
      <w:r>
        <w:rPr/>
        <w:t xml:space="preserve">Task 3 </w:t>
      </w:r>
      <w:r>
        <w:rPr>
          <w:rStyle w:val="SourceText"/>
        </w:rPr>
        <w:t>[TLX]</w:t>
      </w:r>
      <w:r>
        <w:rPr/>
        <w:t xml:space="preserve"> - Requirement to locked Gherkin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Surface:</w:t>
      </w:r>
      <w:r>
        <w:rPr/>
        <w:t xml:space="preserve"> Phase 1, clarifying Q&amp;A, per-scenario assumptions, lock.</w:t>
        <w:br/>
      </w:r>
      <w:r>
        <w:rPr>
          <w:rStyle w:val="StrongEmphasis"/>
        </w:rPr>
        <w:t>Success:</w:t>
      </w:r>
      <w:r>
        <w:rPr/>
        <w:t xml:space="preserve"> functional spec written, questions answered, Gherkin compiled,</w:t>
        <w:br/>
        <w:t xml:space="preserve">story at </w:t>
      </w:r>
      <w:r>
        <w:rPr>
          <w:rStyle w:val="SourceText"/>
        </w:rPr>
        <w:t>gherkin_locked</w:t>
      </w:r>
      <w:r>
        <w:rPr/>
        <w:t>.</w:t>
        <w:br/>
      </w:r>
      <w:r>
        <w:rPr>
          <w:rStyle w:val="StrongEmphasis"/>
        </w:rPr>
        <w:t>Watch for:</w:t>
      </w:r>
      <w:r>
        <w:rPr/>
        <w:t xml:space="preserve"> whether the clarifying questions are read or clicked through;</w:t>
        <w:br/>
        <w:t>whether the amber assumptions box is noticed; whether the participant hesitates</w:t>
        <w:br/>
        <w:t>before locking. Also whether a 30-60 s generation makes them think it hung.</w:t>
        <w:br/>
      </w:r>
      <w:r>
        <w:rPr>
          <w:rStyle w:val="StrongEmphasis"/>
        </w:rPr>
        <w:t>Predicted TLX:</w:t>
      </w:r>
      <w:r>
        <w:rPr/>
        <w:t xml:space="preserve"> highest Mental Demand of the session.</w:t>
        <w:br/>
      </w:r>
      <w:r>
        <w:rPr>
          <w:rStyle w:val="StrongEmphasis"/>
        </w:rPr>
        <w:t>Expected:</w:t>
      </w:r>
      <w:r>
        <w:rPr/>
        <w:t xml:space="preserve"> 10 min.</w:t>
      </w:r>
    </w:p>
    <w:p>
      <w:pPr>
        <w:pStyle w:val="Heading3"/>
        <w:bidi w:val="0"/>
        <w:jc w:val="left"/>
        <w:rPr/>
      </w:pPr>
      <w:r>
        <w:rPr/>
        <w:t xml:space="preserve">Task 4 </w:t>
      </w:r>
      <w:r>
        <w:rPr>
          <w:rStyle w:val="SourceText"/>
        </w:rPr>
        <w:t>[TLX]</w:t>
      </w:r>
      <w:r>
        <w:rPr/>
        <w:t xml:space="preserve"> - Produce and lock the design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Surface:</w:t>
      </w:r>
      <w:r>
        <w:rPr/>
        <w:t xml:space="preserve"> Phase 2, technical spec, runtime spec, visual design, lock.</w:t>
        <w:br/>
      </w:r>
      <w:r>
        <w:rPr>
          <w:rStyle w:val="StrongEmphasis"/>
        </w:rPr>
        <w:t>Success:</w:t>
      </w:r>
      <w:r>
        <w:rPr/>
        <w:t xml:space="preserve"> all three generated, assumptions reviewed, story at</w:t>
        <w:br/>
      </w:r>
      <w:r>
        <w:rPr>
          <w:rStyle w:val="SourceText"/>
        </w:rPr>
        <w:t>design_locked</w:t>
      </w:r>
      <w:r>
        <w:rPr/>
        <w:t>.</w:t>
        <w:br/>
      </w:r>
      <w:r>
        <w:rPr>
          <w:rStyle w:val="StrongEmphasis"/>
        </w:rPr>
        <w:t>Watch for:</w:t>
      </w:r>
      <w:r>
        <w:rPr/>
        <w:t xml:space="preserve"> whether the Visual Design group is found at all - it is collapsed</w:t>
        <w:br/>
        <w:t xml:space="preserve">by default; whether the runtime spec is read or scrolled past; </w:t>
      </w:r>
      <w:r>
        <w:rPr>
          <w:rStyle w:val="StrongEmphasis"/>
        </w:rPr>
        <w:t>whether</w:t>
        <w:br/>
        <w:t>anything is edited or the output is accepted wholesale.</w:t>
      </w:r>
      <w:r>
        <w:rPr/>
        <w:t xml:space="preserve"> Blanket acceptance is</w:t>
        <w:br/>
        <w:t>a trust-calibration finding and is the one this thesis most needs.</w:t>
        <w:br/>
      </w:r>
      <w:r>
        <w:rPr>
          <w:rStyle w:val="StrongEmphasis"/>
        </w:rPr>
        <w:t>Predicted TLX:</w:t>
      </w:r>
      <w:r>
        <w:rPr/>
        <w:t xml:space="preserve"> high Mental Demand and high Effort.</w:t>
        <w:br/>
      </w:r>
      <w:r>
        <w:rPr>
          <w:rStyle w:val="StrongEmphasis"/>
        </w:rPr>
        <w:t>Expected:</w:t>
      </w:r>
      <w:r>
        <w:rPr/>
        <w:t xml:space="preserve"> 10 min.</w:t>
      </w:r>
    </w:p>
    <w:p>
      <w:pPr>
        <w:pStyle w:val="Heading3"/>
        <w:bidi w:val="0"/>
        <w:jc w:val="left"/>
        <w:rPr/>
      </w:pPr>
      <w:r>
        <w:rPr/>
        <w:t>Task 5 - Resume a previous session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Surface:</w:t>
      </w:r>
      <w:r>
        <w:rPr/>
        <w:t xml:space="preserve"> </w:t>
      </w:r>
      <w:r>
        <w:rPr>
          <w:rStyle w:val="SourceText"/>
        </w:rPr>
        <w:t>sessionStorage</w:t>
      </w:r>
      <w:r>
        <w:rPr/>
        <w:t xml:space="preserve"> session store, active-project persistence, GitHub</w:t>
        <w:br/>
        <w:t>auto-restore from the encrypted server-side PAT.</w:t>
        <w:br/>
      </w:r>
      <w:r>
        <w:rPr>
          <w:rStyle w:val="StrongEmphasis"/>
        </w:rPr>
        <w:t>Success:</w:t>
      </w:r>
      <w:r>
        <w:rPr/>
        <w:t xml:space="preserve"> signs back in and lands on the same project and work.</w:t>
        <w:br/>
      </w:r>
      <w:r>
        <w:rPr>
          <w:rStyle w:val="StrongEmphasis"/>
        </w:rPr>
        <w:t>Why it is here:</w:t>
      </w:r>
      <w:r>
        <w:rPr/>
        <w:t xml:space="preserve"> this is a real regression path. Session state is in</w:t>
        <w:br/>
      </w:r>
      <w:r>
        <w:rPr>
          <w:rStyle w:val="SourceText"/>
        </w:rPr>
        <w:t>sessionStorage</w:t>
      </w:r>
      <w:r>
        <w:rPr/>
        <w:t>, and the "active project does not survive a fresh session" bug</w:t>
        <w:br/>
        <w:t>was fixed only recently. No automated test exercises it with a human.</w:t>
        <w:br/>
      </w:r>
      <w:r>
        <w:rPr>
          <w:rStyle w:val="StrongEmphasis"/>
        </w:rPr>
        <w:t>Watch for:</w:t>
      </w:r>
      <w:r>
        <w:rPr/>
        <w:t xml:space="preserve"> whether GitHub is still connected afterwards, or whether the</w:t>
        <w:br/>
        <w:t>participant has to reconnect. If they do, that is a bug found by the study.</w:t>
        <w:br/>
      </w:r>
      <w:r>
        <w:rPr>
          <w:rStyle w:val="StrongEmphasis"/>
        </w:rPr>
        <w:t>Expected:</w:t>
      </w:r>
      <w:r>
        <w:rPr/>
        <w:t xml:space="preserve"> 3 min. No TLX.</w:t>
      </w:r>
    </w:p>
    <w:p>
      <w:pPr>
        <w:pStyle w:val="Heading3"/>
        <w:bidi w:val="0"/>
        <w:jc w:val="left"/>
        <w:rPr/>
      </w:pPr>
      <w:r>
        <w:rPr/>
        <w:t xml:space="preserve">Task 6 </w:t>
      </w:r>
      <w:r>
        <w:rPr>
          <w:rStyle w:val="SourceText"/>
        </w:rPr>
        <w:t>[TLX]</w:t>
      </w:r>
      <w:r>
        <w:rPr/>
        <w:t xml:space="preserve"> - Break the work into implementation tasks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Surface:</w:t>
      </w:r>
      <w:r>
        <w:rPr/>
        <w:t xml:space="preserve"> Phase 3 packs, task DAG, effort and coverage metadata.</w:t>
        <w:br/>
      </w:r>
      <w:r>
        <w:rPr>
          <w:rStyle w:val="StrongEmphasis"/>
        </w:rPr>
        <w:t>Success:</w:t>
      </w:r>
      <w:r>
        <w:rPr/>
        <w:t xml:space="preserve"> packs generated, and the participant names a defensible root task</w:t>
        <w:br/>
        <w:t>with a reason.</w:t>
        <w:br/>
      </w:r>
      <w:r>
        <w:rPr>
          <w:rStyle w:val="StrongEmphasis"/>
        </w:rPr>
        <w:t>Grading the written answer:</w:t>
      </w:r>
      <w:r>
        <w:rPr/>
        <w:t xml:space="preserve"> correct if it names a task with no unmet</w:t>
        <w:br/>
        <w:t>dependencies and the justification refers to ordering or dependency rather than</w:t>
        <w:br/>
        <w:t>to the task sounding important.</w:t>
        <w:br/>
      </w:r>
      <w:r>
        <w:rPr>
          <w:rStyle w:val="StrongEmphasis"/>
        </w:rPr>
        <w:t>Watch for:</w:t>
      </w:r>
      <w:r>
        <w:rPr/>
        <w:t xml:space="preserve"> whether the DAG is read as a dependency order or as decoration.</w:t>
        <w:br/>
      </w:r>
      <w:r>
        <w:rPr>
          <w:rStyle w:val="StrongEmphasis"/>
        </w:rPr>
        <w:t>Expected:</w:t>
      </w:r>
      <w:r>
        <w:rPr/>
        <w:t xml:space="preserve"> 8 min.</w:t>
      </w:r>
    </w:p>
    <w:p>
      <w:pPr>
        <w:pStyle w:val="Heading3"/>
        <w:bidi w:val="0"/>
        <w:jc w:val="left"/>
        <w:rPr/>
      </w:pPr>
      <w:r>
        <w:rPr/>
        <w:t xml:space="preserve">Task 7 </w:t>
      </w:r>
      <w:r>
        <w:rPr>
          <w:rStyle w:val="SourceText"/>
        </w:rPr>
        <w:t>[TLX]</w:t>
      </w:r>
      <w:r>
        <w:rPr/>
        <w:t xml:space="preserve"> - Test plan and QA sign-off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Surface:</w:t>
      </w:r>
      <w:r>
        <w:rPr/>
        <w:t xml:space="preserve"> Phase 4.</w:t>
        <w:br/>
      </w:r>
      <w:r>
        <w:rPr>
          <w:rStyle w:val="StrongEmphasis"/>
        </w:rPr>
        <w:t>Success:</w:t>
      </w:r>
      <w:r>
        <w:rPr/>
        <w:t xml:space="preserve"> test plan generated, QA recorded, story at </w:t>
      </w:r>
      <w:r>
        <w:rPr>
          <w:rStyle w:val="SourceText"/>
        </w:rPr>
        <w:t>qa_passed</w:t>
      </w:r>
      <w:r>
        <w:rPr/>
        <w:t>.</w:t>
        <w:br/>
      </w:r>
      <w:r>
        <w:rPr>
          <w:rStyle w:val="StrongEmphasis"/>
        </w:rPr>
        <w:t>Watch for:</w:t>
      </w:r>
      <w:r>
        <w:rPr/>
        <w:t xml:space="preserve"> whether the participant grasps that QA sign-off is a human</w:t>
        <w:br/>
        <w:t>decision the tool deliberately will not make for them.</w:t>
        <w:br/>
      </w:r>
      <w:r>
        <w:rPr>
          <w:rStyle w:val="StrongEmphasis"/>
        </w:rPr>
        <w:t>Predicted TLX:</w:t>
      </w:r>
      <w:r>
        <w:rPr/>
        <w:t xml:space="preserve"> lowest demands of the marked tasks.</w:t>
        <w:br/>
      </w:r>
      <w:r>
        <w:rPr>
          <w:rStyle w:val="StrongEmphasis"/>
        </w:rPr>
        <w:t>Expected:</w:t>
      </w:r>
      <w:r>
        <w:rPr/>
        <w:t xml:space="preserve"> 6 min.</w:t>
      </w:r>
    </w:p>
    <w:p>
      <w:pPr>
        <w:pStyle w:val="Heading3"/>
        <w:bidi w:val="0"/>
        <w:jc w:val="left"/>
        <w:rPr/>
      </w:pPr>
      <w:r>
        <w:rPr/>
        <w:t xml:space="preserve">Task 8 </w:t>
      </w:r>
      <w:r>
        <w:rPr>
          <w:rStyle w:val="SourceText"/>
        </w:rPr>
        <w:t>[TLX]</w:t>
      </w:r>
      <w:r>
        <w:rPr/>
        <w:t xml:space="preserve"> - The deployment gate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Surface:</w:t>
      </w:r>
      <w:r>
        <w:rPr/>
        <w:t xml:space="preserve"> Phase 5 gate, phase-status progression, refusal messaging.</w:t>
        <w:br/>
      </w:r>
      <w:r>
        <w:rPr>
          <w:rStyle w:val="StrongEmphasis"/>
        </w:rPr>
        <w:t>Designed to be refused.</w:t>
      </w:r>
      <w:r>
        <w:rPr/>
        <w:t xml:space="preserve"> </w:t>
      </w:r>
      <w:r>
        <w:rPr>
          <w:rStyle w:val="SourceText"/>
        </w:rPr>
        <w:t>Export board to CSV</w:t>
      </w:r>
      <w:r>
        <w:rPr/>
        <w:t xml:space="preserve"> is not </w:t>
      </w:r>
      <w:r>
        <w:rPr>
          <w:rStyle w:val="SourceText"/>
        </w:rPr>
        <w:t>qa_passed</w:t>
      </w:r>
      <w:r>
        <w:rPr/>
        <w:t>, so the</w:t>
        <w:br/>
        <w:t>gate blocks it.</w:t>
        <w:br/>
      </w:r>
      <w:r>
        <w:rPr>
          <w:rStyle w:val="StrongEmphasis"/>
        </w:rPr>
        <w:t>The measure is comprehension, not completion.</w:t>
      </w:r>
      <w:r>
        <w:rPr/>
        <w:t xml:space="preserve"> Score the written explanation:</w:t>
      </w:r>
    </w:p>
    <w:p>
      <w:pPr>
        <w:pStyle w:val="TextBody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2</w:t>
      </w:r>
      <w:r>
        <w:rPr/>
        <w:t xml:space="preserve"> - names the missing QA step and the required order </w:t>
      </w:r>
    </w:p>
    <w:p>
      <w:pPr>
        <w:pStyle w:val="TextBody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1</w:t>
      </w:r>
      <w:r>
        <w:rPr/>
        <w:t xml:space="preserve"> - knows a process rule blocked them, cannot say which </w:t>
      </w:r>
    </w:p>
    <w:p>
      <w:pPr>
        <w:pStyle w:val="TextBody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0</w:t>
      </w:r>
      <w:r>
        <w:rPr/>
        <w:t xml:space="preserve"> - concludes the tool is broken or the story is corrupt </w:t>
      </w:r>
    </w:p>
    <w:p>
      <w:pPr>
        <w:pStyle w:val="TextBody"/>
        <w:bidi w:val="0"/>
        <w:jc w:val="left"/>
        <w:rPr/>
      </w:pPr>
      <w:r>
        <w:rPr>
          <w:rStyle w:val="StrongEmphasis"/>
        </w:rPr>
        <w:t>Watch for:</w:t>
      </w:r>
      <w:r>
        <w:rPr/>
        <w:t xml:space="preserve"> whether they hunt for an override; whether they find the phase</w:t>
        <w:br/>
        <w:t>status; the exact words they use for the refusal.</w:t>
        <w:br/>
      </w:r>
      <w:r>
        <w:rPr>
          <w:rStyle w:val="StrongEmphasis"/>
        </w:rPr>
        <w:t>Predicted TLX:</w:t>
      </w:r>
      <w:r>
        <w:rPr/>
        <w:t xml:space="preserve"> highest Frustration, lowest Performance. If Frustration is</w:t>
        <w:br/>
        <w:t>only moderate, the refusal messaging is doing its job, and that is a reportable</w:t>
        <w:br/>
        <w:t>result about error surfacing.</w:t>
        <w:br/>
      </w:r>
      <w:r>
        <w:rPr>
          <w:rStyle w:val="StrongEmphasis"/>
        </w:rPr>
        <w:t>Expected:</w:t>
      </w:r>
      <w:r>
        <w:rPr/>
        <w:t xml:space="preserve"> 6 min.</w:t>
      </w:r>
    </w:p>
    <w:p>
      <w:pPr>
        <w:pStyle w:val="Heading3"/>
        <w:bidi w:val="0"/>
        <w:jc w:val="left"/>
        <w:rPr/>
      </w:pPr>
      <w:r>
        <w:rPr/>
        <w:t xml:space="preserve">Task 9 </w:t>
      </w:r>
      <w:r>
        <w:rPr>
          <w:rStyle w:val="SourceText"/>
        </w:rPr>
        <w:t>[TLX]</w:t>
      </w:r>
      <w:r>
        <w:rPr/>
        <w:t xml:space="preserve"> - Export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Surface:</w:t>
      </w:r>
      <w:r>
        <w:rPr/>
        <w:t xml:space="preserve"> export and download paths, zip packaging.</w:t>
        <w:br/>
      </w:r>
      <w:r>
        <w:rPr>
          <w:rStyle w:val="StrongEmphasis"/>
        </w:rPr>
        <w:t>Success:</w:t>
      </w:r>
      <w:r>
        <w:rPr/>
        <w:t xml:space="preserve"> files downloaded and opened.</w:t>
        <w:br/>
      </w:r>
      <w:r>
        <w:rPr>
          <w:rStyle w:val="StrongEmphasis"/>
        </w:rPr>
        <w:t>Watch for:</w:t>
      </w:r>
      <w:r>
        <w:rPr/>
        <w:t xml:space="preserve"> whether the export control is findable; whether anything</w:t>
        <w:br/>
        <w:t>downloads empty or corrupt.</w:t>
        <w:br/>
      </w:r>
      <w:r>
        <w:rPr>
          <w:rStyle w:val="StrongEmphasis"/>
        </w:rPr>
        <w:t>Predicted TLX:</w:t>
      </w:r>
      <w:r>
        <w:rPr/>
        <w:t xml:space="preserve"> lowest overall.</w:t>
        <w:br/>
      </w:r>
      <w:r>
        <w:rPr>
          <w:rStyle w:val="StrongEmphasis"/>
        </w:rPr>
        <w:t>Expected:</w:t>
      </w:r>
      <w:r>
        <w:rPr/>
        <w:t xml:space="preserve"> 5 min.</w:t>
      </w:r>
    </w:p>
    <w:p>
      <w:pPr>
        <w:pStyle w:val="Heading3"/>
        <w:bidi w:val="0"/>
        <w:jc w:val="left"/>
        <w:rPr/>
      </w:pPr>
      <w:r>
        <w:rPr/>
        <w:t>Optional, excluded from all measures</w:t>
      </w:r>
    </w:p>
    <w:p>
      <w:pPr>
        <w:pStyle w:val="TextBody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O1</w:t>
      </w:r>
      <w:r>
        <w:rPr/>
        <w:t xml:space="preserve"> Phase 6 drift check. </w:t>
      </w:r>
      <w:r>
        <w:rPr>
          <w:rStyle w:val="StrongEmphasis"/>
        </w:rPr>
        <w:t>O2</w:t>
      </w:r>
      <w:r>
        <w:rPr/>
        <w:t xml:space="preserve"> traceability explorer. </w:t>
      </w:r>
      <w:r>
        <w:rPr>
          <w:rStyle w:val="StrongEmphasis"/>
        </w:rPr>
        <w:t>O3</w:t>
      </w:r>
      <w:r>
        <w:rPr/>
        <w:t xml:space="preserve"> Autopilot. </w:t>
      </w:r>
    </w:p>
    <w:p>
      <w:pPr>
        <w:pStyle w:val="TextBody"/>
        <w:bidi w:val="0"/>
        <w:jc w:val="left"/>
        <w:rPr/>
      </w:pPr>
      <w:r>
        <w:rPr/>
        <w:t>O2 is worth pushing for where time allows: traceability is a distinctive claim</w:t>
        <w:br/>
        <w:t>of the framework and has never been usability-tested.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Facilitator rules, arm 2 only</w:t>
      </w:r>
    </w:p>
    <w:p>
      <w:pPr>
        <w:pStyle w:val="TextBody"/>
        <w:bidi w:val="0"/>
        <w:spacing w:before="0" w:after="283"/>
        <w:jc w:val="left"/>
        <w:rPr/>
      </w:pPr>
      <w:r>
        <w:rPr/>
        <w:t>Arm 1 has no facilitator. In the moderated arm:</w:t>
      </w:r>
    </w:p>
    <w:p>
      <w:pPr>
        <w:pStyle w:val="TextBody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Read each task aloud from </w:t>
      </w:r>
      <w:r>
        <w:rPr>
          <w:rStyle w:val="SourceText"/>
        </w:rPr>
        <w:t>task-script.md</w:t>
      </w:r>
      <w:r>
        <w:rPr/>
        <w:t xml:space="preserve">, verbatim. Do not paraphrase. </w:t>
      </w:r>
    </w:p>
    <w:p>
      <w:pPr>
        <w:pStyle w:val="TextBody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Do not point, hover, or say "it's over there". Silence is data. </w:t>
      </w:r>
    </w:p>
    <w:p>
      <w:pPr>
        <w:pStyle w:val="TextBody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Stuck for </w:t>
      </w:r>
      <w:r>
        <w:rPr>
          <w:rStyle w:val="StrongEmphasis"/>
        </w:rPr>
        <w:t>90 seconds</w:t>
      </w:r>
      <w:r>
        <w:rPr/>
        <w:t>: offer one hint, log it as an assist. Another 90</w:t>
        <w:br/>
        <w:t xml:space="preserve">seconds: second hint. After a third, mark the task failed and move on. </w:t>
      </w:r>
    </w:p>
    <w:p>
      <w:pPr>
        <w:pStyle w:val="TextBody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Prompt "what are you thinking?" only after 20 seconds of silence. Never "what</w:t>
        <w:br/>
        <w:t xml:space="preserve">would you expect to happen?" - that leads. </w:t>
      </w:r>
    </w:p>
    <w:p>
      <w:pPr>
        <w:pStyle w:val="TextBody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Never explain, defend or apologise for the tool. Note the complaint, move on. </w:t>
      </w:r>
    </w:p>
    <w:p>
      <w:pPr>
        <w:pStyle w:val="TextBody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The participant still fills in the same online forms, unwatched. </w:t>
      </w:r>
    </w:p>
    <w:p>
      <w:pPr>
        <w:pStyle w:val="Heading1"/>
        <w:bidi w:val="0"/>
        <w:jc w:val="left"/>
        <w:rPr/>
      </w:pPr>
      <w:r>
        <w:rPr/>
        <w:t>Task Script - Apex</w:t>
      </w:r>
    </w:p>
    <w:p>
      <w:pPr>
        <w:pStyle w:val="TextBody"/>
        <w:bidi w:val="0"/>
        <w:spacing w:before="0" w:after="283"/>
        <w:jc w:val="left"/>
        <w:rPr/>
      </w:pPr>
      <w:r>
        <w:rPr/>
        <w:t>Participant-facing document. Format follows the LiteraFlow task script: a</w:t>
        <w:br/>
        <w:t>self-administered, unmoderated sequence with a short NASA-TLX form after each</w:t>
        <w:br/>
        <w:t>substantive task and a single SUS at the end.</w:t>
      </w:r>
    </w:p>
    <w:p>
      <w:pPr>
        <w:pStyle w:val="TextBody"/>
        <w:bidi w:val="0"/>
        <w:spacing w:before="0" w:after="283"/>
        <w:jc w:val="left"/>
        <w:rPr/>
      </w:pPr>
      <w:r>
        <w:rPr/>
        <w:t>Source for the Word or Google Docs version handed to participants. Keep the</w:t>
        <w:br/>
        <w:t xml:space="preserve">formatting: numbered tasks, a </w:t>
      </w:r>
      <w:r>
        <w:rPr>
          <w:rStyle w:val="SourceText"/>
        </w:rPr>
        <w:t>[TLX]</w:t>
      </w:r>
      <w:r>
        <w:rPr/>
        <w:t xml:space="preserve"> marker on tasks that require a form, a</w:t>
        <w:br/>
        <w:t>reference screenshot per task, and an explicit stop instruction after each</w:t>
        <w:br/>
        <w:t>marked task.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Marker convention:</w:t>
      </w:r>
      <w:r>
        <w:rPr/>
        <w:t xml:space="preserve"> </w:t>
      </w:r>
      <w:r>
        <w:rPr>
          <w:rStyle w:val="SourceText"/>
        </w:rPr>
        <w:t>[TLX]</w:t>
      </w:r>
      <w:r>
        <w:rPr/>
        <w:t xml:space="preserve"> in place of a star symbol. Prints reliably in</w:t>
        <w:br/>
        <w:t>every export path and screen reader, and cannot be mistaken for a rating.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Before handing this out:</w:t>
      </w:r>
      <w:r>
        <w:rPr/>
        <w:br/>
        <w:t xml:space="preserve">- Replace </w:t>
      </w:r>
      <w:r>
        <w:rPr>
          <w:rStyle w:val="SourceText"/>
        </w:rPr>
        <w:t>&lt;TOOL LINK&gt;</w:t>
      </w:r>
      <w:r>
        <w:rPr/>
        <w:t xml:space="preserve">, </w:t>
      </w:r>
      <w:r>
        <w:rPr>
          <w:rStyle w:val="SourceText"/>
        </w:rPr>
        <w:t>&lt;TLX FORM LINK&gt;</w:t>
      </w:r>
      <w:r>
        <w:rPr/>
        <w:t xml:space="preserve">, </w:t>
      </w:r>
      <w:r>
        <w:rPr>
          <w:rStyle w:val="SourceText"/>
        </w:rPr>
        <w:t>&lt;SUS FORM LINK&gt;</w:t>
      </w:r>
      <w:r>
        <w:rPr/>
        <w:t xml:space="preserve">, </w:t>
      </w:r>
      <w:r>
        <w:rPr>
          <w:rStyle w:val="SourceText"/>
        </w:rPr>
        <w:t>&lt;UX FORM LINK&gt;</w:t>
      </w:r>
      <w:r>
        <w:rPr/>
        <w:t>.</w:t>
        <w:br/>
        <w:t>- Capture the reference screenshots (slots marked below). They are not optional:</w:t>
        <w:br/>
        <w:t>in an unmoderated study they are the only thing preventing a participant from</w:t>
        <w:br/>
        <w:t>silently doing the wrong thing for ten minutes.</w:t>
        <w:br/>
        <w:t>- Run one pilot participant who is not counted.</w:t>
      </w:r>
    </w:p>
    <w:p>
      <w:pPr>
        <w:pStyle w:val="Heading2"/>
        <w:bidi w:val="0"/>
        <w:jc w:val="left"/>
        <w:rPr/>
      </w:pPr>
      <w:r>
        <w:rPr/>
        <w:t>---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EN version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Task Script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Tool link:</w:t>
      </w:r>
      <w:r>
        <w:rPr/>
        <w:t xml:space="preserve"> </w:t>
      </w:r>
      <w:r>
        <w:rPr>
          <w:rStyle w:val="SourceText"/>
        </w:rPr>
        <w:t>&lt;TOOL LINK&gt;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Before You Begin</w:t>
      </w:r>
    </w:p>
    <w:p>
      <w:pPr>
        <w:pStyle w:val="TextBody"/>
        <w:bidi w:val="0"/>
        <w:spacing w:before="0" w:after="283"/>
        <w:jc w:val="left"/>
        <w:rPr/>
      </w:pPr>
      <w:r>
        <w:rPr/>
        <w:t>Thank you for taking part in this usability study. I am evaluating Apex, a tool</w:t>
        <w:br/>
        <w:t xml:space="preserve">that supports a process for building software with AI assistance. </w:t>
      </w:r>
      <w:r>
        <w:rPr>
          <w:rStyle w:val="StrongEmphasis"/>
        </w:rPr>
        <w:t>I am testing</w:t>
        <w:br/>
        <w:t>the tool, not you.</w:t>
      </w:r>
      <w:r>
        <w:rPr/>
        <w:t xml:space="preserve"> There are no right or wrong answers. If something is</w:t>
        <w:br/>
        <w:t>confusing or does not work as you expected, that is exactly the feedback I need.</w:t>
      </w:r>
    </w:p>
    <w:p>
      <w:pPr>
        <w:pStyle w:val="TextBody"/>
        <w:bidi w:val="0"/>
        <w:spacing w:before="0" w:after="283"/>
        <w:jc w:val="left"/>
        <w:rPr/>
      </w:pPr>
      <w:r>
        <w:rPr/>
        <w:t>The session takes about 60 minutes in total.</w:t>
      </w:r>
    </w:p>
    <w:p>
      <w:pPr>
        <w:pStyle w:val="Heading3"/>
        <w:bidi w:val="0"/>
        <w:jc w:val="left"/>
        <w:rPr/>
      </w:pPr>
      <w:r>
        <w:rPr/>
        <w:t>Please read carefully before starting</w:t>
      </w:r>
    </w:p>
    <w:p>
      <w:pPr>
        <w:pStyle w:val="TextBody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Complete all tasks in the order listed. Do not skip tasks. </w:t>
      </w:r>
    </w:p>
    <w:p>
      <w:pPr>
        <w:pStyle w:val="TextBody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Tasks marked with </w:t>
      </w:r>
      <w:r>
        <w:rPr>
          <w:rStyle w:val="SourceText"/>
        </w:rPr>
        <w:t>[TLX]</w:t>
      </w:r>
      <w:r>
        <w:rPr/>
        <w:t xml:space="preserve"> require you to fill in a short form immediately</w:t>
        <w:br/>
        <w:t xml:space="preserve">after finishing that task, </w:t>
      </w:r>
      <w:r>
        <w:rPr>
          <w:rStyle w:val="StrongEmphasis"/>
        </w:rPr>
        <w:t>before</w:t>
      </w:r>
      <w:r>
        <w:rPr/>
        <w:t xml:space="preserve"> reading the next one. </w:t>
      </w:r>
    </w:p>
    <w:p>
      <w:pPr>
        <w:pStyle w:val="TextBody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The tool uses AI. Some steps take up to a minute to finish. This is normal. </w:t>
      </w:r>
    </w:p>
    <w:p>
      <w:pPr>
        <w:pStyle w:val="TextBody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If you get completely stuck on a task for more than five minutes, move on to</w:t>
        <w:br/>
        <w:t xml:space="preserve">the next one and note it in the final form. </w:t>
      </w:r>
    </w:p>
    <w:p>
      <w:pPr>
        <w:pStyle w:val="TextBody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After the very last task, fill in the SUS form and then the short UX form. </w:t>
      </w:r>
    </w:p>
    <w:p>
      <w:pPr>
        <w:pStyle w:val="Heading3"/>
        <w:bidi w:val="0"/>
        <w:jc w:val="left"/>
        <w:rPr/>
      </w:pPr>
      <w:r>
        <w:rPr/>
        <w:t>Your form links - keep this document open throughout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75"/>
        <w:gridCol w:w="1844"/>
      </w:tblGrid>
      <w:tr>
        <w:trPr>
          <w:tblHeader w:val="true"/>
        </w:trPr>
        <w:tc>
          <w:tcPr>
            <w:tcW w:w="3575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Form</w:t>
            </w:r>
          </w:p>
        </w:tc>
        <w:tc>
          <w:tcPr>
            <w:tcW w:w="1844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Link</w:t>
            </w:r>
          </w:p>
        </w:tc>
      </w:tr>
      <w:tr>
        <w:trPr/>
        <w:tc>
          <w:tcPr>
            <w:tcW w:w="357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NASA-TLX form</w:t>
            </w:r>
            <w:r>
              <w:rPr/>
              <w:t xml:space="preserve"> (after every </w:t>
            </w:r>
            <w:r>
              <w:rPr>
                <w:rStyle w:val="SourceText"/>
              </w:rPr>
              <w:t>[TLX]</w:t>
            </w:r>
            <w:r>
              <w:rPr/>
              <w:t xml:space="preserve"> task)</w:t>
            </w:r>
          </w:p>
        </w:tc>
        <w:tc>
          <w:tcPr>
            <w:tcW w:w="184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&lt;TLX FORM LINK&gt;</w:t>
            </w:r>
          </w:p>
        </w:tc>
      </w:tr>
      <w:tr>
        <w:trPr/>
        <w:tc>
          <w:tcPr>
            <w:tcW w:w="357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SUS form</w:t>
            </w:r>
            <w:r>
              <w:rPr/>
              <w:t xml:space="preserve"> (end of session)</w:t>
            </w:r>
          </w:p>
        </w:tc>
        <w:tc>
          <w:tcPr>
            <w:tcW w:w="184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&lt;SUS FORM LINK&gt;</w:t>
            </w:r>
          </w:p>
        </w:tc>
      </w:tr>
      <w:tr>
        <w:trPr/>
        <w:tc>
          <w:tcPr>
            <w:tcW w:w="357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Apex UX form</w:t>
            </w:r>
            <w:r>
              <w:rPr/>
              <w:t xml:space="preserve"> (end of session)</w:t>
            </w:r>
          </w:p>
        </w:tc>
        <w:tc>
          <w:tcPr>
            <w:tcW w:w="184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&lt;UX FORM LINK&gt;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Your participant code is on the card you were given. Enter it at the top of</w:t>
        <w:br/>
        <w:t>every form so the answers can be linked together. Your name is never recorded.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Tasks</w:t>
      </w:r>
    </w:p>
    <w:p>
      <w:pPr>
        <w:pStyle w:val="Heading3"/>
        <w:bidi w:val="0"/>
        <w:jc w:val="left"/>
        <w:rPr/>
      </w:pPr>
      <w:r>
        <w:rPr/>
        <w:t>Task 1 - Sign in and open the project</w:t>
      </w:r>
    </w:p>
    <w:p>
      <w:pPr>
        <w:pStyle w:val="TextBody"/>
        <w:bidi w:val="0"/>
        <w:spacing w:before="0" w:after="283"/>
        <w:jc w:val="left"/>
        <w:rPr/>
      </w:pPr>
      <w:r>
        <w:rPr/>
        <w:t>Sign in to Apex with the credentials on your card, and open the project called</w:t>
        <w:br/>
      </w:r>
      <w:r>
        <w:rPr>
          <w:rStyle w:val="StrongEmphasis"/>
        </w:rPr>
        <w:t>Demo Project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sign-in form with the PM tool selector]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Continue to the next task without filling in any form.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>Task 2 - Connect the project to GitHub</w:t>
      </w:r>
    </w:p>
    <w:p>
      <w:pPr>
        <w:pStyle w:val="TextBody"/>
        <w:bidi w:val="0"/>
        <w:spacing w:before="0" w:after="283"/>
        <w:jc w:val="left"/>
        <w:rPr/>
      </w:pPr>
      <w:r>
        <w:rPr/>
        <w:t>Connect the project to the GitHub repository listed on your card, using the</w:t>
        <w:br/>
        <w:t>access token on the same card.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sidebar GitHub section, connected state]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Continue to the next task without filling in any form.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Task 3 </w:t>
      </w:r>
      <w:r>
        <w:rPr>
          <w:rStyle w:val="SourceText"/>
        </w:rPr>
        <w:t>[TLX]</w:t>
      </w:r>
      <w:r>
        <w:rPr/>
        <w:t xml:space="preserve"> - Turn a requirement into locked scenarios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The team needs a new feature: </w:t>
      </w:r>
      <w:r>
        <w:rPr>
          <w:rStyle w:val="StrongEmphasis"/>
        </w:rPr>
        <w:t>users must be able to reset a forgotten password</w:t>
        <w:br/>
        <w:t>by email.</w:t>
      </w:r>
    </w:p>
    <w:p>
      <w:pPr>
        <w:pStyle w:val="TextBody"/>
        <w:bidi w:val="0"/>
        <w:spacing w:before="0" w:after="283"/>
        <w:jc w:val="left"/>
        <w:rPr/>
      </w:pPr>
      <w:r>
        <w:rPr/>
        <w:t>Using Phase 1, write that requirement in your own words, answer any questions</w:t>
        <w:br/>
        <w:t>the tool asks you, produce the Gherkin scenarios, and lock them.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Phase 1 with generated Gherkin and the assumptions panel visible]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>Stop here. Open the NASA-TLX form and fill it in for Task 3 before</w:t>
        <w:br/>
        <w:t>continuing.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Task 4 </w:t>
      </w:r>
      <w:r>
        <w:rPr>
          <w:rStyle w:val="SourceText"/>
        </w:rPr>
        <w:t>[TLX]</w:t>
      </w:r>
      <w:r>
        <w:rPr/>
        <w:t xml:space="preserve"> - Produce and lock the design</w:t>
      </w:r>
    </w:p>
    <w:p>
      <w:pPr>
        <w:pStyle w:val="TextBody"/>
        <w:bidi w:val="0"/>
        <w:spacing w:before="0" w:after="283"/>
        <w:jc w:val="left"/>
        <w:rPr/>
      </w:pPr>
      <w:r>
        <w:rPr/>
        <w:t>Continue with the same feature into Phase 2. Generate the technical design and</w:t>
        <w:br/>
        <w:t>the visual design, review what the tool assumed on your behalf, change anything</w:t>
        <w:br/>
        <w:t>you disagree with, and lock the design.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Phase 2 showing Technical Design and the collapsed Visual Design group]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>Stop here. Open the NASA-TLX form and fill it in for Task 4 before</w:t>
        <w:br/>
        <w:t>continuing.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>Task 5 - Resume a previous session</w:t>
      </w:r>
    </w:p>
    <w:p>
      <w:pPr>
        <w:pStyle w:val="TextBody"/>
        <w:bidi w:val="0"/>
        <w:spacing w:before="0" w:after="283"/>
        <w:jc w:val="left"/>
        <w:rPr/>
      </w:pPr>
      <w:r>
        <w:rPr/>
        <w:t>Close the browser tab completely, open the tool link again, sign back in, and</w:t>
        <w:br/>
        <w:t>return to the work you were doing instead of starting something new.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returning to the same active project after a fresh sign-in]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Continue to the next task without filling in any form.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Task 6 </w:t>
      </w:r>
      <w:r>
        <w:rPr>
          <w:rStyle w:val="SourceText"/>
        </w:rPr>
        <w:t>[TLX]</w:t>
      </w:r>
      <w:r>
        <w:rPr/>
        <w:t xml:space="preserve"> - Break the work into implementation tasks</w:t>
      </w:r>
    </w:p>
    <w:p>
      <w:pPr>
        <w:pStyle w:val="TextBody"/>
        <w:bidi w:val="0"/>
        <w:spacing w:before="0" w:after="283"/>
        <w:jc w:val="left"/>
        <w:rPr/>
      </w:pPr>
      <w:r>
        <w:rPr/>
        <w:t>Generate the implementation packs for the password reset feature. Then look at</w:t>
        <w:br/>
        <w:t>the task breakdown and decide which task would have to be done first.</w:t>
      </w:r>
    </w:p>
    <w:p>
      <w:pPr>
        <w:pStyle w:val="TextBody"/>
        <w:bidi w:val="0"/>
        <w:spacing w:before="0" w:after="283"/>
        <w:jc w:val="left"/>
        <w:rPr/>
      </w:pPr>
      <w:r>
        <w:rPr/>
        <w:t>Write the name of that task, and one sentence saying why, in the NASA-TLX form</w:t>
        <w:br/>
        <w:t>when you open it.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Phase 3 packs with the task dependency graph]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>Stop here. Open the NASA-TLX form and fill it in for Task 6 before</w:t>
        <w:br/>
        <w:t>continuing.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Task 7 </w:t>
      </w:r>
      <w:r>
        <w:rPr>
          <w:rStyle w:val="SourceText"/>
        </w:rPr>
        <w:t>[TLX]</w:t>
      </w:r>
      <w:r>
        <w:rPr/>
        <w:t xml:space="preserve"> - Test plan and QA sign-off</w:t>
      </w:r>
    </w:p>
    <w:p>
      <w:pPr>
        <w:pStyle w:val="TextBody"/>
        <w:bidi w:val="0"/>
        <w:spacing w:before="0" w:after="283"/>
        <w:jc w:val="left"/>
        <w:rPr/>
      </w:pPr>
      <w:r>
        <w:rPr/>
        <w:t>Generate a test plan for the password reset feature, review it, and record that</w:t>
        <w:br/>
        <w:t>QA has passed.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Phase 4 test plan with the QA sign-off control]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>Stop here. Open the NASA-TLX form and fill it in for Task 7 before</w:t>
        <w:br/>
        <w:t>continuing.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Task 8 </w:t>
      </w:r>
      <w:r>
        <w:rPr>
          <w:rStyle w:val="SourceText"/>
        </w:rPr>
        <w:t>[TLX]</w:t>
      </w:r>
      <w:r>
        <w:rPr/>
        <w:t xml:space="preserve"> - Deploy a different feature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Now try to deploy a </w:t>
      </w:r>
      <w:r>
        <w:rPr>
          <w:rStyle w:val="StrongEmphasis"/>
        </w:rPr>
        <w:t>different</w:t>
      </w:r>
      <w:r>
        <w:rPr/>
        <w:t xml:space="preserve"> story, the one called </w:t>
      </w:r>
      <w:r>
        <w:rPr>
          <w:rStyle w:val="StrongEmphasis"/>
        </w:rPr>
        <w:t>Export board to CSV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/>
        <w:t>Tell the form what happened, in your own words.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Phase 5 deployment gate]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>Stop here. Open the NASA-TLX form and fill it in for Task 8 before</w:t>
        <w:br/>
        <w:t>continuing.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Task 9 </w:t>
      </w:r>
      <w:r>
        <w:rPr>
          <w:rStyle w:val="SourceText"/>
        </w:rPr>
        <w:t>[TLX]</w:t>
      </w:r>
      <w:r>
        <w:rPr/>
        <w:t xml:space="preserve"> - Export what the tool produced</w:t>
      </w:r>
    </w:p>
    <w:p>
      <w:pPr>
        <w:pStyle w:val="TextBody"/>
        <w:bidi w:val="0"/>
        <w:spacing w:before="0" w:after="283"/>
        <w:jc w:val="left"/>
        <w:rPr/>
      </w:pPr>
      <w:r>
        <w:rPr/>
        <w:t>Export the artefacts the tool has produced for the password reset feature.</w:t>
        <w:br/>
        <w:t>Download them and confirm that the files opened correctly.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export or download-all control]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>Stop here. Open the NASA-TLX form and fill it in for Task 9 before</w:t>
        <w:br/>
        <w:t>continuing.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>Optional - only if you have time and interest</w:t>
      </w:r>
    </w:p>
    <w:p>
      <w:pPr>
        <w:pStyle w:val="TextBody"/>
        <w:bidi w:val="0"/>
        <w:spacing w:before="0" w:after="283"/>
        <w:jc w:val="left"/>
        <w:rPr/>
      </w:pPr>
      <w:r>
        <w:rPr/>
        <w:t>Not required, and not part of the study measures. Nothing to fill in.</w:t>
      </w:r>
    </w:p>
    <w:p>
      <w:pPr>
        <w:pStyle w:val="TextBody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O1</w:t>
      </w:r>
      <w:r>
        <w:rPr/>
        <w:t xml:space="preserve"> - Open Phase 6 and find out whether any feature has drifted from what</w:t>
        <w:br/>
        <w:t xml:space="preserve">was specified. </w:t>
      </w:r>
    </w:p>
    <w:p>
      <w:pPr>
        <w:pStyle w:val="TextBody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O2</w:t>
      </w:r>
      <w:r>
        <w:rPr/>
        <w:t xml:space="preserve"> - Find every artefact that traces back to the password reset</w:t>
        <w:br/>
        <w:t xml:space="preserve">requirement. </w:t>
      </w:r>
    </w:p>
    <w:p>
      <w:pPr>
        <w:pStyle w:val="TextBody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O3</w:t>
      </w:r>
      <w:r>
        <w:rPr/>
        <w:t xml:space="preserve"> - Run Autopilot on one epic and stop it before it finishes.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You have completed all tasks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Please now open the </w:t>
      </w:r>
      <w:r>
        <w:rPr>
          <w:rStyle w:val="StrongEmphasis"/>
        </w:rPr>
        <w:t>SUS form</w:t>
      </w:r>
      <w:r>
        <w:rPr/>
        <w:t xml:space="preserve"> (</w:t>
      </w:r>
      <w:r>
        <w:rPr>
          <w:rStyle w:val="SourceText"/>
        </w:rPr>
        <w:t>&lt;SUS FORM LINK&gt;</w:t>
      </w:r>
      <w:r>
        <w:rPr/>
        <w:t>) and fill it in. This takes</w:t>
        <w:br/>
        <w:t>about three minutes.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Then open the </w:t>
      </w:r>
      <w:r>
        <w:rPr>
          <w:rStyle w:val="StrongEmphasis"/>
        </w:rPr>
        <w:t>Apex UX form</w:t>
      </w:r>
      <w:r>
        <w:rPr/>
        <w:t xml:space="preserve"> (</w:t>
      </w:r>
      <w:r>
        <w:rPr>
          <w:rStyle w:val="SourceText"/>
        </w:rPr>
        <w:t>&lt;UX FORM LINK&gt;</w:t>
      </w:r>
      <w:r>
        <w:rPr/>
        <w:t>), which takes about five</w:t>
        <w:br/>
        <w:t>minutes and includes three open questions.</w:t>
      </w:r>
    </w:p>
    <w:p>
      <w:pPr>
        <w:pStyle w:val="TextBody"/>
        <w:bidi w:val="0"/>
        <w:spacing w:before="0" w:after="283"/>
        <w:jc w:val="left"/>
        <w:rPr/>
      </w:pPr>
      <w:r>
        <w:rPr/>
        <w:t>Thank you for your time and feedback.</w:t>
      </w:r>
    </w:p>
    <w:p>
      <w:pPr>
        <w:pStyle w:val="Heading2"/>
        <w:bidi w:val="0"/>
        <w:jc w:val="left"/>
        <w:rPr/>
      </w:pPr>
      <w:r>
        <w:rPr/>
        <w:t>---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Versão PT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Guião de Tarefas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Ligação para a ferramenta:</w:t>
      </w:r>
      <w:r>
        <w:rPr/>
        <w:t xml:space="preserve"> </w:t>
      </w:r>
      <w:r>
        <w:rPr>
          <w:rStyle w:val="SourceText"/>
        </w:rPr>
        <w:t>&lt;TOOL LINK&gt;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Antes de Começar</w:t>
      </w:r>
    </w:p>
    <w:p>
      <w:pPr>
        <w:pStyle w:val="TextBody"/>
        <w:bidi w:val="0"/>
        <w:spacing w:before="0" w:after="283"/>
        <w:jc w:val="left"/>
        <w:rPr/>
      </w:pPr>
      <w:r>
        <w:rPr/>
        <w:t>Obrigado por participar neste estudo de usabilidade. Estou a avaliar o Apex, uma</w:t>
        <w:br/>
        <w:t>ferramenta que apoia um processo de desenvolvimento de software com apoio de IA.</w:t>
        <w:br/>
      </w:r>
      <w:r>
        <w:rPr>
          <w:rStyle w:val="StrongEmphasis"/>
        </w:rPr>
        <w:t>Estou a testar a ferramenta, não o participante.</w:t>
      </w:r>
      <w:r>
        <w:rPr/>
        <w:t xml:space="preserve"> Não há respostas certas ou</w:t>
        <w:br/>
        <w:t>erradas. Se algo for confuso ou não funcionar como esperava, é exactamente esse</w:t>
        <w:br/>
        <w:t>o contributo de que preciso.</w:t>
      </w:r>
    </w:p>
    <w:p>
      <w:pPr>
        <w:pStyle w:val="TextBody"/>
        <w:bidi w:val="0"/>
        <w:spacing w:before="0" w:after="283"/>
        <w:jc w:val="left"/>
        <w:rPr/>
      </w:pPr>
      <w:r>
        <w:rPr/>
        <w:t>A sessão demora cerca de 60 minutos no total.</w:t>
      </w:r>
    </w:p>
    <w:p>
      <w:pPr>
        <w:pStyle w:val="Heading3"/>
        <w:bidi w:val="0"/>
        <w:jc w:val="left"/>
        <w:rPr/>
      </w:pPr>
      <w:r>
        <w:rPr/>
        <w:t>Leia com atenção antes de começar</w:t>
      </w:r>
    </w:p>
    <w:p>
      <w:pPr>
        <w:pStyle w:val="TextBody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Realize todas as tarefas pela ordem indicada. Não salte tarefas. </w:t>
      </w:r>
    </w:p>
    <w:p>
      <w:pPr>
        <w:pStyle w:val="TextBody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As tarefas marcadas com </w:t>
      </w:r>
      <w:r>
        <w:rPr>
          <w:rStyle w:val="SourceText"/>
        </w:rPr>
        <w:t>[TLX]</w:t>
      </w:r>
      <w:r>
        <w:rPr/>
        <w:t xml:space="preserve"> exigem o preenchimento de um formulário curto</w:t>
        <w:br/>
        <w:t xml:space="preserve">imediatamente a seguir, </w:t>
      </w:r>
      <w:r>
        <w:rPr>
          <w:rStyle w:val="StrongEmphasis"/>
        </w:rPr>
        <w:t>antes</w:t>
      </w:r>
      <w:r>
        <w:rPr/>
        <w:t xml:space="preserve"> de ler a tarefa seguinte. </w:t>
      </w:r>
    </w:p>
    <w:p>
      <w:pPr>
        <w:pStyle w:val="TextBody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 ferramenta usa IA. Alguns passos demoram até um minuto. É normal. </w:t>
      </w:r>
    </w:p>
    <w:p>
      <w:pPr>
        <w:pStyle w:val="TextBody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Se ficar completamente bloqueado numa tarefa durante mais de cinco minutos,</w:t>
        <w:br/>
        <w:t xml:space="preserve">passe à seguinte e indique-o no formulário final. </w:t>
      </w:r>
    </w:p>
    <w:p>
      <w:pPr>
        <w:pStyle w:val="TextBody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Depois da última tarefa, preencha o formulário SUS e depois o formulário UX. </w:t>
      </w:r>
    </w:p>
    <w:p>
      <w:pPr>
        <w:pStyle w:val="Heading3"/>
        <w:bidi w:val="0"/>
        <w:jc w:val="left"/>
        <w:rPr/>
      </w:pPr>
      <w:r>
        <w:rPr/>
        <w:t>As suas ligações - mantenha este documento aberto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14"/>
        <w:gridCol w:w="1705"/>
      </w:tblGrid>
      <w:tr>
        <w:trPr>
          <w:tblHeader w:val="true"/>
        </w:trPr>
        <w:tc>
          <w:tcPr>
            <w:tcW w:w="3714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Formulário</w:t>
            </w:r>
          </w:p>
        </w:tc>
        <w:tc>
          <w:tcPr>
            <w:tcW w:w="1705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Ligação</w:t>
            </w:r>
          </w:p>
        </w:tc>
      </w:tr>
      <w:tr>
        <w:trPr/>
        <w:tc>
          <w:tcPr>
            <w:tcW w:w="37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Formulário NASA-TLX</w:t>
            </w:r>
            <w:r>
              <w:rPr/>
              <w:t xml:space="preserve"> (após cada tarefa </w:t>
            </w:r>
            <w:r>
              <w:rPr>
                <w:rStyle w:val="SourceText"/>
              </w:rPr>
              <w:t>[TLX]</w:t>
            </w:r>
            <w:r>
              <w:rPr/>
              <w:t>)</w:t>
            </w:r>
          </w:p>
        </w:tc>
        <w:tc>
          <w:tcPr>
            <w:tcW w:w="17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&lt;TLX FORM LINK&gt;</w:t>
            </w:r>
          </w:p>
        </w:tc>
      </w:tr>
      <w:tr>
        <w:trPr/>
        <w:tc>
          <w:tcPr>
            <w:tcW w:w="37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Formulário SUS</w:t>
            </w:r>
            <w:r>
              <w:rPr/>
              <w:t xml:space="preserve"> (fim da sessão)</w:t>
            </w:r>
          </w:p>
        </w:tc>
        <w:tc>
          <w:tcPr>
            <w:tcW w:w="17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&lt;SUS FORM LINK&gt;</w:t>
            </w:r>
          </w:p>
        </w:tc>
      </w:tr>
      <w:tr>
        <w:trPr/>
        <w:tc>
          <w:tcPr>
            <w:tcW w:w="37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Formulário UX do Apex</w:t>
            </w:r>
            <w:r>
              <w:rPr/>
              <w:t xml:space="preserve"> (fim da sessão)</w:t>
            </w:r>
          </w:p>
        </w:tc>
        <w:tc>
          <w:tcPr>
            <w:tcW w:w="17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&lt;UX FORM LINK&gt;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O seu código de participante está no cartão que recebeu. Introduza-o no início</w:t>
        <w:br/>
        <w:t>de cada formulário para que as respostas possam ser ligadas entre si. O seu nome</w:t>
        <w:br/>
        <w:t>nunca é registado.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Tarefas</w:t>
      </w:r>
    </w:p>
    <w:p>
      <w:pPr>
        <w:pStyle w:val="Heading3"/>
        <w:bidi w:val="0"/>
        <w:jc w:val="left"/>
        <w:rPr/>
      </w:pPr>
      <w:r>
        <w:rPr/>
        <w:t>Tarefa 1 - Entrar e abrir o projecto</w:t>
      </w:r>
    </w:p>
    <w:p>
      <w:pPr>
        <w:pStyle w:val="TextBody"/>
        <w:bidi w:val="0"/>
        <w:spacing w:before="0" w:after="283"/>
        <w:jc w:val="left"/>
        <w:rPr/>
      </w:pPr>
      <w:r>
        <w:rPr/>
        <w:t>Entre no Apex com as credenciais do seu cartão e abra o projecto chamado</w:t>
        <w:br/>
      </w:r>
      <w:r>
        <w:rPr>
          <w:rStyle w:val="StrongEmphasis"/>
        </w:rPr>
        <w:t>Demo Project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Passe à tarefa seguinte sem preencher qualquer formulário.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>Tarefa 2 - Ligar o projecto ao GitHub</w:t>
      </w:r>
    </w:p>
    <w:p>
      <w:pPr>
        <w:pStyle w:val="TextBody"/>
        <w:bidi w:val="0"/>
        <w:spacing w:before="0" w:after="283"/>
        <w:jc w:val="left"/>
        <w:rPr/>
      </w:pPr>
      <w:r>
        <w:rPr/>
        <w:t>Ligue o projecto ao repositório GitHub indicado no seu cartão, usando o token de</w:t>
        <w:br/>
        <w:t>acesso do mesmo cartão.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Passe à tarefa seguinte sem preencher qualquer formulário.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Tarefa 3 </w:t>
      </w:r>
      <w:r>
        <w:rPr>
          <w:rStyle w:val="SourceText"/>
        </w:rPr>
        <w:t>[TLX]</w:t>
      </w:r>
      <w:r>
        <w:rPr/>
        <w:t xml:space="preserve"> - Transformar um requisito em cenários bloqueados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A equipa precisa de uma nova funcionalidade: </w:t>
      </w:r>
      <w:r>
        <w:rPr>
          <w:rStyle w:val="StrongEmphasis"/>
        </w:rPr>
        <w:t>os utilizadores devem poder</w:t>
        <w:br/>
        <w:t>recuperar uma palavra-passe esquecida por email.</w:t>
      </w:r>
    </w:p>
    <w:p>
      <w:pPr>
        <w:pStyle w:val="TextBody"/>
        <w:bidi w:val="0"/>
        <w:spacing w:before="0" w:after="283"/>
        <w:jc w:val="left"/>
        <w:rPr/>
      </w:pPr>
      <w:r>
        <w:rPr/>
        <w:t>Usando a Fase 1, escreva esse requisito por palavras suas, responda às perguntas</w:t>
        <w:br/>
        <w:t>que a ferramenta lhe fizer, produza os cenários Gherkin e bloqueie-os.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>Pare aqui. Abra o formulário NASA-TLX e preencha-o para a Tarefa 3 antes</w:t>
        <w:br/>
        <w:t>de continuar.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Tarefa 4 </w:t>
      </w:r>
      <w:r>
        <w:rPr>
          <w:rStyle w:val="SourceText"/>
        </w:rPr>
        <w:t>[TLX]</w:t>
      </w:r>
      <w:r>
        <w:rPr/>
        <w:t xml:space="preserve"> - Produzir e bloquear o design</w:t>
      </w:r>
    </w:p>
    <w:p>
      <w:pPr>
        <w:pStyle w:val="TextBody"/>
        <w:bidi w:val="0"/>
        <w:spacing w:before="0" w:after="283"/>
        <w:jc w:val="left"/>
        <w:rPr/>
      </w:pPr>
      <w:r>
        <w:rPr/>
        <w:t>Continue com a mesma funcionalidade para a Fase 2. Gere o design técnico e o</w:t>
        <w:br/>
        <w:t>design visual, reveja o que a ferramenta assumiu por si, altere aquilo de que</w:t>
        <w:br/>
        <w:t>discordar e bloqueie o design.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>Pare aqui. Abra o formulário NASA-TLX e preencha-o para a Tarefa 4 antes</w:t>
        <w:br/>
        <w:t>de continuar.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>Tarefa 5 - Retomar uma sessão anterior</w:t>
      </w:r>
    </w:p>
    <w:p>
      <w:pPr>
        <w:pStyle w:val="TextBody"/>
        <w:bidi w:val="0"/>
        <w:spacing w:before="0" w:after="283"/>
        <w:jc w:val="left"/>
        <w:rPr/>
      </w:pPr>
      <w:r>
        <w:rPr/>
        <w:t>Feche completamente o separador do browser, abra novamente a ligação da</w:t>
        <w:br/>
        <w:t>ferramenta, volte a entrar e retome o trabalho onde estava, em vez de começar</w:t>
        <w:br/>
        <w:t>algo novo.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Passe à tarefa seguinte sem preencher qualquer formulário.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Tarefa 6 </w:t>
      </w:r>
      <w:r>
        <w:rPr>
          <w:rStyle w:val="SourceText"/>
        </w:rPr>
        <w:t>[TLX]</w:t>
      </w:r>
      <w:r>
        <w:rPr/>
        <w:t xml:space="preserve"> - Dividir o trabalho em tarefas de implementação</w:t>
      </w:r>
    </w:p>
    <w:p>
      <w:pPr>
        <w:pStyle w:val="TextBody"/>
        <w:bidi w:val="0"/>
        <w:spacing w:before="0" w:after="283"/>
        <w:jc w:val="left"/>
        <w:rPr/>
      </w:pPr>
      <w:r>
        <w:rPr/>
        <w:t>Gere os pacotes de implementação para a funcionalidade de recuperação de</w:t>
        <w:br/>
        <w:t>palavra-passe. Depois observe a divisão em tarefas e decida qual teria de ser</w:t>
        <w:br/>
        <w:t>feita em primeiro lugar.</w:t>
      </w:r>
    </w:p>
    <w:p>
      <w:pPr>
        <w:pStyle w:val="TextBody"/>
        <w:bidi w:val="0"/>
        <w:spacing w:before="0" w:after="283"/>
        <w:jc w:val="left"/>
        <w:rPr/>
      </w:pPr>
      <w:r>
        <w:rPr/>
        <w:t>Escreva o nome dessa tarefa, e uma frase a explicar porquê, no formulário</w:t>
        <w:br/>
        <w:t>NASA-TLX quando o abrir.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>Pare aqui. Abra o formulário NASA-TLX e preencha-o para a Tarefa 6 antes</w:t>
        <w:br/>
        <w:t>de continuar.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Tarefa 7 </w:t>
      </w:r>
      <w:r>
        <w:rPr>
          <w:rStyle w:val="SourceText"/>
        </w:rPr>
        <w:t>[TLX]</w:t>
      </w:r>
      <w:r>
        <w:rPr/>
        <w:t xml:space="preserve"> - Plano de testes e aprovação de QA</w:t>
      </w:r>
    </w:p>
    <w:p>
      <w:pPr>
        <w:pStyle w:val="TextBody"/>
        <w:bidi w:val="0"/>
        <w:spacing w:before="0" w:after="283"/>
        <w:jc w:val="left"/>
        <w:rPr/>
      </w:pPr>
      <w:r>
        <w:rPr/>
        <w:t>Gere um plano de testes para a funcionalidade, reveja-o e registe que o QA foi</w:t>
        <w:br/>
        <w:t>aprovado.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>Pare aqui. Abra o formulário NASA-TLX e preencha-o para a Tarefa 7 antes</w:t>
        <w:br/>
        <w:t>de continuar.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Tarefa 8 </w:t>
      </w:r>
      <w:r>
        <w:rPr>
          <w:rStyle w:val="SourceText"/>
        </w:rPr>
        <w:t>[TLX]</w:t>
      </w:r>
      <w:r>
        <w:rPr/>
        <w:t xml:space="preserve"> - Colocar em produção uma funcionalidade diferente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Agora tente colocar em produção uma funcionalidade </w:t>
      </w:r>
      <w:r>
        <w:rPr>
          <w:rStyle w:val="StrongEmphasis"/>
        </w:rPr>
        <w:t>diferente</w:t>
      </w:r>
      <w:r>
        <w:rPr/>
        <w:t>, a que se chama</w:t>
        <w:br/>
      </w:r>
      <w:r>
        <w:rPr>
          <w:rStyle w:val="StrongEmphasis"/>
        </w:rPr>
        <w:t>Export board to CSV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/>
        <w:t>Diga no formulário o que aconteceu, por palavras suas.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>Pare aqui. Abra o formulário NASA-TLX e preencha-o para a Tarefa 8 antes</w:t>
        <w:br/>
        <w:t>de continuar.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Tarefa 9 </w:t>
      </w:r>
      <w:r>
        <w:rPr>
          <w:rStyle w:val="SourceText"/>
        </w:rPr>
        <w:t>[TLX]</w:t>
      </w:r>
      <w:r>
        <w:rPr/>
        <w:t xml:space="preserve"> - Exportar o que a ferramenta produziu</w:t>
      </w:r>
    </w:p>
    <w:p>
      <w:pPr>
        <w:pStyle w:val="TextBody"/>
        <w:bidi w:val="0"/>
        <w:spacing w:before="0" w:after="283"/>
        <w:jc w:val="left"/>
        <w:rPr/>
      </w:pPr>
      <w:r>
        <w:rPr/>
        <w:t>Exporte os artefactos que a ferramenta produziu para a funcionalidade de</w:t>
        <w:br/>
        <w:t>recuperação de palavra-passe. Descarregue-os e confirme que os ficheiros abriram</w:t>
        <w:br/>
        <w:t>correctamente.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>Pare aqui. Abra o formulário NASA-TLX e preencha-o para a Tarefa 9 antes</w:t>
        <w:br/>
        <w:t>de continuar.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>Opcional - só se tiver tempo e interesse</w:t>
      </w:r>
    </w:p>
    <w:p>
      <w:pPr>
        <w:pStyle w:val="TextBody"/>
        <w:bidi w:val="0"/>
        <w:spacing w:before="0" w:after="283"/>
        <w:jc w:val="left"/>
        <w:rPr/>
      </w:pPr>
      <w:r>
        <w:rPr/>
        <w:t>Não é obrigatório e não faz parte das medidas do estudo. Nada a preencher.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O1</w:t>
      </w:r>
      <w:r>
        <w:rPr/>
        <w:t xml:space="preserve"> - Abra a Fase 6 e descubra se alguma funcionalidade se desviou daquilo</w:t>
        <w:br/>
        <w:t xml:space="preserve">que foi especificado. 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O2</w:t>
      </w:r>
      <w:r>
        <w:rPr/>
        <w:t xml:space="preserve"> - Encontre todos os artefactos que remetem para o requisito de</w:t>
        <w:br/>
        <w:t xml:space="preserve">recuperação de palavra-passe. 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O3</w:t>
      </w:r>
      <w:r>
        <w:rPr/>
        <w:t xml:space="preserve"> - Execute o Autopilot num épico e pare-o antes de terminar.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Concluiu todas as tarefas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Abra agora o </w:t>
      </w:r>
      <w:r>
        <w:rPr>
          <w:rStyle w:val="StrongEmphasis"/>
        </w:rPr>
        <w:t>formulário SUS</w:t>
      </w:r>
      <w:r>
        <w:rPr/>
        <w:t xml:space="preserve"> (</w:t>
      </w:r>
      <w:r>
        <w:rPr>
          <w:rStyle w:val="SourceText"/>
        </w:rPr>
        <w:t>&lt;SUS FORM LINK&gt;</w:t>
      </w:r>
      <w:r>
        <w:rPr/>
        <w:t>) e preencha-o. Demora cerca</w:t>
        <w:br/>
        <w:t>de três minutos.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Depois abra o </w:t>
      </w:r>
      <w:r>
        <w:rPr>
          <w:rStyle w:val="StrongEmphasis"/>
        </w:rPr>
        <w:t>formulário UX do Apex</w:t>
      </w:r>
      <w:r>
        <w:rPr/>
        <w:t xml:space="preserve"> (</w:t>
      </w:r>
      <w:r>
        <w:rPr>
          <w:rStyle w:val="SourceText"/>
        </w:rPr>
        <w:t>&lt;UX FORM LINK&gt;</w:t>
      </w:r>
      <w:r>
        <w:rPr/>
        <w:t>), que demora cerca de</w:t>
        <w:br/>
        <w:t>cinco minutos e inclui três perguntas abertas.</w:t>
      </w:r>
    </w:p>
    <w:p>
      <w:pPr>
        <w:pStyle w:val="TextBody"/>
        <w:bidi w:val="0"/>
        <w:spacing w:before="0" w:after="283"/>
        <w:jc w:val="left"/>
        <w:rPr/>
      </w:pPr>
      <w:r>
        <w:rPr/>
        <w:t>Obrigado pelo seu tempo e pelo seu contributo.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System Usability Scale - as administered for Apex</w:t>
      </w:r>
    </w:p>
    <w:p>
      <w:pPr>
        <w:pStyle w:val="TextBody"/>
        <w:bidi w:val="0"/>
        <w:spacing w:before="0" w:after="283"/>
        <w:jc w:val="left"/>
        <w:rPr/>
      </w:pPr>
      <w:r>
        <w:rPr/>
        <w:t>Source instrument: Brooke (1996). Free to use, requires acknowledgement of the</w:t>
        <w:br/>
        <w:t>source. Ten items, five-point scale, alternating positive and negative polarity.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Adaptation:</w:t>
      </w:r>
      <w:r>
        <w:rPr/>
        <w:t xml:space="preserve"> the only change from the standard wording is substituting</w:t>
        <w:br/>
        <w:t>"Apex" for "the system". No item is reworded, reordered, added or dropped -</w:t>
        <w:br/>
        <w:t>doing any of that invalidates the comparability that is the entire point of</w:t>
        <w:br/>
        <w:t>using SUS. Item 8's wording is given in Brooke's original form</w:t>
        <w:br/>
        <w:t>("cumbersome"); the widely used "awkward" variant is noted where relevant but</w:t>
        <w:br/>
        <w:t>not used here, so that the reported score stays comparable to the standard</w:t>
        <w:br/>
        <w:t>corpus.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Administer </w:t>
      </w:r>
      <w:r>
        <w:rPr>
          <w:rStyle w:val="StrongEmphasis"/>
        </w:rPr>
        <w:t>after</w:t>
      </w:r>
      <w:r>
        <w:rPr/>
        <w:t xml:space="preserve"> Raw TLX, self-completed, unwatched.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Instructions shown to the participant (EN)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 xml:space="preserve">Please answer each statement about </w:t>
      </w:r>
      <w:r>
        <w:rPr>
          <w:rStyle w:val="StrongEmphasis"/>
        </w:rPr>
        <w:t>Apex</w:t>
      </w:r>
      <w:r>
        <w:rPr/>
        <w:t>, the tool you have just used, by</w:t>
        <w:br/>
        <w:t>marking one box. There are no right answers. Record your immediate reaction</w:t>
        <w:br/>
        <w:t>rather than thinking for a long time about each one. If you feel you cannot</w:t>
        <w:br/>
        <w:t>answer an item, mark the centre point.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Scale: </w:t>
      </w:r>
      <w:r>
        <w:rPr>
          <w:rStyle w:val="SourceText"/>
        </w:rPr>
        <w:t>1 = Strongly disagree</w:t>
      </w:r>
      <w:r>
        <w:rPr/>
        <w:t xml:space="preserve"> ... </w:t>
      </w:r>
      <w:r>
        <w:rPr>
          <w:rStyle w:val="SourceText"/>
        </w:rPr>
        <w:t>5 = Strongly agree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1"/>
        <w:gridCol w:w="3988"/>
        <w:gridCol w:w="211"/>
        <w:gridCol w:w="211"/>
        <w:gridCol w:w="211"/>
        <w:gridCol w:w="211"/>
        <w:gridCol w:w="256"/>
      </w:tblGrid>
      <w:tr>
        <w:trPr>
          <w:tblHeader w:val="true"/>
        </w:trPr>
        <w:tc>
          <w:tcPr>
            <w:tcW w:w="33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Item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think that I would like to use Apex frequently.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found Apex unnecessarily complex.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thought Apex was easy to use.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think that I would need the support of a technical person to be able to use Apex.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found the various functions in Apex were well integrated.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thought there was too much inconsistency in Apex.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would imagine that most people would learn to use Apex very quickly.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found Apex very cumbersome to use.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felt very confident using Apex.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needed to learn a lot of things before I could get going with Apex.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Versão portuguesa validada (PT)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Source of record:</w:t>
      </w:r>
      <w:r>
        <w:rPr/>
        <w:t xml:space="preserve"> Martins, A. I., Rosa, A. F., Queirós, A., Silva, A., and</w:t>
        <w:br/>
        <w:t xml:space="preserve">Rocha, N. P. (2015). </w:t>
      </w:r>
      <w:r>
        <w:rPr>
          <w:rStyle w:val="Emphasis"/>
        </w:rPr>
        <w:t>European Portuguese validation of the System Usability</w:t>
        <w:br/>
        <w:t>Scale (SUS).</w:t>
      </w:r>
      <w:r>
        <w:rPr/>
        <w:t xml:space="preserve"> Procedia Computer Science, 67, 293-300.</w:t>
        <w:br/>
        <w:t xml:space="preserve">DOI </w:t>
      </w:r>
      <w:r>
        <w:rPr>
          <w:rStyle w:val="SourceText"/>
        </w:rPr>
        <w:t>10.1016/j.procs.2015.09.273</w:t>
      </w:r>
      <w:r>
        <w:rPr/>
        <w:t>. Open access, CC BY-NC-ND.</w:t>
      </w:r>
    </w:p>
    <w:p>
      <w:pPr>
        <w:pStyle w:val="TextBody"/>
        <w:bidi w:val="0"/>
        <w:spacing w:before="0" w:after="283"/>
        <w:jc w:val="left"/>
        <w:rPr/>
      </w:pPr>
      <w:r>
        <w:rPr/>
        <w:t>Presented at DSAI 2015. The ten items below are their Table 1, transcribed</w:t>
        <w:br/>
        <w:t>verbatim. This is the instrument; the provisional translation that previously</w:t>
        <w:br/>
        <w:t>sat here has been discarded.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Note their generic referent is </w:t>
      </w:r>
      <w:r>
        <w:rPr>
          <w:rStyle w:val="StrongEmphasis"/>
        </w:rPr>
        <w:t>"produto"</w:t>
      </w:r>
      <w:r>
        <w:rPr/>
        <w:t>, not "sistema".</w:t>
      </w:r>
    </w:p>
    <w:p>
      <w:pPr>
        <w:pStyle w:val="Heading3"/>
        <w:bidi w:val="0"/>
        <w:jc w:val="left"/>
        <w:rPr/>
      </w:pPr>
      <w:r>
        <w:rPr/>
        <w:t>Published items, verbatim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1"/>
        <w:gridCol w:w="2452"/>
        <w:gridCol w:w="2636"/>
      </w:tblGrid>
      <w:tr>
        <w:trPr>
          <w:tblHeader w:val="true"/>
        </w:trPr>
        <w:tc>
          <w:tcPr>
            <w:tcW w:w="33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2452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Original item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Item correspondente em português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4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think that I would like to use this system frequently.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Acho que gostaria de utilizar este produto com frequência.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4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found the system unnecessarily complex.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Considerei o produto mais complexo do que necessário.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24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thought the system was easy to use.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Achei o produto fácil de utilizar.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24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think that I would need the support of a technical person to be able to use this system.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Acho que necessitaria de ajuda de um técnico para conseguir utilizar este produto.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24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found the various functions in this system were well integrated.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Considerei que as várias funcionalidades deste produto estavam bem integradas.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</w:t>
            </w:r>
          </w:p>
        </w:tc>
        <w:tc>
          <w:tcPr>
            <w:tcW w:w="24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thought there was too much inconsistency in this system.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Achei que este produto tinha muitas inconsistências.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</w:t>
            </w:r>
          </w:p>
        </w:tc>
        <w:tc>
          <w:tcPr>
            <w:tcW w:w="24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would imagine that most people would learn to use this system very quickly.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Suponho que a maioria das pessoas aprenderia a utilizar rapidamente este produto.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</w:t>
            </w:r>
          </w:p>
        </w:tc>
        <w:tc>
          <w:tcPr>
            <w:tcW w:w="24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found the system very cumbersome to use.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Considerei o produto muito complicado de utilizar.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</w:t>
            </w:r>
          </w:p>
        </w:tc>
        <w:tc>
          <w:tcPr>
            <w:tcW w:w="24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felt very confident using the system.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Senti-me muito confiante a utilizar este produto.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</w:t>
            </w:r>
          </w:p>
        </w:tc>
        <w:tc>
          <w:tcPr>
            <w:tcW w:w="24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needed to learn a lot of things before I could get going with this system.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Tive que aprender muito antes de conseguir lidar com este produto.</w:t>
            </w:r>
          </w:p>
        </w:tc>
      </w:tr>
    </w:tbl>
    <w:p>
      <w:pPr>
        <w:pStyle w:val="Heading3"/>
        <w:bidi w:val="0"/>
        <w:jc w:val="left"/>
        <w:rPr/>
      </w:pPr>
      <w:r>
        <w:rPr/>
        <w:t>As administered - substituting the system name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The only change is the referent: </w:t>
      </w:r>
      <w:r>
        <w:rPr>
          <w:rStyle w:val="SourceText"/>
        </w:rPr>
        <w:t>este produto</w:t>
      </w:r>
      <w:r>
        <w:rPr/>
        <w:t xml:space="preserve"> / </w:t>
      </w:r>
      <w:r>
        <w:rPr>
          <w:rStyle w:val="SourceText"/>
        </w:rPr>
        <w:t>o produto</w:t>
      </w:r>
      <w:r>
        <w:rPr/>
        <w:t xml:space="preserve"> becomes </w:t>
      </w:r>
      <w:r>
        <w:rPr>
          <w:rStyle w:val="SourceText"/>
        </w:rPr>
        <w:t>o Apex</w:t>
      </w:r>
      <w:r>
        <w:rPr/>
        <w:t>.</w:t>
        <w:br/>
        <w:t>Nothing else moves. Same order, same polarity, same words. Declare the</w:t>
        <w:br/>
        <w:t>substitution in one sentence in Chapter 9.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Escala: </w:t>
      </w:r>
      <w:r>
        <w:rPr>
          <w:rStyle w:val="SourceText"/>
        </w:rPr>
        <w:t>1 = Discordo totalmente</w:t>
      </w:r>
      <w:r>
        <w:rPr/>
        <w:t xml:space="preserve"> ... </w:t>
      </w:r>
      <w:r>
        <w:rPr>
          <w:rStyle w:val="SourceText"/>
        </w:rPr>
        <w:t>5 = Concordo totalmente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1"/>
        <w:gridCol w:w="3988"/>
        <w:gridCol w:w="211"/>
        <w:gridCol w:w="211"/>
        <w:gridCol w:w="211"/>
        <w:gridCol w:w="211"/>
        <w:gridCol w:w="256"/>
      </w:tblGrid>
      <w:tr>
        <w:trPr>
          <w:tblHeader w:val="true"/>
        </w:trPr>
        <w:tc>
          <w:tcPr>
            <w:tcW w:w="33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Afirmação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Acho que gostaria de utilizar o Apex com frequência.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Considerei o Apex mais complexo do que necessário.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Achei o Apex fácil de utilizar.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Acho que necessitaria de ajuda de um técnico para conseguir utilizar o Apex.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Considerei que as várias funcionalidades do Apex estavam bem integradas.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Achei que o Apex tinha muitas inconsistências.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Suponho que a maioria das pessoas aprenderia a utilizar rapidamente o Apex.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Considerei o Apex muito complicado de utilizar.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Senti-me muito confiante a utilizar o Apex.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Tive que aprender muito antes de conseguir lidar com o Apex.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Response anchors.</w:t>
      </w:r>
      <w:r>
        <w:rPr/>
        <w:t xml:space="preserve"> The paper does not print Portuguese anchor labels, only</w:t>
        <w:br/>
        <w:t xml:space="preserve">that SUS is a five-point Likert scale of strength of agreement. </w:t>
      </w:r>
      <w:r>
        <w:rPr>
          <w:rStyle w:val="SourceText"/>
        </w:rPr>
        <w:t>Discordo totalmente</w:t>
      </w:r>
      <w:r>
        <w:rPr/>
        <w:t xml:space="preserve"> and </w:t>
      </w:r>
      <w:r>
        <w:rPr>
          <w:rStyle w:val="SourceText"/>
        </w:rPr>
        <w:t>Concordo totalmente</w:t>
      </w:r>
      <w:r>
        <w:rPr/>
        <w:t xml:space="preserve"> are the conventional wording and are what</w:t>
        <w:br/>
        <w:t>this study uses; say so rather than implying the anchors came from Martins et</w:t>
        <w:br/>
        <w:t>al.</w:t>
      </w:r>
    </w:p>
    <w:p>
      <w:pPr>
        <w:pStyle w:val="Heading3"/>
        <w:bidi w:val="0"/>
        <w:jc w:val="left"/>
        <w:rPr/>
      </w:pPr>
      <w:r>
        <w:rPr/>
        <w:t>What the validation actually established, and what it did not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State this in Chapter 9 </w:t>
      </w:r>
      <w:r>
        <w:rPr>
          <w:rStyle w:val="StrongEmphasis"/>
        </w:rPr>
        <w:t>before</w:t>
      </w:r>
      <w:r>
        <w:rPr/>
        <w:t xml:space="preserve"> an examiner raises it. Citing a validated</w:t>
        <w:br/>
        <w:t>instrument without knowing its reported limits is worse than using a translation</w:t>
        <w:br/>
        <w:t>openly.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99"/>
        <w:gridCol w:w="3020"/>
      </w:tblGrid>
      <w:tr>
        <w:trPr>
          <w:tblHeader w:val="true"/>
        </w:trPr>
        <w:tc>
          <w:tcPr>
            <w:tcW w:w="2399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Property</w:t>
            </w:r>
          </w:p>
        </w:tc>
        <w:tc>
          <w:tcPr>
            <w:tcW w:w="3020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Reported</w:t>
            </w:r>
          </w:p>
        </w:tc>
      </w:tr>
      <w:tr>
        <w:trPr/>
        <w:tc>
          <w:tcPr>
            <w:tcW w:w="239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Semantic and content equivalence</w:t>
            </w:r>
          </w:p>
        </w:tc>
        <w:tc>
          <w:tcPr>
            <w:tcW w:w="302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established, pilot with 4 participants</w:t>
            </w:r>
          </w:p>
        </w:tc>
      </w:tr>
      <w:tr>
        <w:trPr/>
        <w:tc>
          <w:tcPr>
            <w:tcW w:w="239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Construct validity vs PSSUQ</w:t>
            </w:r>
          </w:p>
        </w:tc>
        <w:tc>
          <w:tcPr>
            <w:tcW w:w="302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 = 0.70, significant</w:t>
            </w:r>
          </w:p>
        </w:tc>
      </w:tr>
      <w:tr>
        <w:trPr/>
        <w:tc>
          <w:tcPr>
            <w:tcW w:w="239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Construct validity vs a general usability question</w:t>
            </w:r>
          </w:p>
        </w:tc>
        <w:tc>
          <w:tcPr>
            <w:tcW w:w="302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 = 0.48, p &lt; 0.05</w:t>
            </w:r>
          </w:p>
        </w:tc>
      </w:tr>
      <w:tr>
        <w:trPr/>
        <w:tc>
          <w:tcPr>
            <w:tcW w:w="239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Inter-rater reliability, ICC</w:t>
            </w:r>
          </w:p>
        </w:tc>
        <w:tc>
          <w:tcPr>
            <w:tcW w:w="302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0.36, which the authors classify as weak</w:t>
            </w:r>
            <w:r>
              <w:rPr/>
              <w:t xml:space="preserve"> (CI 95%: 0.01 to 0.63)</w:t>
            </w:r>
          </w:p>
        </w:tc>
      </w:tr>
      <w:tr>
        <w:trPr/>
        <w:tc>
          <w:tcPr>
            <w:tcW w:w="239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Percentage of agreement</w:t>
            </w:r>
          </w:p>
        </w:tc>
        <w:tc>
          <w:tcPr>
            <w:tcW w:w="302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76.67%, below the 80% they state as acceptable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The authors' own conclusion, paraphrased: the Portuguese version can be used to</w:t>
        <w:br/>
        <w:t>distinguish usable from non-usable applications, but the low ICC means they</w:t>
        <w:br/>
        <w:t>intend to validate the all-positive variant of SUS and repeat the study with a</w:t>
        <w:br/>
        <w:t>larger sample. They attribute the weak reliability to the alternating</w:t>
        <w:br/>
        <w:t>positive/negative item polarity causing filling errors, and cite Sauro and Lewis</w:t>
        <w:br/>
        <w:t>on the same problem.</w:t>
      </w:r>
    </w:p>
    <w:p>
      <w:pPr>
        <w:pStyle w:val="TextBody"/>
        <w:bidi w:val="0"/>
        <w:spacing w:before="0" w:after="283"/>
        <w:jc w:val="left"/>
        <w:rPr/>
      </w:pPr>
      <w:r>
        <w:rPr/>
        <w:t>Two consequences for this thesis:</w:t>
      </w:r>
    </w:p>
    <w:p>
      <w:pPr>
        <w:pStyle w:val="TextBody"/>
        <w:numPr>
          <w:ilvl w:val="0"/>
          <w:numId w:val="2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Do not overclaim.</w:t>
      </w:r>
      <w:r>
        <w:rPr/>
        <w:t xml:space="preserve"> Write "the European Portuguese version validated by</w:t>
        <w:br/>
        <w:t>Martins et al. (2015), whose authors report construct validity but weak</w:t>
        <w:br/>
        <w:t>inter-rater reliability (ICC = 0.36)". That sentence costs nothing and closes</w:t>
        <w:br/>
        <w:t xml:space="preserve">the line of attack completely. </w:t>
      </w:r>
    </w:p>
    <w:p>
      <w:pPr>
        <w:pStyle w:val="TextBody"/>
        <w:numPr>
          <w:ilvl w:val="0"/>
          <w:numId w:val="22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Their sample was drawn from the general community</w:t>
      </w:r>
      <w:r>
        <w:rPr/>
        <w:t>, not software</w:t>
        <w:br/>
        <w:t>practitioners. The linguistic validation carries over; the reliability</w:t>
        <w:br/>
        <w:t>estimate was obtained in a different population from this study's. Worth one</w:t>
        <w:br/>
        <w:t xml:space="preserve">sentence in </w:t>
      </w:r>
      <w:r>
        <w:rPr>
          <w:rStyle w:val="SourceText"/>
        </w:rPr>
        <w:t>\Cref{sec:threats}</w:t>
      </w:r>
      <w:r>
        <w:rPr/>
        <w:t xml:space="preserve">. </w:t>
      </w:r>
    </w:p>
    <w:p>
      <w:pPr>
        <w:pStyle w:val="TextBody"/>
        <w:bidi w:val="0"/>
        <w:jc w:val="left"/>
        <w:rPr/>
      </w:pPr>
      <w:r>
        <w:rPr/>
        <w:t xml:space="preserve">Do </w:t>
      </w:r>
      <w:r>
        <w:rPr>
          <w:rStyle w:val="StrongEmphasis"/>
        </w:rPr>
        <w:t>not</w:t>
      </w:r>
      <w:r>
        <w:rPr/>
        <w:t xml:space="preserve"> switch to the all-positive variant. It is not validated in European</w:t>
        <w:br/>
        <w:t>Portuguese, and adopting an unvalidated variant to dodge a caveat about a</w:t>
        <w:br/>
        <w:t>validated one is the wrong trade.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>
          <w:rStyle w:val="StrongEmphasis"/>
        </w:rPr>
        <w:t>Instruções ao participante:</w:t>
      </w:r>
      <w:r>
        <w:rPr/>
        <w:t xml:space="preserve"> Responda a cada afirmação sobre o </w:t>
      </w:r>
      <w:r>
        <w:rPr>
          <w:rStyle w:val="StrongEmphasis"/>
        </w:rPr>
        <w:t>Apex</w:t>
      </w:r>
      <w:r>
        <w:rPr/>
        <w:t>, a</w:t>
        <w:br/>
        <w:t>ferramenta que acabou de utilizar, marcando uma opção. Não há respostas</w:t>
        <w:br/>
        <w:t>certas. Registe a sua reacção imediata em vez de pensar muito tempo em cada</w:t>
        <w:br/>
        <w:t>uma. Se sentir que não consegue responder, marque o ponto central.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Scoring</w:t>
      </w:r>
    </w:p>
    <w:p>
      <w:pPr>
        <w:pStyle w:val="TextBody"/>
        <w:bidi w:val="0"/>
        <w:spacing w:before="0" w:after="283"/>
        <w:jc w:val="left"/>
        <w:rPr/>
      </w:pPr>
      <w:r>
        <w:rPr/>
        <w:t>For each participant:</w:t>
      </w:r>
    </w:p>
    <w:p>
      <w:pPr>
        <w:pStyle w:val="TextBody"/>
        <w:numPr>
          <w:ilvl w:val="0"/>
          <w:numId w:val="2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Odd items (1, 3, 5, 7, 9):</w:t>
      </w:r>
      <w:r>
        <w:rPr/>
        <w:t xml:space="preserve"> contribution = </w:t>
      </w:r>
      <w:r>
        <w:rPr>
          <w:rStyle w:val="SourceText"/>
        </w:rPr>
        <w:t>response - 1</w:t>
      </w:r>
      <w:r>
        <w:rPr/>
        <w:t xml:space="preserve"> </w:t>
      </w:r>
    </w:p>
    <w:p>
      <w:pPr>
        <w:pStyle w:val="TextBody"/>
        <w:numPr>
          <w:ilvl w:val="0"/>
          <w:numId w:val="2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Even items (2, 4, 6, 8, 10):</w:t>
      </w:r>
      <w:r>
        <w:rPr/>
        <w:t xml:space="preserve"> contribution = </w:t>
      </w:r>
      <w:r>
        <w:rPr>
          <w:rStyle w:val="SourceText"/>
        </w:rPr>
        <w:t>5 - response</w:t>
      </w:r>
      <w:r>
        <w:rPr/>
        <w:t xml:space="preserve"> </w:t>
      </w:r>
    </w:p>
    <w:p>
      <w:pPr>
        <w:pStyle w:val="TextBody"/>
        <w:numPr>
          <w:ilvl w:val="0"/>
          <w:numId w:val="2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Sum the ten contributions. Range 0-40. </w:t>
      </w:r>
    </w:p>
    <w:p>
      <w:pPr>
        <w:pStyle w:val="TextBody"/>
        <w:numPr>
          <w:ilvl w:val="0"/>
          <w:numId w:val="23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Multiply by 2.5. </w:t>
      </w:r>
      <w:r>
        <w:rPr>
          <w:rStyle w:val="StrongEmphasis"/>
        </w:rPr>
        <w:t>Final range 0-100.</w:t>
      </w:r>
      <w:r>
        <w:rPr/>
        <w:t xml:space="preserve"> </w:t>
      </w:r>
    </w:p>
    <w:p>
      <w:pPr>
        <w:pStyle w:val="TextBody"/>
        <w:bidi w:val="0"/>
        <w:jc w:val="left"/>
        <w:rPr/>
      </w:pPr>
      <w:r>
        <w:rPr/>
        <w:t xml:space="preserve">Worked example - a participant answering </w:t>
      </w:r>
      <w:r>
        <w:rPr>
          <w:rStyle w:val="SourceText"/>
        </w:rPr>
        <w:t>4,2,4,2,4,2,4,2,4,2</w:t>
      </w:r>
      <w:r>
        <w:rPr/>
        <w:t>:</w:t>
        <w:br/>
        <w:t xml:space="preserve">odd contributions </w:t>
      </w:r>
      <w:r>
        <w:rPr>
          <w:rStyle w:val="SourceText"/>
        </w:rPr>
        <w:t>3,3,3,3,3</w:t>
      </w:r>
      <w:r>
        <w:rPr/>
        <w:t xml:space="preserve"> = 15; even contributions </w:t>
      </w:r>
      <w:r>
        <w:rPr>
          <w:rStyle w:val="SourceText"/>
        </w:rPr>
        <w:t>3,3,3,3,3</w:t>
      </w:r>
      <w:r>
        <w:rPr/>
        <w:t xml:space="preserve"> = 15;</w:t>
        <w:br/>
        <w:t xml:space="preserve">sum 30; SUS = </w:t>
      </w:r>
      <w:r>
        <w:rPr>
          <w:rStyle w:val="StrongEmphasis"/>
        </w:rPr>
        <w:t>75</w:t>
      </w:r>
      <w:r>
        <w:rPr/>
        <w:t>.</w:t>
      </w:r>
    </w:p>
    <w:p>
      <w:pPr>
        <w:pStyle w:val="Heading3"/>
        <w:bidi w:val="0"/>
        <w:jc w:val="left"/>
        <w:rPr/>
      </w:pPr>
      <w:r>
        <w:rPr/>
        <w:t>The score is not a percentage</w:t>
      </w:r>
    </w:p>
    <w:p>
      <w:pPr>
        <w:pStyle w:val="TextBody"/>
        <w:bidi w:val="0"/>
        <w:spacing w:before="0" w:after="283"/>
        <w:jc w:val="left"/>
        <w:rPr/>
      </w:pPr>
      <w:r>
        <w:rPr/>
        <w:t>Say this explicitly in Chapter 9. A SUS of 75 does not mean "75% usable" and</w:t>
        <w:br/>
        <w:t>does not sit at the 75th percentile. It is the single most common misreading of</w:t>
        <w:br/>
        <w:t>the instrument and an examiner may well probe it.</w:t>
      </w:r>
    </w:p>
    <w:p>
      <w:pPr>
        <w:pStyle w:val="Heading3"/>
        <w:bidi w:val="0"/>
        <w:jc w:val="left"/>
        <w:rPr/>
      </w:pPr>
      <w:r>
        <w:rPr/>
        <w:t>Interpretation</w:t>
      </w:r>
    </w:p>
    <w:p>
      <w:pPr>
        <w:pStyle w:val="TextBody"/>
        <w:bidi w:val="0"/>
        <w:spacing w:before="0" w:after="283"/>
        <w:jc w:val="left"/>
        <w:rPr/>
      </w:pPr>
      <w:r>
        <w:rPr/>
        <w:t>Report against two published scales rather than a bare number.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Bangor et al. (2009) adjective ratings</w:t>
      </w:r>
      <w:r>
        <w:rPr/>
        <w:t xml:space="preserve"> - approximate mean SUS per adjective:</w:t>
      </w:r>
    </w:p>
    <w:tbl>
      <w:tblPr>
        <w:tblW w:w="294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21"/>
        <w:gridCol w:w="1321"/>
      </w:tblGrid>
      <w:tr>
        <w:trPr>
          <w:tblHeader w:val="true"/>
        </w:trPr>
        <w:tc>
          <w:tcPr>
            <w:tcW w:w="162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Adjective</w:t>
            </w:r>
          </w:p>
        </w:tc>
        <w:tc>
          <w:tcPr>
            <w:tcW w:w="132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approx. SUS</w:t>
            </w:r>
          </w:p>
        </w:tc>
      </w:tr>
      <w:tr>
        <w:trPr/>
        <w:tc>
          <w:tcPr>
            <w:tcW w:w="16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Worst imaginable</w:t>
            </w:r>
          </w:p>
        </w:tc>
        <w:tc>
          <w:tcPr>
            <w:tcW w:w="13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12.5</w:t>
            </w:r>
          </w:p>
        </w:tc>
      </w:tr>
      <w:tr>
        <w:trPr/>
        <w:tc>
          <w:tcPr>
            <w:tcW w:w="16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Awful</w:t>
            </w:r>
          </w:p>
        </w:tc>
        <w:tc>
          <w:tcPr>
            <w:tcW w:w="13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20.3</w:t>
            </w:r>
          </w:p>
        </w:tc>
      </w:tr>
      <w:tr>
        <w:trPr/>
        <w:tc>
          <w:tcPr>
            <w:tcW w:w="16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Poor</w:t>
            </w:r>
          </w:p>
        </w:tc>
        <w:tc>
          <w:tcPr>
            <w:tcW w:w="13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35.7</w:t>
            </w:r>
          </w:p>
        </w:tc>
      </w:tr>
      <w:tr>
        <w:trPr/>
        <w:tc>
          <w:tcPr>
            <w:tcW w:w="16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OK</w:t>
            </w:r>
          </w:p>
        </w:tc>
        <w:tc>
          <w:tcPr>
            <w:tcW w:w="13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50.9</w:t>
            </w:r>
          </w:p>
        </w:tc>
      </w:tr>
      <w:tr>
        <w:trPr/>
        <w:tc>
          <w:tcPr>
            <w:tcW w:w="16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Good</w:t>
            </w:r>
          </w:p>
        </w:tc>
        <w:tc>
          <w:tcPr>
            <w:tcW w:w="13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71.4</w:t>
            </w:r>
          </w:p>
        </w:tc>
      </w:tr>
      <w:tr>
        <w:trPr/>
        <w:tc>
          <w:tcPr>
            <w:tcW w:w="16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Excellent</w:t>
            </w:r>
          </w:p>
        </w:tc>
        <w:tc>
          <w:tcPr>
            <w:tcW w:w="13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85.5</w:t>
            </w:r>
          </w:p>
        </w:tc>
      </w:tr>
      <w:tr>
        <w:trPr/>
        <w:tc>
          <w:tcPr>
            <w:tcW w:w="16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Best imaginable</w:t>
            </w:r>
          </w:p>
        </w:tc>
        <w:tc>
          <w:tcPr>
            <w:tcW w:w="13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90.9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Note that "OK" sits near 51, not near 68. A score in the fifties is not</w:t>
        <w:br/>
        <w:t>acceptable-but-fine; it is mediocre.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Sauro and Lewis curved grading scale</w:t>
      </w:r>
      <w:r>
        <w:rPr/>
        <w:t xml:space="preserve"> - roughly:</w:t>
      </w:r>
    </w:p>
    <w:tbl>
      <w:tblPr>
        <w:tblW w:w="216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676"/>
        <w:gridCol w:w="1486"/>
      </w:tblGrid>
      <w:tr>
        <w:trPr>
          <w:tblHeader w:val="true"/>
        </w:trPr>
        <w:tc>
          <w:tcPr>
            <w:tcW w:w="67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Grade</w:t>
            </w:r>
          </w:p>
        </w:tc>
        <w:tc>
          <w:tcPr>
            <w:tcW w:w="148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SUS range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A+</w:t>
            </w:r>
          </w:p>
        </w:tc>
        <w:tc>
          <w:tcPr>
            <w:tcW w:w="14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84.1 and above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</w:t>
            </w:r>
          </w:p>
        </w:tc>
        <w:tc>
          <w:tcPr>
            <w:tcW w:w="14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80.8 - 84.0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A-</w:t>
            </w:r>
          </w:p>
        </w:tc>
        <w:tc>
          <w:tcPr>
            <w:tcW w:w="14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78.9 - 80.7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B+</w:t>
            </w:r>
          </w:p>
        </w:tc>
        <w:tc>
          <w:tcPr>
            <w:tcW w:w="14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77.2 - 78.8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</w:t>
            </w:r>
          </w:p>
        </w:tc>
        <w:tc>
          <w:tcPr>
            <w:tcW w:w="14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74.1 - 77.1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B-</w:t>
            </w:r>
          </w:p>
        </w:tc>
        <w:tc>
          <w:tcPr>
            <w:tcW w:w="14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72.6 - 74.0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C+</w:t>
            </w:r>
          </w:p>
        </w:tc>
        <w:tc>
          <w:tcPr>
            <w:tcW w:w="14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71.1 - 72.5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</w:t>
            </w:r>
          </w:p>
        </w:tc>
        <w:tc>
          <w:tcPr>
            <w:tcW w:w="14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65.0 - 71.0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C-</w:t>
            </w:r>
          </w:p>
        </w:tc>
        <w:tc>
          <w:tcPr>
            <w:tcW w:w="14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62.7 - 64.9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</w:t>
            </w:r>
          </w:p>
        </w:tc>
        <w:tc>
          <w:tcPr>
            <w:tcW w:w="14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51.7 - 62.6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</w:t>
            </w:r>
          </w:p>
        </w:tc>
        <w:tc>
          <w:tcPr>
            <w:tcW w:w="14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below 51.7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The mean SUS across the published corpus is approximately 68, which is why 68</w:t>
        <w:br/>
        <w:t>sits at grade C.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Verify the exact band boundaries against the printed source before they go</w:t>
        <w:br/>
        <w:t>into the thesis.</w:t>
      </w:r>
      <w:r>
        <w:rPr/>
        <w:t xml:space="preserve"> They are reproduced here from a secondary reading and are</w:t>
        <w:br/>
        <w:t>close enough to plan with, not to publish unchecked.</w:t>
      </w:r>
    </w:p>
    <w:p>
      <w:pPr>
        <w:pStyle w:val="Heading3"/>
        <w:bidi w:val="0"/>
        <w:jc w:val="left"/>
        <w:rPr/>
      </w:pPr>
      <w:r>
        <w:rPr/>
        <w:t>Sub-scales</w:t>
      </w:r>
    </w:p>
    <w:p>
      <w:pPr>
        <w:pStyle w:val="TextBody"/>
        <w:bidi w:val="0"/>
        <w:spacing w:before="0" w:after="283"/>
        <w:jc w:val="left"/>
        <w:rPr/>
      </w:pPr>
      <w:r>
        <w:rPr/>
        <w:t>Lewis and Sauro (2009) split SUS into Usability (items 1-3, 5-9) and Learnability</w:t>
        <w:br/>
        <w:t>(items 4 and 10). Reporting the Learnability sub-scale separately is worthwhile</w:t>
        <w:br/>
        <w:t>here, because Apex's phase-gate model is exactly the kind of thing that scores</w:t>
        <w:br/>
        <w:t>well on usability and badly on learnability, and that split would be a genuine</w:t>
        <w:br/>
        <w:t>finding rather than noise.</w:t>
      </w:r>
    </w:p>
    <w:p>
      <w:pPr>
        <w:pStyle w:val="Heading3"/>
        <w:bidi w:val="0"/>
        <w:jc w:val="left"/>
        <w:rPr/>
      </w:pPr>
      <w:r>
        <w:rPr/>
        <w:t>Reporting</w:t>
      </w:r>
    </w:p>
    <w:p>
      <w:pPr>
        <w:pStyle w:val="TextBody"/>
        <w:bidi w:val="0"/>
        <w:spacing w:before="0" w:after="283"/>
        <w:jc w:val="left"/>
        <w:rPr/>
      </w:pPr>
      <w:r>
        <w:rPr/>
        <w:t>With N around 12, report:</w:t>
      </w:r>
    </w:p>
    <w:p>
      <w:pPr>
        <w:pStyle w:val="TextBody"/>
        <w:numPr>
          <w:ilvl w:val="0"/>
          <w:numId w:val="2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every individual score, in a table, anonymised as P1..Pn </w:t>
      </w:r>
    </w:p>
    <w:p>
      <w:pPr>
        <w:pStyle w:val="TextBody"/>
        <w:numPr>
          <w:ilvl w:val="0"/>
          <w:numId w:val="2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mean, median, standard deviation, minimum, maximum </w:t>
      </w:r>
    </w:p>
    <w:p>
      <w:pPr>
        <w:pStyle w:val="TextBody"/>
        <w:numPr>
          <w:ilvl w:val="0"/>
          <w:numId w:val="2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 dot plot of the distribution </w:t>
      </w:r>
    </w:p>
    <w:p>
      <w:pPr>
        <w:pStyle w:val="TextBody"/>
        <w:numPr>
          <w:ilvl w:val="0"/>
          <w:numId w:val="2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the adjective band and letter grade of the mean </w:t>
      </w:r>
    </w:p>
    <w:p>
      <w:pPr>
        <w:pStyle w:val="TextBody"/>
        <w:numPr>
          <w:ilvl w:val="0"/>
          <w:numId w:val="24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the Usability and Learnability sub-scale means, separately </w:t>
      </w:r>
    </w:p>
    <w:p>
      <w:pPr>
        <w:pStyle w:val="TextBody"/>
        <w:bidi w:val="0"/>
        <w:jc w:val="left"/>
        <w:rPr/>
      </w:pPr>
      <w:r>
        <w:rPr/>
        <w:t xml:space="preserve">Do </w:t>
      </w:r>
      <w:r>
        <w:rPr>
          <w:rStyle w:val="StrongEmphasis"/>
        </w:rPr>
        <w:t>not</w:t>
      </w:r>
      <w:r>
        <w:rPr/>
        <w:t xml:space="preserve"> run t-tests, confidence intervals or significance claims on a sample</w:t>
        <w:br/>
        <w:t>this size in a single setting. Descriptive reporting is defensible; inferential</w:t>
        <w:br/>
        <w:t>reporting on N=12 non-random participants is not.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Raw NASA-TLX - as administered for Apex</w:t>
      </w:r>
    </w:p>
    <w:p>
      <w:pPr>
        <w:pStyle w:val="TextBody"/>
        <w:bidi w:val="0"/>
        <w:spacing w:before="0" w:after="283"/>
        <w:jc w:val="left"/>
        <w:rPr/>
      </w:pPr>
      <w:r>
        <w:rPr/>
        <w:t>Source instrument: Hart and Staveland (1988); Raw TLX variant discussed in Hart</w:t>
        <w:br/>
        <w:t>(2006). Six subscales.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Variant used: Raw TLX (unweighted).</w:t>
      </w:r>
      <w:r>
        <w:rPr/>
        <w:t xml:space="preserve"> The 15 pairwise weighting comparisons</w:t>
        <w:br/>
        <w:t xml:space="preserve">are </w:t>
      </w:r>
      <w:r>
        <w:rPr>
          <w:rStyle w:val="StrongEmphasis"/>
        </w:rPr>
        <w:t>not</w:t>
      </w:r>
      <w:r>
        <w:rPr/>
        <w:t xml:space="preserve"> administered. Justification is in </w:t>
      </w:r>
      <w:r>
        <w:rPr>
          <w:rStyle w:val="SourceText"/>
        </w:rPr>
        <w:t>EVALUATION-PLAN.md</w:t>
      </w:r>
      <w:r>
        <w:rPr/>
        <w:t xml:space="preserve"> section 4 and</w:t>
        <w:br/>
        <w:t>must appear in Chapter 9 - reporting an unweighted score as plain "NASA-TLX" is</w:t>
        <w:br/>
        <w:t>the error to avoid. Always write "Raw TLX".</w:t>
      </w:r>
    </w:p>
    <w:p>
      <w:pPr>
        <w:pStyle w:val="Heading2"/>
        <w:bidi w:val="0"/>
        <w:jc w:val="left"/>
        <w:rPr/>
      </w:pPr>
      <w:r>
        <w:rPr/>
        <w:t>Administration: per task, not per session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Decision: Raw TLX is administered once after each marked task</w:t>
      </w:r>
      <w:r>
        <w:rPr/>
        <w:t>, immediately,</w:t>
        <w:br/>
        <w:t>before the participant reads the next task. Six administrations per participant</w:t>
        <w:br/>
        <w:t>(script tasks 3, 4, 6, 7, 8, 9).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This is the instrument's intended use. NASA-TLX is a </w:t>
      </w:r>
      <w:r>
        <w:rPr>
          <w:rStyle w:val="Emphasis"/>
        </w:rPr>
        <w:t>task</w:t>
      </w:r>
      <w:r>
        <w:rPr/>
        <w:t xml:space="preserve"> load index; a single</w:t>
        <w:br/>
        <w:t>end-of-session administration is the compromise, not the standard. Three</w:t>
        <w:br/>
        <w:t>consequences, all favourable:</w:t>
      </w:r>
    </w:p>
    <w:p>
      <w:pPr>
        <w:pStyle w:val="TextBody"/>
        <w:numPr>
          <w:ilvl w:val="0"/>
          <w:numId w:val="2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Workload profile per phase.</w:t>
      </w:r>
      <w:r>
        <w:rPr/>
        <w:t xml:space="preserve"> The primary result becomes a matrix of six</w:t>
        <w:br/>
        <w:t>subscales by six tasks, not one flat score. "Phase 2 design carries the</w:t>
        <w:br/>
        <w:t>highest mental demand while Phase 5 carries the highest frustration" is a</w:t>
        <w:br/>
        <w:t xml:space="preserve">claim about </w:t>
      </w:r>
      <w:r>
        <w:rPr>
          <w:rStyle w:val="Emphasis"/>
        </w:rPr>
        <w:t>where in the framework</w:t>
      </w:r>
      <w:r>
        <w:rPr/>
        <w:t xml:space="preserve"> the burden sits, which is what this</w:t>
        <w:br/>
        <w:t xml:space="preserve">thesis is actually arguing about. A single aggregate cannot say that. </w:t>
      </w:r>
    </w:p>
    <w:p>
      <w:pPr>
        <w:pStyle w:val="TextBody"/>
        <w:numPr>
          <w:ilvl w:val="0"/>
          <w:numId w:val="2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No recall decay.</w:t>
      </w:r>
      <w:r>
        <w:rPr/>
        <w:t xml:space="preserve"> Each rating is taken within a minute of the work it</w:t>
        <w:br/>
        <w:t xml:space="preserve">describes. </w:t>
      </w:r>
    </w:p>
    <w:p>
      <w:pPr>
        <w:pStyle w:val="TextBody"/>
        <w:numPr>
          <w:ilvl w:val="0"/>
          <w:numId w:val="25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More data points.</w:t>
      </w:r>
      <w:r>
        <w:rPr/>
        <w:t xml:space="preserve"> Participants x 6 tasks, so the workload analysis is not</w:t>
        <w:br/>
        <w:t xml:space="preserve">hostage to the same small N as SUS. </w:t>
      </w:r>
    </w:p>
    <w:p>
      <w:pPr>
        <w:pStyle w:val="TextBody"/>
        <w:bidi w:val="0"/>
        <w:jc w:val="left"/>
        <w:rPr/>
      </w:pPr>
      <w:r>
        <w:rPr/>
        <w:t>Cost: roughly 90 seconds per administration, about 9 minutes across the session,</w:t>
        <w:br/>
        <w:t>plus the interruption. Accepted.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Frame of reference given to the participant:</w:t>
      </w:r>
      <w:r>
        <w:rPr/>
        <w:t xml:space="preserve"> "the task you have just</w:t>
        <w:br/>
        <w:t>completed", named explicitly. The form's first question is which task the</w:t>
        <w:br/>
        <w:t>responses refer to; without it the whole matrix is unrecoverable.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Note the trade-off honestly in Chapter 9:</w:t>
      </w:r>
      <w:r>
        <w:rPr/>
        <w:t xml:space="preserve"> repeated administration invites</w:t>
        <w:br/>
        <w:t>anchoring, where later ratings drift toward earlier ones, and fatigue on the</w:t>
        <w:br/>
        <w:t>last one or two tasks. Neither is avoidable here. State them in</w:t>
        <w:br/>
      </w:r>
      <w:r>
        <w:rPr>
          <w:rStyle w:val="SourceText"/>
        </w:rPr>
        <w:t>\Cref{sec:threats}</w:t>
      </w:r>
      <w:r>
        <w:rPr/>
        <w:t xml:space="preserve"> alongside the benefits above.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Instructions shown to the participant (EN)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 xml:space="preserve">Which task are you answering about? </w:t>
      </w:r>
      <w:r>
        <w:rPr>
          <w:rStyle w:val="SourceText"/>
        </w:rPr>
        <w:t>(required, single choice)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 xml:space="preserve">Your participant code: </w:t>
      </w:r>
      <w:r>
        <w:rPr>
          <w:rStyle w:val="SourceText"/>
        </w:rPr>
        <w:t>(required)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 xml:space="preserve">We are interested in the workload you experienced </w:t>
      </w:r>
      <w:r>
        <w:rPr>
          <w:rStyle w:val="StrongEmphasis"/>
        </w:rPr>
        <w:t>during the task you have</w:t>
        <w:br/>
        <w:t>just completed</w:t>
      </w:r>
      <w:r>
        <w:rPr/>
        <w:t>. Please rate each of the six aspects below by marking a point</w:t>
        <w:br/>
        <w:t>on the line. Read each description before answering. Note that the scale for</w:t>
        <w:br/>
        <w:t>Performance runs in the opposite direction to the others.</w:t>
      </w:r>
    </w:p>
    <w:p>
      <w:pPr>
        <w:pStyle w:val="TextBody"/>
        <w:bidi w:val="0"/>
        <w:spacing w:before="0" w:after="283"/>
        <w:jc w:val="left"/>
        <w:rPr/>
      </w:pPr>
      <w:r>
        <w:rPr/>
        <w:t>Each scale is a line divided into 20 intervals. Mark one interval. The mark is</w:t>
        <w:br/>
        <w:t>converted to a score from 0 to 100 in steps of 5.</w:t>
      </w:r>
    </w:p>
    <w:p>
      <w:pPr>
        <w:pStyle w:val="Heading3"/>
        <w:bidi w:val="0"/>
        <w:jc w:val="left"/>
        <w:rPr/>
      </w:pPr>
      <w:r>
        <w:rPr/>
        <w:t>Mental Demand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How much mental and perceptual activity was required? Was it easy or</w:t>
        <w:br/>
        <w:t>demanding, simple or complex, forgiving or exacting?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Very Low |--------------------| Very High</w:t>
      </w:r>
    </w:p>
    <w:p>
      <w:pPr>
        <w:pStyle w:val="Heading3"/>
        <w:bidi w:val="0"/>
        <w:jc w:val="left"/>
        <w:rPr/>
      </w:pPr>
      <w:r>
        <w:rPr/>
        <w:t>Physical Demand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How much physical activity was required? Was the task easy or demanding, slow</w:t>
        <w:br/>
        <w:t>or brisk, restful or laborious?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Very Low |--------------------| Very High</w:t>
      </w:r>
    </w:p>
    <w:p>
      <w:pPr>
        <w:pStyle w:val="Heading3"/>
        <w:bidi w:val="0"/>
        <w:jc w:val="left"/>
        <w:rPr/>
      </w:pPr>
      <w:r>
        <w:rPr/>
        <w:t>Temporal Demand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How much time pressure did you feel due to the rate or pace at which the tasks</w:t>
        <w:br/>
        <w:t>occurred? Was the pace slow and leisurely or rapid and frantic?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Very Low |--------------------| Very High</w:t>
      </w:r>
    </w:p>
    <w:p>
      <w:pPr>
        <w:pStyle w:val="Heading3"/>
        <w:bidi w:val="0"/>
        <w:jc w:val="left"/>
        <w:rPr/>
      </w:pPr>
      <w:r>
        <w:rPr/>
        <w:t>Performance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How successful do you think you were in accomplishing the goals of this task?</w:t>
        <w:br/>
        <w:t>How satisfied were you with your performance in accomplishing them?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Perfect |--------------------| Failure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Note the reversed anchors.</w:t>
      </w:r>
      <w:r>
        <w:rPr/>
        <w:t xml:space="preserve"> Good performance is at the left end.</w:t>
      </w:r>
    </w:p>
    <w:p>
      <w:pPr>
        <w:pStyle w:val="Heading3"/>
        <w:bidi w:val="0"/>
        <w:jc w:val="left"/>
        <w:rPr/>
      </w:pPr>
      <w:r>
        <w:rPr/>
        <w:t>Effort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How hard did you have to work, mentally and physically, to accomplish your</w:t>
        <w:br/>
        <w:t>level of performance?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Very Low |--------------------| Very High</w:t>
      </w:r>
    </w:p>
    <w:p>
      <w:pPr>
        <w:pStyle w:val="Heading3"/>
        <w:bidi w:val="0"/>
        <w:jc w:val="left"/>
        <w:rPr/>
      </w:pPr>
      <w:r>
        <w:rPr/>
        <w:t>Frustration Level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How insecure, discouraged, irritated, stressed and annoyed, versus secure,</w:t>
        <w:br/>
        <w:t>gratified, content and relaxed, did you feel during this task?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Very Low |--------------------| Very High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Instruções apresentadas ao participante (PT)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 xml:space="preserve">A que tarefa se refere esta resposta? </w:t>
      </w:r>
      <w:r>
        <w:rPr>
          <w:rStyle w:val="SourceText"/>
        </w:rPr>
        <w:t>(obrigatório, escolha única)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 xml:space="preserve">O seu código de participante: </w:t>
      </w:r>
      <w:r>
        <w:rPr>
          <w:rStyle w:val="SourceText"/>
        </w:rPr>
        <w:t>(obrigatório)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 xml:space="preserve">Interessa-nos a carga de trabalho que sentiu </w:t>
      </w:r>
      <w:r>
        <w:rPr>
          <w:rStyle w:val="StrongEmphasis"/>
        </w:rPr>
        <w:t>durante a tarefa que acabou de</w:t>
        <w:br/>
        <w:t>realizar</w:t>
      </w:r>
      <w:r>
        <w:rPr/>
        <w:t>. Classifique cada um dos seis aspectos abaixo marcando um ponto na</w:t>
        <w:br/>
        <w:t>linha. Leia cada descrição antes de responder. Note que a escala do Desempenho</w:t>
        <w:br/>
        <w:t>corre no sentido inverso das restantes.</w:t>
      </w:r>
    </w:p>
    <w:p>
      <w:pPr>
        <w:pStyle w:val="Heading3"/>
        <w:bidi w:val="0"/>
        <w:jc w:val="left"/>
        <w:rPr/>
      </w:pPr>
      <w:r>
        <w:rPr/>
        <w:t>Exigência Mental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Quanta actividade mental e perceptiva foi necessária? A tarefa foi fácil ou</w:t>
        <w:br/>
        <w:t>exigente, simples ou complexa, tolerante ou rigorosa?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Muito Baixa |--------------------| Muito Alta</w:t>
      </w:r>
    </w:p>
    <w:p>
      <w:pPr>
        <w:pStyle w:val="Heading3"/>
        <w:bidi w:val="0"/>
        <w:jc w:val="left"/>
        <w:rPr/>
      </w:pPr>
      <w:r>
        <w:rPr/>
        <w:t>Exigência Física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Quanta actividade física foi necessária? A tarefa foi fácil ou exigente, lenta</w:t>
        <w:br/>
        <w:t>ou rápida, repousante ou trabalhosa?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Muito Baixa |--------------------| Muito Alta</w:t>
      </w:r>
    </w:p>
    <w:p>
      <w:pPr>
        <w:pStyle w:val="Heading3"/>
        <w:bidi w:val="0"/>
        <w:jc w:val="left"/>
        <w:rPr/>
      </w:pPr>
      <w:r>
        <w:rPr/>
        <w:t>Exigência Temporal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Quanta pressão de tempo sentiu devido ao ritmo a que a tarefa decorreu? O</w:t>
        <w:br/>
        <w:t>ritmo foi lento e tranquilo ou rápido e frenético?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Muito Baixa |--------------------| Muito Alta</w:t>
      </w:r>
    </w:p>
    <w:p>
      <w:pPr>
        <w:pStyle w:val="Heading3"/>
        <w:bidi w:val="0"/>
        <w:jc w:val="left"/>
        <w:rPr/>
      </w:pPr>
      <w:r>
        <w:rPr/>
        <w:t>Desempenho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Em que medida acha que teve sucesso em atingir os objectivos desta tarefa? Quão</w:t>
        <w:br/>
        <w:t>satisfeito ficou com o seu desempenho?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Perfeito |--------------------| Fracasso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Note as âncoras invertidas.</w:t>
      </w:r>
      <w:r>
        <w:rPr/>
        <w:t xml:space="preserve"> O bom desempenho está na extremidade esquerda.</w:t>
      </w:r>
    </w:p>
    <w:p>
      <w:pPr>
        <w:pStyle w:val="Heading3"/>
        <w:bidi w:val="0"/>
        <w:jc w:val="left"/>
        <w:rPr/>
      </w:pPr>
      <w:r>
        <w:rPr/>
        <w:t>Esforço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Quanto teve de trabalhar, mental e fisicamente, para alcançar o seu nível de</w:t>
        <w:br/>
        <w:t>desempenho?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Muito Baixo |--------------------| Muito Alto</w:t>
      </w:r>
    </w:p>
    <w:p>
      <w:pPr>
        <w:pStyle w:val="Heading3"/>
        <w:bidi w:val="0"/>
        <w:jc w:val="left"/>
        <w:rPr/>
      </w:pPr>
      <w:r>
        <w:rPr/>
        <w:t>Nível de Frustração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Quão inseguro, desencorajado, irritado, tenso e incomodado, por oposição a</w:t>
        <w:br/>
        <w:t>seguro, satisfeito, contente e tranquilo, se sentiu durante esta tarefa?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Muito Baixo |--------------------| Muito Alto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Building this as an online form</w:t>
      </w:r>
    </w:p>
    <w:p>
      <w:pPr>
        <w:pStyle w:val="TextBody"/>
        <w:bidi w:val="0"/>
        <w:spacing w:before="0" w:after="283"/>
        <w:jc w:val="left"/>
        <w:rPr/>
      </w:pPr>
      <w:r>
        <w:rPr/>
        <w:t>The script is unmoderated, so the TLX is a web form the participant opens six</w:t>
        <w:br/>
        <w:t>times. Two things must be got right or the data is unusable.</w:t>
      </w:r>
    </w:p>
    <w:p>
      <w:pPr>
        <w:pStyle w:val="Heading3"/>
        <w:bidi w:val="0"/>
        <w:jc w:val="left"/>
        <w:rPr/>
      </w:pPr>
      <w:r>
        <w:rPr/>
        <w:t>1. Which task is this for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First question on the form, required, single choice:</w:t>
      </w:r>
      <w:r>
        <w:rPr/>
        <w:t xml:space="preserve"> Task 3, Task 4, Task 6,</w:t>
        <w:br/>
        <w:t>Task 7, Task 8, Task 9, with the task titles spelled out. Second question:</w:t>
        <w:br/>
        <w:t>participant code, required, short answer.</w:t>
      </w:r>
    </w:p>
    <w:p>
      <w:pPr>
        <w:pStyle w:val="TextBody"/>
        <w:bidi w:val="0"/>
        <w:spacing w:before="0" w:after="283"/>
        <w:jc w:val="left"/>
        <w:rPr/>
      </w:pPr>
      <w:r>
        <w:rPr/>
        <w:t>Without both, six submissions per participant cannot be reassembled into a</w:t>
        <w:br/>
        <w:t>matrix, and one participant forgetting their code loses their whole row.</w:t>
      </w:r>
    </w:p>
    <w:p>
      <w:pPr>
        <w:pStyle w:val="Heading3"/>
        <w:bidi w:val="0"/>
        <w:jc w:val="left"/>
        <w:rPr/>
      </w:pPr>
      <w:r>
        <w:rPr/>
        <w:t>2. The response scale is a real deviation from the instrument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The published NASA-TLX scale is a line divided into </w:t>
      </w:r>
      <w:r>
        <w:rPr>
          <w:rStyle w:val="StrongEmphasis"/>
        </w:rPr>
        <w:t>20 intervals</w:t>
      </w:r>
      <w:r>
        <w:rPr/>
        <w:t>, scored</w:t>
        <w:br/>
        <w:t>0-100 in steps of 5.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Google Forms cannot reproduce this.</w:t>
      </w:r>
      <w:r>
        <w:rPr/>
        <w:t xml:space="preserve"> Its linear scale tops out at 10 points</w:t>
        <w:br/>
        <w:t>and it has no slider. The options, in order of preference: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91"/>
        <w:gridCol w:w="1260"/>
        <w:gridCol w:w="1868"/>
      </w:tblGrid>
      <w:tr>
        <w:trPr>
          <w:tblHeader w:val="true"/>
        </w:trPr>
        <w:tc>
          <w:tcPr>
            <w:tcW w:w="229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Option</w:t>
            </w:r>
          </w:p>
        </w:tc>
        <w:tc>
          <w:tcPr>
            <w:tcW w:w="1260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Fidelity</w:t>
            </w:r>
          </w:p>
        </w:tc>
        <w:tc>
          <w:tcPr>
            <w:tcW w:w="186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Verdict</w:t>
            </w:r>
          </w:p>
        </w:tc>
      </w:tr>
      <w:tr>
        <w:trPr/>
        <w:tc>
          <w:tcPr>
            <w:tcW w:w="2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 form tool with a real 0-100 slider</w:t>
            </w:r>
          </w:p>
        </w:tc>
        <w:tc>
          <w:tcPr>
            <w:tcW w:w="12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faithful</w:t>
            </w:r>
          </w:p>
        </w:tc>
        <w:tc>
          <w:tcPr>
            <w:tcW w:w="18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best if one is available</w:t>
            </w:r>
          </w:p>
        </w:tc>
      </w:tr>
      <w:tr>
        <w:trPr/>
        <w:tc>
          <w:tcPr>
            <w:tcW w:w="2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Google Forms linear scale 0-10, multiplied by 10</w:t>
            </w:r>
          </w:p>
        </w:tc>
        <w:tc>
          <w:tcPr>
            <w:tcW w:w="12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coarse but monotonic</w:t>
            </w:r>
          </w:p>
        </w:tc>
        <w:tc>
          <w:tcPr>
            <w:tcW w:w="18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acceptable, </w:t>
            </w:r>
            <w:r>
              <w:rPr>
                <w:rStyle w:val="StrongEmphasis"/>
              </w:rPr>
              <w:t>must be documented</w:t>
            </w:r>
          </w:p>
        </w:tc>
      </w:tr>
      <w:tr>
        <w:trPr/>
        <w:tc>
          <w:tcPr>
            <w:tcW w:w="2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Google Forms short answer, number 0-100 validated as a multiple of 5</w:t>
            </w:r>
          </w:p>
        </w:tc>
        <w:tc>
          <w:tcPr>
            <w:tcW w:w="12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faithful values</w:t>
            </w:r>
          </w:p>
        </w:tc>
        <w:tc>
          <w:tcPr>
            <w:tcW w:w="18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high error rate, participants type freely</w:t>
            </w:r>
          </w:p>
        </w:tc>
      </w:tr>
      <w:tr>
        <w:trPr/>
        <w:tc>
          <w:tcPr>
            <w:tcW w:w="2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Google Forms grid with 21 columns</w:t>
            </w:r>
          </w:p>
        </w:tc>
        <w:tc>
          <w:tcPr>
            <w:tcW w:w="12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faithful</w:t>
            </w:r>
          </w:p>
        </w:tc>
        <w:tc>
          <w:tcPr>
            <w:tcW w:w="18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unusable on a phone, do not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Recommendation: 0-10 linear scale, multiplied by 10 at analysis time.</w:t>
      </w:r>
      <w:r>
        <w:rPr/>
        <w:t xml:space="preserve"> Then</w:t>
        <w:br/>
        <w:t xml:space="preserve">write in Chapter 9, in plain words: </w:t>
      </w:r>
      <w:r>
        <w:rPr>
          <w:rStyle w:val="Emphasis"/>
        </w:rPr>
        <w:t>"a 0-10 response scale was used in place of</w:t>
        <w:br/>
        <w:t>the original 20-interval line, and scores were rescaled to 0-100; this reduces</w:t>
        <w:br/>
        <w:t>the resolution of the instrument and the resulting values are not directly</w:t>
        <w:br/>
        <w:t>comparable to studies using the original scale."</w:t>
      </w:r>
    </w:p>
    <w:p>
      <w:pPr>
        <w:pStyle w:val="TextBody"/>
        <w:bidi w:val="0"/>
        <w:spacing w:before="0" w:after="283"/>
        <w:jc w:val="left"/>
        <w:rPr/>
      </w:pPr>
      <w:r>
        <w:rPr/>
        <w:t>Do not silently rescale and report it as NASA-TLX. That is the sort of quiet</w:t>
        <w:br/>
        <w:t>deviation that, once noticed in a viva, casts doubt on everything else.</w:t>
      </w:r>
    </w:p>
    <w:p>
      <w:pPr>
        <w:pStyle w:val="Heading3"/>
        <w:bidi w:val="0"/>
        <w:jc w:val="left"/>
        <w:rPr/>
      </w:pPr>
      <w:r>
        <w:rPr/>
        <w:t>3. Anchors on every item</w:t>
      </w:r>
    </w:p>
    <w:p>
      <w:pPr>
        <w:pStyle w:val="TextBody"/>
        <w:bidi w:val="0"/>
        <w:spacing w:before="0" w:after="283"/>
        <w:jc w:val="left"/>
        <w:rPr/>
      </w:pPr>
      <w:r>
        <w:rPr/>
        <w:t>Repeat the subscale description and both anchor words on every question. In an</w:t>
        <w:br/>
        <w:t>unmoderated study nobody is present to explain that Performance runs backwards,</w:t>
        <w:br/>
        <w:t>and a participant who misses that inverts one sixth of the data set.</w:t>
      </w:r>
    </w:p>
    <w:p>
      <w:pPr>
        <w:pStyle w:val="TextBody"/>
        <w:bidi w:val="0"/>
        <w:spacing w:before="0" w:after="283"/>
        <w:jc w:val="left"/>
        <w:rPr/>
      </w:pPr>
      <w:r>
        <w:rPr/>
        <w:t>Put the Performance item's reversed anchors in bold, and consider placing it</w:t>
        <w:br/>
        <w:t>last rather than fourth so the reversal is not encountered mid-flow.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Scoring</w:t>
      </w:r>
    </w:p>
    <w:p>
      <w:pPr>
        <w:pStyle w:val="TextBody"/>
        <w:numPr>
          <w:ilvl w:val="0"/>
          <w:numId w:val="2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Each mark converts to </w:t>
      </w:r>
      <w:r>
        <w:rPr>
          <w:rStyle w:val="SourceText"/>
        </w:rPr>
        <w:t>0-100</w:t>
      </w:r>
      <w:r>
        <w:rPr/>
        <w:t xml:space="preserve"> in steps of 5 (interval index x 5). If the</w:t>
        <w:br/>
        <w:t>0-10 form scale was used, multiply the response by 10 and record the</w:t>
        <w:br/>
        <w:t xml:space="preserve">deviation. </w:t>
      </w:r>
    </w:p>
    <w:p>
      <w:pPr>
        <w:pStyle w:val="TextBody"/>
        <w:numPr>
          <w:ilvl w:val="0"/>
          <w:numId w:val="2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Performance is recorded as marked, on its own Perfect-to-Failure scale.</w:t>
      </w:r>
      <w:r>
        <w:rPr/>
        <w:br/>
        <w:t>Do not silently invert it. If it is inverted to make the aggregate</w:t>
        <w:br/>
        <w:t xml:space="preserve">directionally consistent, state that in the caption, every time. </w:t>
      </w:r>
    </w:p>
    <w:p>
      <w:pPr>
        <w:pStyle w:val="TextBody"/>
        <w:numPr>
          <w:ilvl w:val="0"/>
          <w:numId w:val="26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Raw TLX overall score = the unweighted arithmetic mean of the six subscale</w:t>
        <w:br/>
        <w:t xml:space="preserve">scores. </w:t>
      </w:r>
    </w:p>
    <w:p>
      <w:pPr>
        <w:pStyle w:val="Heading2"/>
        <w:bidi w:val="0"/>
        <w:jc w:val="left"/>
        <w:rPr/>
      </w:pPr>
      <w:r>
        <w:rPr/>
        <w:t>Reporting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The six-subscale profile is the primary result.</w:t>
      </w:r>
      <w:r>
        <w:rPr/>
        <w:t xml:space="preserve"> The single aggregate is</w:t>
        <w:br/>
        <w:t>secondary and reported after it, never instead of it.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With per-task administration the primary artefact is a </w:t>
      </w:r>
      <w:r>
        <w:rPr>
          <w:rStyle w:val="StrongEmphasis"/>
        </w:rPr>
        <w:t>six-by-six matrix</w:t>
      </w:r>
      <w:r>
        <w:rPr/>
        <w:t>:</w:t>
        <w:br/>
        <w:t>six subscales across six tasks, each cell a mean across participants.</w:t>
      </w:r>
    </w:p>
    <w:p>
      <w:pPr>
        <w:pStyle w:val="TextBody"/>
        <w:bidi w:val="0"/>
        <w:spacing w:before="0" w:after="283"/>
        <w:jc w:val="left"/>
        <w:rPr/>
      </w:pPr>
      <w:r>
        <w:rPr/>
        <w:t>Report as:</w:t>
      </w:r>
    </w:p>
    <w:p>
      <w:pPr>
        <w:pStyle w:val="TextBody"/>
        <w:numPr>
          <w:ilvl w:val="0"/>
          <w:numId w:val="2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the subscale-by-task matrix as a heatmap or grouped bar chart. This is the</w:t>
        <w:br/>
        <w:t xml:space="preserve">headline figure of the evaluation chapter </w:t>
      </w:r>
    </w:p>
    <w:p>
      <w:pPr>
        <w:pStyle w:val="TextBody"/>
        <w:numPr>
          <w:ilvl w:val="0"/>
          <w:numId w:val="2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per-task aggregate Raw TLX, so the phases can be ranked by total workload </w:t>
      </w:r>
    </w:p>
    <w:p>
      <w:pPr>
        <w:pStyle w:val="TextBody"/>
        <w:numPr>
          <w:ilvl w:val="0"/>
          <w:numId w:val="2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per-subscale profile collapsed across tasks, for the overall claim </w:t>
      </w:r>
    </w:p>
    <w:p>
      <w:pPr>
        <w:pStyle w:val="TextBody"/>
        <w:numPr>
          <w:ilvl w:val="0"/>
          <w:numId w:val="2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a table of per-participant, per-task scores in Appendix B so the figures can</w:t>
        <w:br/>
        <w:t xml:space="preserve">be recomputed </w:t>
      </w:r>
    </w:p>
    <w:p>
      <w:pPr>
        <w:pStyle w:val="TextBody"/>
        <w:numPr>
          <w:ilvl w:val="0"/>
          <w:numId w:val="27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median and range, not only means, given the sample size </w:t>
      </w:r>
    </w:p>
    <w:p>
      <w:pPr>
        <w:pStyle w:val="TextBody"/>
        <w:bidi w:val="0"/>
        <w:jc w:val="left"/>
        <w:rPr/>
      </w:pPr>
      <w:r>
        <w:rPr/>
        <w:t>The matrix is what justifies the per-task cost. If Chapter 9 ends up reporting</w:t>
        <w:br/>
        <w:t>only the collapsed profile, the six administrations bought nothing and a single</w:t>
        <w:br/>
        <w:t>end-of-session TLX would have been the right call.</w:t>
      </w:r>
    </w:p>
    <w:p>
      <w:pPr>
        <w:pStyle w:val="Heading3"/>
        <w:bidi w:val="0"/>
        <w:jc w:val="left"/>
        <w:rPr/>
      </w:pPr>
      <w:r>
        <w:rPr/>
        <w:t>What to look for</w:t>
      </w:r>
    </w:p>
    <w:p>
      <w:pPr>
        <w:pStyle w:val="TextBody"/>
        <w:bidi w:val="0"/>
        <w:spacing w:before="0" w:after="283"/>
        <w:jc w:val="left"/>
        <w:rPr/>
      </w:pPr>
      <w:r>
        <w:rPr/>
        <w:t>The interesting hypothesis for this thesis, stated in advance so that finding it</w:t>
        <w:br/>
        <w:t>counts and not finding it also counts: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 xml:space="preserve">Apex plausibly </w:t>
      </w:r>
      <w:r>
        <w:rPr>
          <w:rStyle w:val="StrongEmphasis"/>
        </w:rPr>
        <w:t>raises Mental Demand</w:t>
      </w:r>
      <w:r>
        <w:rPr/>
        <w:t xml:space="preserve"> - there is more structure, more</w:t>
        <w:br/>
        <w:t>vocabulary and more explicit state to hold in mind than in unstructured</w:t>
        <w:br/>
        <w:t xml:space="preserve">AI-assisted work - while </w:t>
      </w:r>
      <w:r>
        <w:rPr>
          <w:rStyle w:val="StrongEmphasis"/>
        </w:rPr>
        <w:t>lowering Effort and Frustration</w:t>
      </w:r>
      <w:r>
        <w:rPr/>
        <w:t>, because there is</w:t>
        <w:br/>
        <w:t>less blank-page work and fewer dead ends.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If that profile appears, it is a precise, defensible claim about </w:t>
      </w:r>
      <w:r>
        <w:rPr>
          <w:rStyle w:val="Emphasis"/>
        </w:rPr>
        <w:t>where</w:t>
      </w:r>
      <w:r>
        <w:rPr/>
        <w:t xml:space="preserve"> the</w:t>
        <w:br/>
        <w:t>framework moves the practitioner's burden, and it is much more interesting than</w:t>
        <w:br/>
        <w:t>a low aggregate. If the profile does not appear, report the actual profile and</w:t>
        <w:br/>
        <w:t>say the hypothesis was not supported. Both outcomes are publishable; only</w:t>
        <w:br/>
        <w:t>silently reporting the aggregate is not.</w:t>
      </w:r>
    </w:p>
    <w:p>
      <w:pPr>
        <w:pStyle w:val="TextBody"/>
        <w:bidi w:val="0"/>
        <w:spacing w:before="0" w:after="283"/>
        <w:jc w:val="left"/>
        <w:rPr/>
      </w:pPr>
      <w:r>
        <w:rPr/>
        <w:t>Physical Demand will almost certainly be near-floor for a desktop tool. Report</w:t>
        <w:br/>
        <w:t>it anyway - dropping a subscale because it is uninteresting is a deviation from</w:t>
        <w:br/>
        <w:t>the instrument.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Per-task predictions, also stated in advance: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00"/>
        <w:gridCol w:w="4219"/>
      </w:tblGrid>
      <w:tr>
        <w:trPr>
          <w:tblHeader w:val="true"/>
        </w:trPr>
        <w:tc>
          <w:tcPr>
            <w:tcW w:w="1200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Task</w:t>
            </w:r>
          </w:p>
        </w:tc>
        <w:tc>
          <w:tcPr>
            <w:tcW w:w="4219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Prediction</w:t>
            </w:r>
          </w:p>
        </w:tc>
      </w:tr>
      <w:tr>
        <w:trPr/>
        <w:tc>
          <w:tcPr>
            <w:tcW w:w="12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3, Phase 1 Gherkin</w:t>
            </w:r>
          </w:p>
        </w:tc>
        <w:tc>
          <w:tcPr>
            <w:tcW w:w="42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highest Mental Demand - the participant has to express a requirement precisely for the first time</w:t>
            </w:r>
          </w:p>
        </w:tc>
      </w:tr>
      <w:tr>
        <w:trPr/>
        <w:tc>
          <w:tcPr>
            <w:tcW w:w="12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4, Phase 2 design</w:t>
            </w:r>
          </w:p>
        </w:tc>
        <w:tc>
          <w:tcPr>
            <w:tcW w:w="42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high Mental Demand, high Effort - most content to review, most decisions to accept or reject</w:t>
            </w:r>
          </w:p>
        </w:tc>
      </w:tr>
      <w:tr>
        <w:trPr/>
        <w:tc>
          <w:tcPr>
            <w:tcW w:w="12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6, Phase 3 packs</w:t>
            </w:r>
          </w:p>
        </w:tc>
        <w:tc>
          <w:tcPr>
            <w:tcW w:w="42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moderate throughout - largely a review task</w:t>
            </w:r>
          </w:p>
        </w:tc>
      </w:tr>
      <w:tr>
        <w:trPr/>
        <w:tc>
          <w:tcPr>
            <w:tcW w:w="12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7, Phase 4 QA</w:t>
            </w:r>
          </w:p>
        </w:tc>
        <w:tc>
          <w:tcPr>
            <w:tcW w:w="42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low across the board</w:t>
            </w:r>
          </w:p>
        </w:tc>
      </w:tr>
      <w:tr>
        <w:trPr/>
        <w:tc>
          <w:tcPr>
            <w:tcW w:w="12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8, Phase 5 gate</w:t>
            </w:r>
          </w:p>
        </w:tc>
        <w:tc>
          <w:tcPr>
            <w:tcW w:w="42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highest Frustration, lowest Performance</w:t>
            </w:r>
            <w:r>
              <w:rPr/>
              <w:t xml:space="preserve"> - this task is designed to be refused</w:t>
            </w:r>
          </w:p>
        </w:tc>
      </w:tr>
      <w:tr>
        <w:trPr/>
        <w:tc>
          <w:tcPr>
            <w:tcW w:w="12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9, Export</w:t>
            </w:r>
          </w:p>
        </w:tc>
        <w:tc>
          <w:tcPr>
            <w:tcW w:w="42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lowest overall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Task 8's Frustration score is the number to watch. A refusal that the interface</w:t>
        <w:br/>
        <w:t>explains well should raise Frustration only modestly; a refusal that reads as a</w:t>
        <w:br/>
        <w:t>bug will spike it. Cross-read that score against UX item A4 and the open</w:t>
        <w:br/>
        <w:t>question about the same task.</w:t>
      </w:r>
    </w:p>
    <w:p>
      <w:pPr>
        <w:pStyle w:val="TextBody"/>
        <w:bidi w:val="0"/>
        <w:spacing w:before="0" w:after="283"/>
        <w:jc w:val="left"/>
        <w:rPr/>
      </w:pPr>
      <w:r>
        <w:rPr/>
        <w:t>Writing these predictions down before the study is what allows a mismatch to be</w:t>
        <w:br/>
        <w:t>reported as a finding rather than rationalised afterwards.</w:t>
      </w:r>
    </w:p>
    <w:p>
      <w:pPr>
        <w:pStyle w:val="Heading2"/>
        <w:bidi w:val="0"/>
        <w:jc w:val="left"/>
        <w:rPr/>
      </w:pPr>
      <w:r>
        <w:rPr/>
        <w:t>Practical note</w:t>
      </w:r>
    </w:p>
    <w:p>
      <w:pPr>
        <w:pStyle w:val="TextBody"/>
        <w:bidi w:val="0"/>
        <w:spacing w:before="0" w:after="283"/>
        <w:jc w:val="left"/>
        <w:rPr/>
      </w:pPr>
      <w:r>
        <w:rPr/>
        <w:t>If the study is run moderated and in person, print the original 20-interval</w:t>
        <w:br/>
        <w:t>line and use it - it is the instrument, and it costs nothing. The online-form</w:t>
        <w:br/>
        <w:t>compromise above exists only because the unmoderated arm cannot use paper. Where</w:t>
        <w:br/>
        <w:t>both arms run, note in Chapter 9 that the two arms used different response</w:t>
        <w:br/>
        <w:t>scales, and do not pool them into a single mean without saying so.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Apex UI/UX questionnaire - custom instrument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This is not a validated instrument.</w:t>
      </w:r>
      <w:r>
        <w:rPr/>
        <w:t xml:space="preserve"> It was written for this thesis to reach</w:t>
        <w:br/>
        <w:t>what SUS and Raw TLX structurally cannot see: whether the practitioner trusted</w:t>
        <w:br/>
        <w:t>the AI output, whether the phase gates read as guardrails or as obstruction, and</w:t>
        <w:br/>
        <w:t>whether reviewing generated work felt cheaper than writing it.</w:t>
      </w:r>
    </w:p>
    <w:p>
      <w:pPr>
        <w:pStyle w:val="TextBody"/>
        <w:bidi w:val="0"/>
        <w:spacing w:before="0" w:after="283"/>
        <w:jc w:val="left"/>
        <w:rPr/>
      </w:pPr>
      <w:r>
        <w:rPr/>
        <w:t>Consequences that must be honoured in Chapter 9:</w:t>
      </w:r>
    </w:p>
    <w:p>
      <w:pPr>
        <w:pStyle w:val="TextBody"/>
        <w:numPr>
          <w:ilvl w:val="0"/>
          <w:numId w:val="2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Report </w:t>
      </w:r>
      <w:r>
        <w:rPr>
          <w:rStyle w:val="StrongEmphasis"/>
        </w:rPr>
        <w:t>item by item</w:t>
      </w:r>
      <w:r>
        <w:rPr/>
        <w:t xml:space="preserve">, descriptively. Diverging bar chart per item. </w:t>
      </w:r>
    </w:p>
    <w:p>
      <w:pPr>
        <w:pStyle w:val="TextBody"/>
        <w:numPr>
          <w:ilvl w:val="0"/>
          <w:numId w:val="2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No composite score.</w:t>
      </w:r>
      <w:r>
        <w:rPr/>
        <w:t xml:space="preserve"> No subscale means, no Cronbach's alpha, no factor</w:t>
        <w:br/>
        <w:t>analysis. An unvalidated 18-item scale reported as one number is exactly the</w:t>
        <w:br/>
        <w:t xml:space="preserve">claim an examiner will take apart. </w:t>
      </w:r>
    </w:p>
    <w:p>
      <w:pPr>
        <w:pStyle w:val="TextBody"/>
        <w:numPr>
          <w:ilvl w:val="0"/>
          <w:numId w:val="2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The construct groupings below are for organising the discussion, not for</w:t>
        <w:br/>
        <w:t xml:space="preserve">computing anything. </w:t>
      </w:r>
    </w:p>
    <w:p>
      <w:pPr>
        <w:pStyle w:val="TextBody"/>
        <w:numPr>
          <w:ilvl w:val="0"/>
          <w:numId w:val="28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Cite it as an author-designed instrument and say why an off-the-shelf one did</w:t>
        <w:br/>
        <w:t xml:space="preserve">not fit. </w:t>
      </w:r>
    </w:p>
    <w:p>
      <w:pPr>
        <w:pStyle w:val="TextBody"/>
        <w:bidi w:val="0"/>
        <w:jc w:val="left"/>
        <w:rPr/>
      </w:pPr>
      <w:r>
        <w:rPr/>
        <w:t xml:space="preserve">Administer </w:t>
      </w:r>
      <w:r>
        <w:rPr>
          <w:rStyle w:val="StrongEmphasis"/>
        </w:rPr>
        <w:t>last</w:t>
      </w:r>
      <w:r>
        <w:rPr/>
        <w:t>, after SUS. Roughly 8 minutes.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Scale for all closed items: </w:t>
      </w:r>
      <w:r>
        <w:rPr>
          <w:rStyle w:val="SourceText"/>
        </w:rPr>
        <w:t>1 = Strongly disagree</w:t>
      </w:r>
      <w:r>
        <w:rPr/>
        <w:t xml:space="preserve"> ... </w:t>
      </w:r>
      <w:r>
        <w:rPr>
          <w:rStyle w:val="SourceText"/>
        </w:rPr>
        <w:t>5 = Strongly agree</w:t>
      </w:r>
      <w:r>
        <w:rPr/>
        <w:t>,</w:t>
        <w:br/>
        <w:t xml:space="preserve">plus an explicit </w:t>
      </w:r>
      <w:r>
        <w:rPr>
          <w:rStyle w:val="StrongEmphasis"/>
        </w:rPr>
        <w:t>N/A - did not use this</w:t>
      </w:r>
      <w:r>
        <w:rPr/>
        <w:t xml:space="preserve"> option. The N/A option matters:</w:t>
        <w:br/>
        <w:t>several items refer to surfaces a participant may never have opened, and forcing</w:t>
        <w:br/>
        <w:t>a centre-point answer would manufacture data.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Closed items (EN)</w:t>
      </w:r>
    </w:p>
    <w:p>
      <w:pPr>
        <w:pStyle w:val="Heading3"/>
        <w:bidi w:val="0"/>
        <w:jc w:val="left"/>
        <w:rPr/>
      </w:pPr>
      <w:r>
        <w:rPr/>
        <w:t>A. Understanding where you are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1"/>
        <w:gridCol w:w="5058"/>
      </w:tblGrid>
      <w:tr>
        <w:trPr>
          <w:tblHeader w:val="true"/>
        </w:trPr>
        <w:tc>
          <w:tcPr>
            <w:tcW w:w="36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Item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A1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At any moment, I knew which phase of the process I was in.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A2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understood what the tool expected me to do next.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A3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could tell the difference between work the tool had finished and work it had not.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A4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When the tool refused to let me continue, I understood why.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A4 is the Task 8 item, the deployment gate that is designed to refuse. It is</w:t>
        <w:br/>
        <w:t>the highest-value question on this sheet.</w:t>
      </w:r>
    </w:p>
    <w:p>
      <w:pPr>
        <w:pStyle w:val="Heading3"/>
        <w:bidi w:val="0"/>
        <w:jc w:val="left"/>
        <w:rPr/>
      </w:pPr>
      <w:r>
        <w:rPr/>
        <w:t>B. Working with AI-generated content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1"/>
        <w:gridCol w:w="5058"/>
      </w:tblGrid>
      <w:tr>
        <w:trPr>
          <w:tblHeader w:val="true"/>
        </w:trPr>
        <w:tc>
          <w:tcPr>
            <w:tcW w:w="36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Item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B1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could tell which parts of the content were generated by AI and which were mine.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B2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Reviewing the AI's output took less effort than writing it myself would have.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B3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felt able to reject or change the AI's output when I disagreed with it.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B4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trusted the generated content enough to use it in a real project.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B5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could see what information the AI had been given as a basis for its output.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B4 and B2 are the trust-calibration pair. A high B4 with a low B2 says</w:t>
        <w:br/>
        <w:t>participants trusted output they did not really check, which is a finding about</w:t>
        <w:br/>
        <w:t>the risk the framework is supposed to control.</w:t>
      </w:r>
    </w:p>
    <w:p>
      <w:pPr>
        <w:pStyle w:val="TextBody"/>
        <w:bidi w:val="0"/>
        <w:spacing w:before="0" w:after="283"/>
        <w:jc w:val="left"/>
        <w:rPr/>
      </w:pPr>
      <w:r>
        <w:rPr/>
        <w:t>B5 targets the Active Context sidebar specifically.</w:t>
      </w:r>
    </w:p>
    <w:p>
      <w:pPr>
        <w:pStyle w:val="Heading3"/>
        <w:bidi w:val="0"/>
        <w:jc w:val="left"/>
        <w:rPr/>
      </w:pPr>
      <w:r>
        <w:rPr/>
        <w:t>C. Control and reversibility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1"/>
        <w:gridCol w:w="5058"/>
      </w:tblGrid>
      <w:tr>
        <w:trPr>
          <w:tblHeader w:val="true"/>
        </w:trPr>
        <w:tc>
          <w:tcPr>
            <w:tcW w:w="36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Item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C1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felt in control of what the tool did on my behalf.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C2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was confident I could undo or redo a step if I made a mistake.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C3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understood the consequences of locking a phase before I did it.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C4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Waiting for the AI to finish was acceptable.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C4 exists because Phase 1-4 generation runs 30-60 seconds and the loading</w:t>
        <w:br/>
        <w:t>feedback has never been usability-tested.</w:t>
      </w:r>
    </w:p>
    <w:p>
      <w:pPr>
        <w:pStyle w:val="Heading3"/>
        <w:bidi w:val="0"/>
        <w:jc w:val="left"/>
        <w:rPr/>
      </w:pPr>
      <w:r>
        <w:rPr/>
        <w:t>D. Feedback and errors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1"/>
        <w:gridCol w:w="5058"/>
      </w:tblGrid>
      <w:tr>
        <w:trPr>
          <w:tblHeader w:val="true"/>
        </w:trPr>
        <w:tc>
          <w:tcPr>
            <w:tcW w:w="36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Item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D1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When something went wrong, the tool told me clearly what had happened.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D2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messages the tool showed me told me what to do next, not only what failed.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D1 and D2 evaluate the error-surfacing work shipped in the 2026-08-04 toast</w:t>
        <w:br/>
        <w:t>overhaul, which has never been tested with a real user.</w:t>
      </w:r>
    </w:p>
    <w:p>
      <w:pPr>
        <w:pStyle w:val="Heading3"/>
        <w:bidi w:val="0"/>
        <w:jc w:val="left"/>
        <w:rPr/>
      </w:pPr>
      <w:r>
        <w:rPr/>
        <w:t>E. Fit to real work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1"/>
        <w:gridCol w:w="5058"/>
      </w:tblGrid>
      <w:tr>
        <w:trPr>
          <w:tblHeader w:val="true"/>
        </w:trPr>
        <w:tc>
          <w:tcPr>
            <w:tcW w:w="36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Item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E1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artefacts the tool produced are ones my team would actually use.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E2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process the tool imposes fits the way my team works.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E3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effort of following the process is worth what it produces.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 xml:space="preserve">E2 and E3 evaluate the </w:t>
      </w:r>
      <w:r>
        <w:rPr>
          <w:rStyle w:val="StrongEmphasis"/>
        </w:rPr>
        <w:t>framework</w:t>
      </w:r>
      <w:r>
        <w:rPr/>
        <w:t>, not the tool, and must be reported under</w:t>
        <w:br/>
        <w:t>the framework's evidence in Chapter 9, not under the instantiation's. Keeping</w:t>
        <w:br/>
        <w:t>them on this sheet is convenient for the participant but the analysis must split</w:t>
        <w:br/>
        <w:t>them out. Note this explicitly, or the SUS/TLX separation argued so carefully in</w:t>
        <w:br/>
      </w:r>
      <w:r>
        <w:rPr>
          <w:rStyle w:val="SourceText"/>
        </w:rPr>
        <w:t>tab:eval_instruments</w:t>
      </w:r>
      <w:r>
        <w:rPr/>
        <w:t xml:space="preserve"> gets quietly undermined by the author's own questionnaire.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Itens fechados (PT)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Escala: </w:t>
      </w:r>
      <w:r>
        <w:rPr>
          <w:rStyle w:val="SourceText"/>
        </w:rPr>
        <w:t>1 = Discordo totalmente</w:t>
      </w:r>
      <w:r>
        <w:rPr/>
        <w:t xml:space="preserve"> ... </w:t>
      </w:r>
      <w:r>
        <w:rPr>
          <w:rStyle w:val="SourceText"/>
        </w:rPr>
        <w:t>5 = Concordo totalmente</w:t>
      </w:r>
      <w:r>
        <w:rPr/>
        <w:t>, mais</w:t>
        <w:br/>
      </w:r>
      <w:r>
        <w:rPr>
          <w:rStyle w:val="StrongEmphasis"/>
        </w:rPr>
        <w:t>N/A - não utilizei</w:t>
      </w:r>
      <w:r>
        <w:rPr/>
        <w:t>.</w:t>
      </w:r>
    </w:p>
    <w:p>
      <w:pPr>
        <w:pStyle w:val="Heading3"/>
        <w:bidi w:val="0"/>
        <w:jc w:val="left"/>
        <w:rPr/>
      </w:pPr>
      <w:r>
        <w:rPr/>
        <w:t>A. Perceber onde se está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1"/>
        <w:gridCol w:w="5058"/>
      </w:tblGrid>
      <w:tr>
        <w:trPr>
          <w:tblHeader w:val="true"/>
        </w:trPr>
        <w:tc>
          <w:tcPr>
            <w:tcW w:w="36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Afirmação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A1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 qualquer momento, soube em que fase do processo estava.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A2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Percebi o que a ferramenta esperava que eu fizesse a seguir.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A3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Consegui distinguir o trabalho que a ferramenta tinha concluído daquele que não tinha.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A4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Quando a ferramenta me impediu de continuar, percebi porquê.</w:t>
            </w:r>
          </w:p>
        </w:tc>
      </w:tr>
    </w:tbl>
    <w:p>
      <w:pPr>
        <w:pStyle w:val="Heading3"/>
        <w:bidi w:val="0"/>
        <w:jc w:val="left"/>
        <w:rPr/>
      </w:pPr>
      <w:r>
        <w:rPr/>
        <w:t>B. Trabalhar com conteúdo gerado por IA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1"/>
        <w:gridCol w:w="5058"/>
      </w:tblGrid>
      <w:tr>
        <w:trPr>
          <w:tblHeader w:val="true"/>
        </w:trPr>
        <w:tc>
          <w:tcPr>
            <w:tcW w:w="36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Afirmação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B1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Consegui distinguir que partes do conteúdo foram geradas por IA e quais eram minhas.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B2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Rever o resultado da IA exigiu menos esforço do que escrevê-lo eu próprio.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B3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Senti que podia rejeitar ou alterar o resultado da IA quando discordava.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B4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Confiei no conteúdo gerado o suficiente para o usar num projecto real.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B5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Consegui ver que informação tinha sido dada à IA como base para o resultado.</w:t>
            </w:r>
          </w:p>
        </w:tc>
      </w:tr>
    </w:tbl>
    <w:p>
      <w:pPr>
        <w:pStyle w:val="Heading3"/>
        <w:bidi w:val="0"/>
        <w:jc w:val="left"/>
        <w:rPr/>
      </w:pPr>
      <w:r>
        <w:rPr/>
        <w:t>C. Controlo e reversibilidade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1"/>
        <w:gridCol w:w="5058"/>
      </w:tblGrid>
      <w:tr>
        <w:trPr>
          <w:tblHeader w:val="true"/>
        </w:trPr>
        <w:tc>
          <w:tcPr>
            <w:tcW w:w="36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Afirmação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C1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Senti-me no controlo do que a ferramenta fazia em meu nome.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C2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Senti confiança em conseguir desfazer ou repetir um passo se cometesse um erro.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C3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Percebi as consequências de bloquear uma fase antes de o fazer.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C4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 tempo de espera pela IA foi aceitável.</w:t>
            </w:r>
          </w:p>
        </w:tc>
      </w:tr>
    </w:tbl>
    <w:p>
      <w:pPr>
        <w:pStyle w:val="Heading3"/>
        <w:bidi w:val="0"/>
        <w:jc w:val="left"/>
        <w:rPr/>
      </w:pPr>
      <w:r>
        <w:rPr/>
        <w:t>D. Feedback e erros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1"/>
        <w:gridCol w:w="5058"/>
      </w:tblGrid>
      <w:tr>
        <w:trPr>
          <w:tblHeader w:val="true"/>
        </w:trPr>
        <w:tc>
          <w:tcPr>
            <w:tcW w:w="36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Afirmação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D1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Quando algo correu mal, a ferramenta disse-me claramente o que tinha acontecido.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D2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As mensagens que a ferramenta mostrou diziam-me o que fazer a seguir, e não apenas o que falhou.</w:t>
            </w:r>
          </w:p>
        </w:tc>
      </w:tr>
    </w:tbl>
    <w:p>
      <w:pPr>
        <w:pStyle w:val="Heading3"/>
        <w:bidi w:val="0"/>
        <w:jc w:val="left"/>
        <w:rPr/>
      </w:pPr>
      <w:r>
        <w:rPr/>
        <w:t>E. Adequação ao trabalho real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1"/>
        <w:gridCol w:w="5058"/>
      </w:tblGrid>
      <w:tr>
        <w:trPr>
          <w:tblHeader w:val="true"/>
        </w:trPr>
        <w:tc>
          <w:tcPr>
            <w:tcW w:w="36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Afirmação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E1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Os artefactos produzidos pela ferramenta são artefactos que a minha equipa usaria de facto.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E2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 processo que a ferramenta impõe encaixa na forma como a minha equipa trabalha.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E3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 esforço de seguir o processo compensa aquilo que produz.</w:t>
            </w:r>
          </w:p>
        </w:tc>
      </w:tr>
    </w:tbl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Open questions</w:t>
      </w:r>
    </w:p>
    <w:p>
      <w:pPr>
        <w:pStyle w:val="TextBody"/>
        <w:bidi w:val="0"/>
        <w:spacing w:before="0" w:after="283"/>
        <w:jc w:val="left"/>
        <w:rPr/>
      </w:pPr>
      <w:r>
        <w:rPr/>
        <w:t>Three, deliberately few. Long open sections at the end of an hour-long session</w:t>
        <w:br/>
        <w:t>get one-word answers.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EN</w:t>
      </w:r>
    </w:p>
    <w:p>
      <w:pPr>
        <w:pStyle w:val="TextBody"/>
        <w:numPr>
          <w:ilvl w:val="0"/>
          <w:numId w:val="2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What was the single most confusing thing about using Apex? </w:t>
      </w:r>
    </w:p>
    <w:p>
      <w:pPr>
        <w:pStyle w:val="TextBody"/>
        <w:numPr>
          <w:ilvl w:val="0"/>
          <w:numId w:val="2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Was there a point where you did not trust what the tool had produced? What</w:t>
        <w:br/>
        <w:t xml:space="preserve">made you doubt it? </w:t>
      </w:r>
    </w:p>
    <w:p>
      <w:pPr>
        <w:pStyle w:val="TextBody"/>
        <w:numPr>
          <w:ilvl w:val="0"/>
          <w:numId w:val="29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If you could change one thing about the interface, what would it be? </w:t>
      </w:r>
    </w:p>
    <w:p>
      <w:pPr>
        <w:pStyle w:val="TextBody"/>
        <w:bidi w:val="0"/>
        <w:jc w:val="left"/>
        <w:rPr/>
      </w:pPr>
      <w:r>
        <w:rPr>
          <w:rStyle w:val="StrongEmphasis"/>
        </w:rPr>
        <w:t>PT</w:t>
      </w:r>
    </w:p>
    <w:p>
      <w:pPr>
        <w:pStyle w:val="TextBody"/>
        <w:numPr>
          <w:ilvl w:val="0"/>
          <w:numId w:val="3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Qual foi a coisa mais confusa em utilizar o Apex? </w:t>
      </w:r>
    </w:p>
    <w:p>
      <w:pPr>
        <w:pStyle w:val="TextBody"/>
        <w:numPr>
          <w:ilvl w:val="0"/>
          <w:numId w:val="3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Houve algum momento em que não confiou naquilo que a ferramenta produziu? O</w:t>
        <w:br/>
        <w:t xml:space="preserve">que o levou a duvidar? </w:t>
      </w:r>
    </w:p>
    <w:p>
      <w:pPr>
        <w:pStyle w:val="TextBody"/>
        <w:numPr>
          <w:ilvl w:val="0"/>
          <w:numId w:val="30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Se pudesse mudar uma coisa na interface, o que mudaria?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Demographic items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Collected at the </w:t>
      </w:r>
      <w:r>
        <w:rPr>
          <w:rStyle w:val="StrongEmphasis"/>
        </w:rPr>
        <w:t>start</w:t>
      </w:r>
      <w:r>
        <w:rPr/>
        <w:t xml:space="preserve"> of the session, on the consent form, not here.</w:t>
        <w:br/>
        <w:t>Deferring them to the end costs data when a session overruns.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6"/>
        <w:gridCol w:w="5043"/>
      </w:tblGrid>
      <w:tr>
        <w:trPr>
          <w:tblHeader w:val="true"/>
        </w:trPr>
        <w:tc>
          <w:tcPr>
            <w:tcW w:w="37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5043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Item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G1</w:t>
            </w:r>
          </w:p>
        </w:tc>
        <w:tc>
          <w:tcPr>
            <w:tcW w:w="504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Years of professional software development experience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G2</w:t>
            </w:r>
          </w:p>
        </w:tc>
        <w:tc>
          <w:tcPr>
            <w:tcW w:w="504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Current role (developer, tester, PO, designer, manager, student, other)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G3</w:t>
            </w:r>
          </w:p>
        </w:tc>
        <w:tc>
          <w:tcPr>
            <w:tcW w:w="504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Frequency of use of AI coding assistants (never / tried it / weekly / daily)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G4</w:t>
            </w:r>
          </w:p>
        </w:tc>
        <w:tc>
          <w:tcPr>
            <w:tcW w:w="504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Familiarity with Gherkin or BDD (none / some / regular use)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G5</w:t>
            </w:r>
          </w:p>
        </w:tc>
        <w:tc>
          <w:tcPr>
            <w:tcW w:w="504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Familiarity with the project management tool used in the session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G6</w:t>
            </w:r>
          </w:p>
        </w:tc>
        <w:tc>
          <w:tcPr>
            <w:tcW w:w="504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Preferred language for the session (EN / PT)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G3 is the important one. Prior exposure to AI assistants will plausibly dominate</w:t>
        <w:br/>
        <w:t>both trust items and Mental Demand, and it must be reported alongside the</w:t>
        <w:br/>
        <w:t>results rather than discovered afterwards.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Analysis note</w:t>
      </w:r>
    </w:p>
    <w:p>
      <w:pPr>
        <w:pStyle w:val="TextBody"/>
        <w:bidi w:val="0"/>
        <w:spacing w:before="0" w:after="283"/>
        <w:jc w:val="left"/>
        <w:rPr/>
      </w:pPr>
      <w:r>
        <w:rPr/>
        <w:t>With N around 12 and an unvalidated instrument, the analysis is:</w:t>
      </w:r>
    </w:p>
    <w:p>
      <w:pPr>
        <w:pStyle w:val="TextBody"/>
        <w:numPr>
          <w:ilvl w:val="0"/>
          <w:numId w:val="3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per-item diverging bar chart, counts not percentages </w:t>
      </w:r>
    </w:p>
    <w:p>
      <w:pPr>
        <w:pStyle w:val="TextBody"/>
        <w:numPr>
          <w:ilvl w:val="0"/>
          <w:numId w:val="3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median per item </w:t>
      </w:r>
    </w:p>
    <w:p>
      <w:pPr>
        <w:pStyle w:val="TextBody"/>
        <w:numPr>
          <w:ilvl w:val="0"/>
          <w:numId w:val="3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items where the spread is bimodal are more interesting than items where it is</w:t>
        <w:br/>
        <w:t>high or low; a split answer usually means the interface works for one mental</w:t>
        <w:br/>
        <w:t xml:space="preserve">model and not another, and the interview transcripts will say which </w:t>
      </w:r>
    </w:p>
    <w:p>
      <w:pPr>
        <w:pStyle w:val="TextBody"/>
        <w:numPr>
          <w:ilvl w:val="0"/>
          <w:numId w:val="31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cross-read A4 against the Task 8 comprehension score from the observer sheet</w:t>
        <w:br/>
        <w:t>(moderated arm) and against the Task 8 TLX Frustration score (both arms). If</w:t>
        <w:br/>
        <w:t>participants say they understood the refusal but scored 0 or 1 on explaining</w:t>
        <w:br/>
        <w:t>it, that gap is a real and reportable finding about confidence exceeding</w:t>
        <w:br/>
        <w:t xml:space="preserve">comprehension </w:t>
      </w:r>
    </w:p>
    <w:p>
      <w:pPr>
        <w:pStyle w:val="Heading1"/>
        <w:bidi w:val="0"/>
        <w:jc w:val="left"/>
        <w:rPr/>
      </w:pPr>
      <w:r>
        <w:rPr/>
        <w:t>Semi-structured interview guides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Two guides, two populations, two purposes. </w:t>
      </w:r>
      <w:r>
        <w:rPr>
          <w:rStyle w:val="StrongEmphasis"/>
        </w:rPr>
        <w:t>Both evaluate the framework, not</w:t>
        <w:br/>
        <w:t>the tool.</w:t>
      </w:r>
      <w:r>
        <w:rPr/>
        <w:t xml:space="preserve"> SUS, Raw TLX and the UX questionnaire already cover the tool; if</w:t>
        <w:br/>
        <w:t>these interviews drift into "the button was hard to find", the framework is left</w:t>
        <w:br/>
        <w:t>with no evidence at all and the whole evaluation collapses onto the</w:t>
        <w:br/>
        <w:t>instantiation.</w:t>
      </w:r>
    </w:p>
    <w:p>
      <w:pPr>
        <w:pStyle w:val="TextBody"/>
        <w:bidi w:val="0"/>
        <w:spacing w:before="0" w:after="283"/>
        <w:jc w:val="left"/>
        <w:rPr/>
      </w:pPr>
      <w:r>
        <w:rPr/>
        <w:t>Scheduled as a separate session, 30-45 minutes, not immediately after the</w:t>
        <w:br/>
        <w:t>hour-long task session.</w:t>
      </w:r>
    </w:p>
    <w:p>
      <w:pPr>
        <w:pStyle w:val="TextBody"/>
        <w:bidi w:val="0"/>
        <w:spacing w:before="0" w:after="283"/>
        <w:jc w:val="left"/>
        <w:rPr/>
      </w:pPr>
      <w:r>
        <w:rPr/>
        <w:t>Recorded with explicit consent, transcribed, analysed thematically. Codebook</w:t>
        <w:br/>
        <w:t>developed from the first two transcripts, then applied to the rest, with codes</w:t>
        <w:br/>
        <w:t>added as they emerge.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Semi-structured means the questions below are prompts, not a script.</w:t>
      </w:r>
      <w:r>
        <w:rPr/>
        <w:t xml:space="preserve"> Follow</w:t>
        <w:br/>
        <w:t>what the participant raises. The one hard rule: do not defend the framework. If</w:t>
        <w:br/>
        <w:t>a participant is wrong about what it does, note the misunderstanding as data and</w:t>
        <w:br/>
        <w:t>correct it only at the very end of the interview.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Guide 1 - Practitioners</w:t>
      </w:r>
    </w:p>
    <w:p>
      <w:pPr>
        <w:pStyle w:val="TextBody"/>
        <w:bidi w:val="0"/>
        <w:spacing w:before="0" w:after="283"/>
        <w:jc w:val="left"/>
        <w:rPr/>
      </w:pPr>
      <w:r>
        <w:rPr/>
        <w:t>Target: 5-8 people who have used Apex, or who work in the setting where it was</w:t>
        <w:br/>
        <w:t>demonstrated. Establishes practicality, feasibility and perceived value in real</w:t>
        <w:br/>
        <w:t>workflows.</w:t>
      </w:r>
    </w:p>
    <w:p>
      <w:pPr>
        <w:pStyle w:val="Heading3"/>
        <w:bidi w:val="0"/>
        <w:jc w:val="left"/>
        <w:rPr/>
      </w:pPr>
      <w:r>
        <w:rPr/>
        <w:t>Opening (5 min)</w:t>
      </w:r>
    </w:p>
    <w:p>
      <w:pPr>
        <w:pStyle w:val="TextBody"/>
        <w:numPr>
          <w:ilvl w:val="0"/>
          <w:numId w:val="3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Describe how your team currently goes from an idea to code in production. </w:t>
      </w:r>
    </w:p>
    <w:p>
      <w:pPr>
        <w:pStyle w:val="TextBody"/>
        <w:numPr>
          <w:ilvl w:val="0"/>
          <w:numId w:val="3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Where does AI already appear in that, if at all? Who decided that? </w:t>
      </w:r>
    </w:p>
    <w:p>
      <w:pPr>
        <w:pStyle w:val="TextBody"/>
        <w:numPr>
          <w:ilvl w:val="0"/>
          <w:numId w:val="32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What goes wrong most often in that path today? </w:t>
      </w:r>
    </w:p>
    <w:p>
      <w:pPr>
        <w:pStyle w:val="TextBody"/>
        <w:bidi w:val="0"/>
        <w:jc w:val="left"/>
        <w:rPr/>
      </w:pPr>
      <w:r>
        <w:rPr/>
        <w:t>Purpose: get the baseline in their own words before Apex is mentioned, so that</w:t>
        <w:br/>
        <w:t>later comparisons are against their real process and not against an idealised</w:t>
        <w:br/>
        <w:t>one they reconstruct after seeing the framework.</w:t>
      </w:r>
    </w:p>
    <w:p>
      <w:pPr>
        <w:pStyle w:val="Heading3"/>
        <w:bidi w:val="0"/>
        <w:jc w:val="left"/>
        <w:rPr/>
      </w:pPr>
      <w:r>
        <w:rPr/>
        <w:t>Framework practicality (12 min)</w:t>
      </w:r>
    </w:p>
    <w:p>
      <w:pPr>
        <w:pStyle w:val="TextBody"/>
        <w:numPr>
          <w:ilvl w:val="0"/>
          <w:numId w:val="3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The framework splits the lifecycle into six phases with a human decision at</w:t>
        <w:br/>
        <w:t>the end of each. Which of those decisions would genuinely be made in your</w:t>
        <w:br/>
        <w:t xml:space="preserve">team, and which would be rubber-stamped? </w:t>
      </w:r>
    </w:p>
    <w:p>
      <w:pPr>
        <w:pStyle w:val="TextBody"/>
        <w:numPr>
          <w:ilvl w:val="0"/>
          <w:numId w:val="3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Which phase would your team resist most? Why that one? </w:t>
      </w:r>
    </w:p>
    <w:p>
      <w:pPr>
        <w:pStyle w:val="TextBody"/>
        <w:numPr>
          <w:ilvl w:val="0"/>
          <w:numId w:val="3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The framework requires a specification to exist before code is generated.</w:t>
        <w:br/>
        <w:t xml:space="preserve">What does your team do today instead, and what would change? </w:t>
      </w:r>
    </w:p>
    <w:p>
      <w:pPr>
        <w:pStyle w:val="TextBody"/>
        <w:numPr>
          <w:ilvl w:val="0"/>
          <w:numId w:val="33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Where would the framework slow you down for no benefit? </w:t>
      </w:r>
    </w:p>
    <w:p>
      <w:pPr>
        <w:pStyle w:val="TextBody"/>
        <w:bidi w:val="0"/>
        <w:jc w:val="left"/>
        <w:rPr/>
      </w:pPr>
      <w:r>
        <w:rPr/>
        <w:t>Question 7 is the important one and it must be asked directly. A set of</w:t>
        <w:br/>
        <w:t>interviews in which nobody names a cost is an interview protocol failure, not a</w:t>
        <w:br/>
        <w:t>validation.</w:t>
      </w:r>
    </w:p>
    <w:p>
      <w:pPr>
        <w:pStyle w:val="Heading3"/>
        <w:bidi w:val="0"/>
        <w:jc w:val="left"/>
        <w:rPr/>
      </w:pPr>
      <w:r>
        <w:rPr/>
        <w:t>Value and cost (10 min)</w:t>
      </w:r>
    </w:p>
    <w:p>
      <w:pPr>
        <w:pStyle w:val="TextBody"/>
        <w:numPr>
          <w:ilvl w:val="0"/>
          <w:numId w:val="3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What would have to be true for your team to adopt this for one project? </w:t>
      </w:r>
    </w:p>
    <w:p>
      <w:pPr>
        <w:pStyle w:val="TextBody"/>
        <w:numPr>
          <w:ilvl w:val="0"/>
          <w:numId w:val="3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What would make you abandon it after two sprints? </w:t>
      </w:r>
    </w:p>
    <w:p>
      <w:pPr>
        <w:pStyle w:val="TextBody"/>
        <w:numPr>
          <w:ilvl w:val="0"/>
          <w:numId w:val="3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Who in your team would have to own this for it to survive? Does that person</w:t>
        <w:br/>
        <w:t xml:space="preserve">exist? </w:t>
      </w:r>
    </w:p>
    <w:p>
      <w:pPr>
        <w:pStyle w:val="TextBody"/>
        <w:numPr>
          <w:ilvl w:val="0"/>
          <w:numId w:val="34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If the tool disappeared tomorrow but you kept the framework, would you still</w:t>
        <w:br/>
        <w:t xml:space="preserve">use it? Which parts? </w:t>
      </w:r>
    </w:p>
    <w:p>
      <w:pPr>
        <w:pStyle w:val="TextBody"/>
        <w:bidi w:val="0"/>
        <w:jc w:val="left"/>
        <w:rPr/>
      </w:pPr>
      <w:r>
        <w:rPr/>
        <w:t>Question 11 separates the method from the instantiation directly from the</w:t>
        <w:br/>
        <w:t>participant's mouth. It is the single strongest piece of interview evidence this</w:t>
        <w:br/>
        <w:t>thesis can obtain.</w:t>
      </w:r>
    </w:p>
    <w:p>
      <w:pPr>
        <w:pStyle w:val="Heading3"/>
        <w:bidi w:val="0"/>
        <w:jc w:val="left"/>
        <w:rPr/>
      </w:pPr>
      <w:r>
        <w:rPr/>
        <w:t>Governance and responsibility (8 min)</w:t>
      </w:r>
    </w:p>
    <w:p>
      <w:pPr>
        <w:pStyle w:val="TextBody"/>
        <w:numPr>
          <w:ilvl w:val="0"/>
          <w:numId w:val="3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When AI writes code that ships and later fails, who is accountable in your</w:t>
        <w:br/>
        <w:t xml:space="preserve">organisation today? </w:t>
      </w:r>
    </w:p>
    <w:p>
      <w:pPr>
        <w:pStyle w:val="TextBody"/>
        <w:numPr>
          <w:ilvl w:val="0"/>
          <w:numId w:val="3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Does the framework change that answer? Should it? </w:t>
      </w:r>
    </w:p>
    <w:p>
      <w:pPr>
        <w:pStyle w:val="TextBody"/>
        <w:numPr>
          <w:ilvl w:val="0"/>
          <w:numId w:val="35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Does the framework's record of what was decided, and by whom, have value to</w:t>
        <w:br/>
        <w:t xml:space="preserve">anyone outside the team? Who? </w:t>
      </w:r>
    </w:p>
    <w:p>
      <w:pPr>
        <w:pStyle w:val="Heading3"/>
        <w:bidi w:val="0"/>
        <w:jc w:val="left"/>
        <w:rPr/>
      </w:pPr>
      <w:r>
        <w:rPr/>
        <w:t>Close (5 min)</w:t>
      </w:r>
    </w:p>
    <w:p>
      <w:pPr>
        <w:pStyle w:val="TextBody"/>
        <w:numPr>
          <w:ilvl w:val="0"/>
          <w:numId w:val="3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What is missing from the framework entirely? </w:t>
      </w:r>
    </w:p>
    <w:p>
      <w:pPr>
        <w:pStyle w:val="TextBody"/>
        <w:numPr>
          <w:ilvl w:val="0"/>
          <w:numId w:val="36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Is there anything you expected me to ask and I did not?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Guide 2 - Agile and Scrum experts</w:t>
      </w:r>
    </w:p>
    <w:p>
      <w:pPr>
        <w:pStyle w:val="TextBody"/>
        <w:bidi w:val="0"/>
        <w:spacing w:before="0" w:after="283"/>
        <w:jc w:val="left"/>
        <w:rPr/>
      </w:pPr>
      <w:r>
        <w:rPr/>
        <w:t>Target: 2-3 people with recognised depth in Agile delivery methodology, not</w:t>
        <w:br/>
        <w:t>necessarily users of Apex. Establishes alignment with, and departure from,</w:t>
        <w:br/>
        <w:t>established methodology.</w:t>
      </w:r>
    </w:p>
    <w:p>
      <w:pPr>
        <w:pStyle w:val="TextBody"/>
        <w:bidi w:val="0"/>
        <w:spacing w:before="0" w:after="283"/>
        <w:jc w:val="left"/>
        <w:rPr/>
      </w:pPr>
      <w:r>
        <w:rPr/>
        <w:t>Give them the framework document in advance. This interview is about the method</w:t>
        <w:br/>
        <w:t>on paper; they do not have to have used the tool.</w:t>
      </w:r>
    </w:p>
    <w:p>
      <w:pPr>
        <w:pStyle w:val="Heading3"/>
        <w:bidi w:val="0"/>
        <w:jc w:val="left"/>
        <w:rPr/>
      </w:pPr>
      <w:r>
        <w:rPr/>
        <w:t>Opening (5 min)</w:t>
      </w:r>
    </w:p>
    <w:p>
      <w:pPr>
        <w:pStyle w:val="TextBody"/>
        <w:numPr>
          <w:ilvl w:val="0"/>
          <w:numId w:val="37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How would you describe what this framework is, in your own words? </w:t>
      </w:r>
    </w:p>
    <w:p>
      <w:pPr>
        <w:pStyle w:val="TextBody"/>
        <w:bidi w:val="0"/>
        <w:jc w:val="left"/>
        <w:rPr/>
      </w:pPr>
      <w:r>
        <w:rPr/>
        <w:t>Purpose: an immediate comprehension check. If an expert cannot restate the</w:t>
        <w:br/>
        <w:t>framework after reading the document, that is a finding about the framework's</w:t>
        <w:br/>
        <w:t>clarity, and it belongs in the analytical assessment criterion "clarity".</w:t>
      </w:r>
    </w:p>
    <w:p>
      <w:pPr>
        <w:pStyle w:val="Heading3"/>
        <w:bidi w:val="0"/>
        <w:jc w:val="left"/>
        <w:rPr/>
      </w:pPr>
      <w:r>
        <w:rPr/>
        <w:t>Alignment and departure (15 min)</w:t>
      </w:r>
    </w:p>
    <w:p>
      <w:pPr>
        <w:pStyle w:val="TextBody"/>
        <w:numPr>
          <w:ilvl w:val="0"/>
          <w:numId w:val="3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Where does this align with Scrum, or with Agile principles more broadly? </w:t>
      </w:r>
    </w:p>
    <w:p>
      <w:pPr>
        <w:pStyle w:val="TextBody"/>
        <w:numPr>
          <w:ilvl w:val="0"/>
          <w:numId w:val="3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Where does it depart from them? Is the departure justified by what AI</w:t>
        <w:br/>
        <w:t xml:space="preserve">changes, or is it a reversion to stage-gated delivery? </w:t>
      </w:r>
    </w:p>
    <w:p>
      <w:pPr>
        <w:pStyle w:val="TextBody"/>
        <w:numPr>
          <w:ilvl w:val="0"/>
          <w:numId w:val="3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The framework has explicit gates between phases. Distinguish for me: is that</w:t>
        <w:br/>
        <w:t xml:space="preserve">a guardrail or is that a phase gate in the Waterfall sense? </w:t>
      </w:r>
    </w:p>
    <w:p>
      <w:pPr>
        <w:pStyle w:val="TextBody"/>
        <w:numPr>
          <w:ilvl w:val="0"/>
          <w:numId w:val="38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Does the framework make the same mistake that heavyweight processes made in</w:t>
        <w:br/>
        <w:t xml:space="preserve">the 2000s? What specifically protects it from that, if anything? </w:t>
      </w:r>
    </w:p>
    <w:p>
      <w:pPr>
        <w:pStyle w:val="TextBody"/>
        <w:bidi w:val="0"/>
        <w:jc w:val="left"/>
        <w:rPr/>
      </w:pPr>
      <w:r>
        <w:rPr/>
        <w:t>Questions 4 and 5 must be asked as bluntly as they are written. "Too linear,</w:t>
        <w:br/>
        <w:t>this is Waterfall" is already the known criticism from earlier feedback; putting</w:t>
        <w:br/>
        <w:t>it in front of an expert and recording the answer is far stronger evidence than</w:t>
        <w:br/>
        <w:t>the author arguing against it.</w:t>
      </w:r>
    </w:p>
    <w:p>
      <w:pPr>
        <w:pStyle w:val="Heading3"/>
        <w:bidi w:val="0"/>
        <w:jc w:val="left"/>
        <w:rPr/>
      </w:pPr>
      <w:r>
        <w:rPr/>
        <w:t>Roles and artefacts (10 min)</w:t>
      </w:r>
    </w:p>
    <w:p>
      <w:pPr>
        <w:pStyle w:val="TextBody"/>
        <w:numPr>
          <w:ilvl w:val="0"/>
          <w:numId w:val="3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The framework treats roles as hats rather than as people. Does that work in a</w:t>
        <w:br/>
        <w:t xml:space="preserve">real team, or does it collapse into one person wearing all of them? </w:t>
      </w:r>
    </w:p>
    <w:p>
      <w:pPr>
        <w:pStyle w:val="TextBody"/>
        <w:numPr>
          <w:ilvl w:val="0"/>
          <w:numId w:val="3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Which of the required artefacts would you drop? Which would you add? </w:t>
      </w:r>
    </w:p>
    <w:p>
      <w:pPr>
        <w:pStyle w:val="TextBody"/>
        <w:numPr>
          <w:ilvl w:val="0"/>
          <w:numId w:val="39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Is the amount of documentation the framework produces proportionate to what</w:t>
        <w:br/>
        <w:t xml:space="preserve">it buys? </w:t>
      </w:r>
    </w:p>
    <w:p>
      <w:pPr>
        <w:pStyle w:val="Heading3"/>
        <w:bidi w:val="0"/>
        <w:jc w:val="left"/>
        <w:rPr/>
      </w:pPr>
      <w:r>
        <w:rPr/>
        <w:t>Adoption (10 min)</w:t>
      </w:r>
    </w:p>
    <w:p>
      <w:pPr>
        <w:pStyle w:val="TextBody"/>
        <w:numPr>
          <w:ilvl w:val="0"/>
          <w:numId w:val="4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What kind of team is this framework wrong for? </w:t>
      </w:r>
    </w:p>
    <w:p>
      <w:pPr>
        <w:pStyle w:val="TextBody"/>
        <w:numPr>
          <w:ilvl w:val="0"/>
          <w:numId w:val="4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What would a coach have to teach for a team to run this correctly? </w:t>
      </w:r>
    </w:p>
    <w:p>
      <w:pPr>
        <w:pStyle w:val="TextBody"/>
        <w:numPr>
          <w:ilvl w:val="0"/>
          <w:numId w:val="40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Would you recommend this to a client? Under what conditions would you refuse? </w:t>
      </w:r>
    </w:p>
    <w:p>
      <w:pPr>
        <w:pStyle w:val="Heading3"/>
        <w:bidi w:val="0"/>
        <w:jc w:val="left"/>
        <w:rPr/>
      </w:pPr>
      <w:r>
        <w:rPr/>
        <w:t>Close (5 min)</w:t>
      </w:r>
    </w:p>
    <w:p>
      <w:pPr>
        <w:pStyle w:val="TextBody"/>
        <w:numPr>
          <w:ilvl w:val="0"/>
          <w:numId w:val="41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If you had to defend this framework to a sceptical engineering manager, what</w:t>
        <w:br/>
        <w:t xml:space="preserve">would your strongest argument be? And your weakest point?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Analysis</w:t>
      </w:r>
    </w:p>
    <w:p>
      <w:pPr>
        <w:pStyle w:val="TextBody"/>
        <w:numPr>
          <w:ilvl w:val="0"/>
          <w:numId w:val="4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Transcribe fully. Do not analyse from notes. </w:t>
      </w:r>
    </w:p>
    <w:p>
      <w:pPr>
        <w:pStyle w:val="TextBody"/>
        <w:numPr>
          <w:ilvl w:val="0"/>
          <w:numId w:val="4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Codebook from the first two transcripts of each group, then applied across. </w:t>
      </w:r>
    </w:p>
    <w:p>
      <w:pPr>
        <w:pStyle w:val="TextBody"/>
        <w:numPr>
          <w:ilvl w:val="0"/>
          <w:numId w:val="4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Report themes with representative anonymised quotations, identified as</w:t>
        <w:br/>
        <w:t xml:space="preserve">practitioner or expert. </w:t>
      </w:r>
    </w:p>
    <w:p>
      <w:pPr>
        <w:pStyle w:val="TextBody"/>
        <w:numPr>
          <w:ilvl w:val="0"/>
          <w:numId w:val="4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Report disconfirming evidence with the same prominence as supporting</w:t>
        <w:br/>
        <w:t>evidence.</w:t>
      </w:r>
      <w:r>
        <w:rPr/>
        <w:t xml:space="preserve"> A themes section in which every quotation is favourable will be</w:t>
        <w:br/>
        <w:t xml:space="preserve">read, correctly, as selection. </w:t>
      </w:r>
    </w:p>
    <w:p>
      <w:pPr>
        <w:pStyle w:val="TextBody"/>
        <w:numPr>
          <w:ilvl w:val="0"/>
          <w:numId w:val="4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Cross-read against the UX questionnaire items E1-E3, which are the only</w:t>
        <w:br/>
        <w:t xml:space="preserve">framework-level items on that sheet. </w:t>
      </w:r>
    </w:p>
    <w:p>
      <w:pPr>
        <w:pStyle w:val="TextBody"/>
        <w:numPr>
          <w:ilvl w:val="0"/>
          <w:numId w:val="42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Where practitioners and experts disagree with each other, that disagreement is</w:t>
        <w:br/>
        <w:t>a finding: it usually marks the gap between what a method claims and what</w:t>
        <w:br/>
        <w:t xml:space="preserve">survives contact with a delivery team. </w:t>
      </w:r>
    </w:p>
    <w:p>
      <w:pPr>
        <w:pStyle w:val="Heading1"/>
        <w:bidi w:val="0"/>
        <w:jc w:val="left"/>
        <w:rPr/>
      </w:pPr>
      <w:r>
        <w:rPr/>
        <w:t>Observer sheet - moderated arm only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Print one per participant. </w:t>
      </w:r>
      <w:r>
        <w:rPr>
          <w:rStyle w:val="StrongEmphasis"/>
        </w:rPr>
        <w:t>Arm 2 only</w:t>
      </w:r>
      <w:r>
        <w:rPr/>
        <w:t xml:space="preserve"> - the unmoderated arm has no observer,</w:t>
        <w:br/>
        <w:t>which is exactly why arm 2 exists. This sheet produces the observational</w:t>
        <w:br/>
        <w:t>evidence a questionnaire cannot reach, and partly answers Chapter 9's own</w:t>
        <w:br/>
        <w:t>admitted threat that "the instruments measure perception rather than delivered</w:t>
        <w:br/>
        <w:t>software quality".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Task numbering matches </w:t>
      </w:r>
      <w:r>
        <w:rPr>
          <w:rStyle w:val="SourceText"/>
        </w:rPr>
        <w:t>task-script.md</w:t>
      </w:r>
      <w:r>
        <w:rPr/>
        <w:t>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Participant ID:  P____        Date: __________     Language: EN / PT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Session start: ______   Session end: ______        Remote / In person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Facilitator: ______________</w:t>
      </w:r>
    </w:p>
    <w:p>
      <w:pPr>
        <w:pStyle w:val="Heading2"/>
        <w:bidi w:val="0"/>
        <w:jc w:val="left"/>
        <w:rPr/>
      </w:pPr>
      <w:r>
        <w:rPr/>
        <w:t>Codes</w:t>
      </w:r>
    </w:p>
    <w:p>
      <w:pPr>
        <w:pStyle w:val="TextBody"/>
        <w:numPr>
          <w:ilvl w:val="0"/>
          <w:numId w:val="4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Outcome:</w:t>
      </w:r>
      <w:r>
        <w:rPr/>
        <w:t xml:space="preserve"> </w:t>
      </w:r>
      <w:r>
        <w:rPr>
          <w:rStyle w:val="SourceText"/>
        </w:rPr>
        <w:t>C</w:t>
      </w:r>
      <w:r>
        <w:rPr/>
        <w:t xml:space="preserve"> completed unaided, </w:t>
      </w:r>
      <w:r>
        <w:rPr>
          <w:rStyle w:val="SourceText"/>
        </w:rPr>
        <w:t>CA</w:t>
      </w:r>
      <w:r>
        <w:rPr/>
        <w:t xml:space="preserve"> completed with assists, </w:t>
      </w:r>
      <w:r>
        <w:rPr>
          <w:rStyle w:val="SourceText"/>
        </w:rPr>
        <w:t>F</w:t>
      </w:r>
      <w:r>
        <w:rPr/>
        <w:t xml:space="preserve"> failed or</w:t>
        <w:br/>
        <w:t xml:space="preserve">abandoned after three assists. </w:t>
      </w:r>
    </w:p>
    <w:p>
      <w:pPr>
        <w:pStyle w:val="TextBody"/>
        <w:numPr>
          <w:ilvl w:val="0"/>
          <w:numId w:val="4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Assist:</w:t>
      </w:r>
      <w:r>
        <w:rPr/>
        <w:t xml:space="preserve"> any hint given. Write it down </w:t>
      </w:r>
      <w:r>
        <w:rPr>
          <w:rStyle w:val="StrongEmphasis"/>
        </w:rPr>
        <w:t>verbatim</w:t>
      </w:r>
      <w:r>
        <w:rPr/>
        <w:t>. Assists are the most</w:t>
        <w:br/>
        <w:t>reusable output of the whole study - each one is a specific place the</w:t>
        <w:br/>
        <w:t xml:space="preserve">interface failed to communicate. </w:t>
      </w:r>
    </w:p>
    <w:p>
      <w:pPr>
        <w:pStyle w:val="TextBody"/>
        <w:numPr>
          <w:ilvl w:val="0"/>
          <w:numId w:val="43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Error:</w:t>
      </w:r>
      <w:r>
        <w:rPr/>
        <w:t xml:space="preserve"> an action that had to be undone, or a path that could not reach the</w:t>
        <w:br/>
        <w:t xml:space="preserve">goal. </w:t>
      </w:r>
    </w:p>
    <w:p>
      <w:pPr>
        <w:pStyle w:val="Heading2"/>
        <w:bidi w:val="0"/>
        <w:jc w:val="left"/>
        <w:rPr/>
      </w:pPr>
      <w:r>
        <w:rPr/>
        <w:t>Per-task record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T1  Sign in and open the project        start ____ end ____  C / CA / F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Understood the PM tool selector?    Y / N / N/A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Assists: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Errors: 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T2  Connect to GitHub                   start ____ end ____  C / CA / F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Looked in Settings first?           Y / 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Connected state legible?            Y / 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Assists: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Errors: 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T3  Requirement to locked Gherkin  [TLX]  start ____ end ____  C / CA / F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Read the clarifying questions?      Y / N / skimmed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Noticed the assumptions box?        Y / 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Hesitated before locking?           Y / 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Believed the app had hung?          Y / N   at ____ s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Assists: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Errors: 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T4  Produce and lock the design    [TLX]  start ____ end ____  C / CA / F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Found the Visual Design group?      Y / N / with assist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Read the runtime spec?              Y / N / scrolled past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Edited anything or accepted whole?  edited / accepted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Assists: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Errors: 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T5  Resume a previous session           start ____ end ____  C / CA / F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Landed back on the same project?    Y / 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GitHub still connected?             Y / N        &lt;- a No here is a bug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Assists: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Errors: 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T6  Implementation tasks          [TLX]  start ____ end ____  C / CA / F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Named a defensible root task?       Y / 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Justification, verbatim: 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Discovered effort/coverage data?    Y / 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Read the DAG as a dependency order? Y / N / unclear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Assists: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T7  Test plan and QA sign-off     [TLX]  start ____ end ____  C / CA / F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Understood QA as a human decision?  Y / N / unclear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Assists: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T8  The deployment gate           [TLX]  start ____ end ____  C / CA / F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Read the refusal message aloud?     Y / 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Looked for an override?             Y / 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Found the phase-status progression? Y / 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COMPREHENSION SCORE   2 / 1 / 0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2 = named the missing QA step and the required order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1 = knew a process rule blocked them, could not say which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0 = concluded the tool was broken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Explanation, verbatim: 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_______________________________________________________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T9  Export                        [TLX]  start ____ end ____  C / CA / F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Export control findable?            Y / 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Anything downloaded empty/corrupt?  Y / N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Assists: ______________________________________________</w:t>
      </w:r>
    </w:p>
    <w:p>
      <w:pPr>
        <w:pStyle w:val="Heading2"/>
        <w:bidi w:val="0"/>
        <w:jc w:val="left"/>
        <w:rPr/>
      </w:pPr>
      <w:r>
        <w:rPr/>
        <w:t>Optional tasks, not timed, not counted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O1 Phase 6 drift      attempted Y/N   observations: 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O2 Traceability       attempted Y/N   observations: ______________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O3 Autopilot          attempted Y/N   observations: ______________</w:t>
      </w:r>
    </w:p>
    <w:p>
      <w:pPr>
        <w:pStyle w:val="Heading2"/>
        <w:bidi w:val="0"/>
        <w:jc w:val="left"/>
        <w:rPr/>
      </w:pPr>
      <w:r>
        <w:rPr/>
        <w:t>Critical incidents</w:t>
      </w:r>
    </w:p>
    <w:p>
      <w:pPr>
        <w:pStyle w:val="TextBody"/>
        <w:bidi w:val="0"/>
        <w:spacing w:before="0" w:after="283"/>
        <w:jc w:val="left"/>
        <w:rPr/>
      </w:pPr>
      <w:r>
        <w:rPr/>
        <w:t>Anything that stopped the participant, confused them for more than 30 seconds,</w:t>
        <w:br/>
        <w:t>or made them say something unprompted about the tool. One line each, with</w:t>
        <w:br/>
        <w:t>timestamp and task.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____:____  T__ 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____:____  T__ 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____:____  T__ 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____:____  T__ 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____:____  T__  ______________________________________________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____:____  T__  ______________________________________________</w:t>
      </w:r>
    </w:p>
    <w:p>
      <w:pPr>
        <w:pStyle w:val="Heading2"/>
        <w:bidi w:val="0"/>
        <w:jc w:val="left"/>
        <w:rPr/>
      </w:pPr>
      <w:r>
        <w:rPr/>
        <w:t>Verbal answers after T9, verbatim</w:t>
      </w:r>
    </w:p>
    <w:p>
      <w:pPr>
        <w:pStyle w:val="TextBody"/>
        <w:bidi w:val="0"/>
        <w:spacing w:before="0" w:after="283"/>
        <w:jc w:val="left"/>
        <w:rPr/>
      </w:pPr>
      <w:r>
        <w:rPr/>
        <w:t>Ask before handing over the SUS form. Do not discuss the answers.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1. What surprised you?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</w:t>
      </w:r>
      <w:r>
        <w:rPr>
          <w:rStyle w:val="SourceText"/>
        </w:rPr>
        <w:t>____________________________________________________________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2. Was there a moment you did not know what the tool wanted?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</w:t>
      </w:r>
      <w:r>
        <w:rPr>
          <w:rStyle w:val="SourceText"/>
        </w:rPr>
        <w:t>____________________________________________________________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3. Would you use this on your own project? What would change first?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</w:t>
      </w:r>
      <w:r>
        <w:rPr>
          <w:rStyle w:val="SourceText"/>
        </w:rPr>
        <w:t>____________________________________________________________</w:t>
      </w:r>
    </w:p>
    <w:p>
      <w:pPr>
        <w:pStyle w:val="Heading2"/>
        <w:bidi w:val="0"/>
        <w:jc w:val="left"/>
        <w:rPr/>
      </w:pPr>
      <w:r>
        <w:rPr/>
        <w:t>Technical failures during the session</w:t>
      </w:r>
    </w:p>
    <w:p>
      <w:pPr>
        <w:pStyle w:val="TextBody"/>
        <w:bidi w:val="0"/>
        <w:spacing w:before="0" w:after="283"/>
        <w:jc w:val="left"/>
        <w:rPr/>
      </w:pPr>
      <w:r>
        <w:rPr/>
        <w:t>Record separately from usability problems. An AI timeout, a 500, a PM API</w:t>
        <w:br/>
        <w:t>outage or a stale token is not a usability finding, but it contaminates that</w:t>
        <w:br/>
        <w:t>participant's Raw TLX for the task it happened in and must be reported as a</w:t>
        <w:br/>
        <w:t>confound against that specific cell of the matrix.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____:____  task T__   what failed: 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       </w:t>
      </w:r>
      <w:r>
        <w:rPr>
          <w:rStyle w:val="SourceText"/>
        </w:rPr>
        <w:t>blocked the task?  Y / N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       </w:t>
      </w:r>
      <w:r>
        <w:rPr>
          <w:rStyle w:val="SourceText"/>
        </w:rPr>
        <w:t>recovered by:  participant / facilitator / restart</w:t>
      </w:r>
    </w:p>
    <w:p>
      <w:pPr>
        <w:pStyle w:val="Heading2"/>
        <w:bidi w:val="0"/>
        <w:jc w:val="left"/>
        <w:rPr/>
      </w:pPr>
      <w:r>
        <w:rPr/>
        <w:t>Facilitator debrief, written within 10 minutes</w:t>
      </w:r>
    </w:p>
    <w:p>
      <w:pPr>
        <w:pStyle w:val="TextBody"/>
        <w:bidi w:val="0"/>
        <w:spacing w:before="0" w:after="283"/>
        <w:jc w:val="left"/>
        <w:rPr/>
      </w:pPr>
      <w:r>
        <w:rPr/>
        <w:t>Three sentences, while it is fresh. Worst moment, best moment, and what to</w:t>
        <w:br/>
        <w:t>change in the protocol before the next session.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____________________________________________________________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____________________________________________________________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____________________________________________________________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Informed consent, briefing script and demographics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Check with the supervisor whether IST requires formal ethics approval for this</w:t>
        <w:br/>
        <w:t>study before running the first session.</w:t>
      </w:r>
      <w:r>
        <w:rPr/>
        <w:t xml:space="preserve"> The consent form below is written to</w:t>
        <w:br/>
        <w:t>be sufficient on its own, but it is not a substitute for an institutional</w:t>
        <w:br/>
        <w:t>requirement if one exists. This is on the pre-flight checklist.</w:t>
      </w:r>
    </w:p>
    <w:p>
      <w:pPr>
        <w:pStyle w:val="Heading2"/>
        <w:bidi w:val="0"/>
        <w:jc w:val="left"/>
        <w:rPr/>
      </w:pPr>
      <w:r>
        <w:rPr/>
        <w:t>Which parts apply to which arm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87"/>
        <w:gridCol w:w="2760"/>
        <w:gridCol w:w="1072"/>
      </w:tblGrid>
      <w:tr>
        <w:trPr>
          <w:tblHeader w:val="true"/>
        </w:trPr>
        <w:tc>
          <w:tcPr>
            <w:tcW w:w="1587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Section</w:t>
            </w:r>
          </w:p>
        </w:tc>
        <w:tc>
          <w:tcPr>
            <w:tcW w:w="2760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Arm 1, unmoderated</w:t>
            </w:r>
          </w:p>
        </w:tc>
        <w:tc>
          <w:tcPr>
            <w:tcW w:w="1072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Arm 2, moderated</w:t>
            </w:r>
          </w:p>
        </w:tc>
      </w:tr>
      <w:tr>
        <w:trPr/>
        <w:tc>
          <w:tcPr>
            <w:tcW w:w="15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Consent form</w:t>
            </w:r>
          </w:p>
        </w:tc>
        <w:tc>
          <w:tcPr>
            <w:tcW w:w="27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first page of an online form, tick boxes, no signature</w:t>
            </w:r>
          </w:p>
        </w:tc>
        <w:tc>
          <w:tcPr>
            <w:tcW w:w="10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printed and signed</w:t>
            </w:r>
          </w:p>
        </w:tc>
      </w:tr>
      <w:tr>
        <w:trPr/>
        <w:tc>
          <w:tcPr>
            <w:tcW w:w="15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Demographics</w:t>
            </w:r>
          </w:p>
        </w:tc>
        <w:tc>
          <w:tcPr>
            <w:tcW w:w="27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same online form, immediately after consent</w:t>
            </w:r>
          </w:p>
        </w:tc>
        <w:tc>
          <w:tcPr>
            <w:tcW w:w="10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same, on paper</w:t>
            </w:r>
          </w:p>
        </w:tc>
      </w:tr>
      <w:tr>
        <w:trPr/>
        <w:tc>
          <w:tcPr>
            <w:tcW w:w="15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Facilitator briefing script</w:t>
            </w:r>
          </w:p>
        </w:tc>
        <w:tc>
          <w:tcPr>
            <w:tcW w:w="27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not used</w:t>
            </w:r>
            <w:r>
              <w:rPr/>
              <w:t xml:space="preserve"> - </w:t>
            </w:r>
            <w:r>
              <w:rPr>
                <w:rStyle w:val="SourceText"/>
              </w:rPr>
              <w:t>task-script.md</w:t>
            </w:r>
            <w:r>
              <w:rPr/>
              <w:t xml:space="preserve"> "Before You Begin" replaces it</w:t>
            </w:r>
          </w:p>
        </w:tc>
        <w:tc>
          <w:tcPr>
            <w:tcW w:w="10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read aloud, verbatim</w:t>
            </w:r>
          </w:p>
        </w:tc>
      </w:tr>
      <w:tr>
        <w:trPr/>
        <w:tc>
          <w:tcPr>
            <w:tcW w:w="15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Do-not-do list</w:t>
            </w:r>
          </w:p>
        </w:tc>
        <w:tc>
          <w:tcPr>
            <w:tcW w:w="27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not applicable</w:t>
            </w:r>
          </w:p>
        </w:tc>
        <w:tc>
          <w:tcPr>
            <w:tcW w:w="10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applies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In arm 1 the consent tick boxes and the demographics questions go on a single</w:t>
        <w:br/>
        <w:t xml:space="preserve">short form that the participant completes </w:t>
      </w:r>
      <w:r>
        <w:rPr>
          <w:rStyle w:val="StrongEmphasis"/>
        </w:rPr>
        <w:t>before</w:t>
      </w:r>
      <w:r>
        <w:rPr/>
        <w:t xml:space="preserve"> opening the task script.</w:t>
        <w:br/>
        <w:t>Do not bundle them into the SUS or TLX forms: consent has to be given before any</w:t>
        <w:br/>
        <w:t>data is collected, and demographics answered at the end get skipped by anyone</w:t>
        <w:br/>
        <w:t>whose session overran.</w:t>
      </w:r>
    </w:p>
    <w:p>
      <w:pPr>
        <w:pStyle w:val="TextBody"/>
        <w:bidi w:val="0"/>
        <w:spacing w:before="0" w:after="283"/>
        <w:jc w:val="left"/>
        <w:rPr/>
      </w:pPr>
      <w:r>
        <w:rPr/>
        <w:t>Arm 1 consent wording needs two small changes from the printed text below:</w:t>
        <w:br/>
        <w:t>replace "Signature" with a required tick box reading "I confirm I have read and</w:t>
        <w:br/>
        <w:t>agree to the above", and drop the screen-recording item unless the unmoderated</w:t>
        <w:br/>
        <w:t>sessions are actually being recorded, which by default they are not.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Informed consent form (EN)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Study:</w:t>
      </w:r>
      <w:r>
        <w:rPr/>
        <w:t xml:space="preserve"> Evaluation of Apex, a tool supporting a process framework for</w:t>
        <w:br/>
        <w:t>human-AI collaboration in software development.</w:t>
        <w:br/>
      </w:r>
      <w:r>
        <w:rPr>
          <w:rStyle w:val="StrongEmphasis"/>
        </w:rPr>
        <w:t>Researcher:</w:t>
      </w:r>
      <w:r>
        <w:rPr/>
        <w:t xml:space="preserve"> Tomás dos Santos Taborda, MEIC-T, Instituto Superior Técnico,</w:t>
        <w:br/>
        <w:t>Universidade de Lisboa.</w:t>
        <w:br/>
      </w:r>
      <w:r>
        <w:rPr>
          <w:rStyle w:val="StrongEmphasis"/>
        </w:rPr>
        <w:t>Supervisors:</w:t>
      </w:r>
      <w:r>
        <w:rPr/>
        <w:t xml:space="preserve"> Prof. Miguel Mira da Silva, Hugo de Sousa.</w:t>
        <w:br/>
      </w:r>
      <w:r>
        <w:rPr>
          <w:rStyle w:val="StrongEmphasis"/>
        </w:rPr>
        <w:t>Contact:</w:t>
      </w:r>
      <w:r>
        <w:rPr/>
        <w:t xml:space="preserve"> tomassantostaborda@tecnico.ulisboa.pt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What this involves.</w:t>
      </w:r>
      <w:r>
        <w:rPr/>
        <w:t xml:space="preserve"> You will use a software tool for about 60 minutes to</w:t>
        <w:br/>
        <w:t>complete a set of predefined tasks, thinking aloud as you go. Afterwards you</w:t>
        <w:br/>
        <w:t>will fill in three short questionnaires, taking about 20 minutes. You may</w:t>
        <w:br/>
        <w:t>optionally be invited to a separate interview of 30 to 45 minutes.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What is being tested.</w:t>
      </w:r>
      <w:r>
        <w:rPr/>
        <w:t xml:space="preserve"> The tool and the process behind it are being tested,</w:t>
        <w:br/>
        <w:t>not you. There is no way for you to perform badly. Difficulties you have are</w:t>
        <w:br/>
        <w:t>findings about the tool and are the most useful thing you can give us.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What is recorded.</w:t>
      </w:r>
      <w:r>
        <w:rPr/>
        <w:t xml:space="preserve"> Your answers to the questionnaires, notes taken by the</w:t>
        <w:br/>
        <w:t>observer, the times you take on each task, and, with your separate permission</w:t>
        <w:br/>
        <w:t>below, a screen and audio recording of the session.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Anonymity.</w:t>
      </w:r>
      <w:r>
        <w:rPr/>
        <w:t xml:space="preserve"> You are identified only by a code such as P3. Your name, your</w:t>
        <w:br/>
        <w:t>employer and any project details you mention are not recorded in the results.</w:t>
        <w:br/>
        <w:t>Quotations used in the dissertation are anonymised, and any detail that could</w:t>
        <w:br/>
        <w:t>identify you or your organisation is removed or generalised.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Data handling.</w:t>
      </w:r>
      <w:r>
        <w:rPr/>
        <w:t xml:space="preserve"> Recordings are stored encrypted, are accessible only to the</w:t>
        <w:br/>
        <w:t>researcher, and are deleted after transcription and no later than the conclusion</w:t>
        <w:br/>
        <w:t>of the dissertation. Anonymised questionnaire responses and transcripts are kept</w:t>
        <w:br/>
        <w:t>so that reported results can be independently recomputed, and may be reproduced</w:t>
        <w:br/>
        <w:t>in an appendix of the dissertation in anonymised form.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Voluntary participation.</w:t>
      </w:r>
      <w:r>
        <w:rPr/>
        <w:t xml:space="preserve"> Participation is voluntary. You may take a break at</w:t>
        <w:br/>
        <w:t>any time, skip any task or question, or stop and withdraw entirely without</w:t>
        <w:br/>
        <w:t>giving a reason and without any consequence. If you withdraw, tell the</w:t>
        <w:br/>
        <w:t>researcher whether your data so far should be deleted or kept.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Risks.</w:t>
      </w:r>
      <w:r>
        <w:rPr/>
        <w:t xml:space="preserve"> There are no anticipated risks beyond mild frustration with software.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I have read and understood the above, and I agree to take part.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[ ] I consent to participate.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[ ] I consent to the session being screen and audio recorded.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[ ] I consent to anonymised quotations being used in the dissertation.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[ ] I agree to be contacted about a follow-up interview.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Name (block capitals): ______________________________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Signature: __________________________  Date: ____________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Declaração de consentimento informado (PT)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Estudo:</w:t>
      </w:r>
      <w:r>
        <w:rPr/>
        <w:t xml:space="preserve"> Avaliação do Apex, uma ferramenta de apoio a uma framework de</w:t>
        <w:br/>
        <w:t>processo para colaboração humano-IA no desenvolvimento de software.</w:t>
        <w:br/>
      </w:r>
      <w:r>
        <w:rPr>
          <w:rStyle w:val="StrongEmphasis"/>
        </w:rPr>
        <w:t>Investigador:</w:t>
      </w:r>
      <w:r>
        <w:rPr/>
        <w:t xml:space="preserve"> Tomás dos Santos Taborda, MEIC-T, Instituto Superior Técnico,</w:t>
        <w:br/>
        <w:t>Universidade de Lisboa.</w:t>
        <w:br/>
      </w:r>
      <w:r>
        <w:rPr>
          <w:rStyle w:val="StrongEmphasis"/>
        </w:rPr>
        <w:t>Orientadores:</w:t>
      </w:r>
      <w:r>
        <w:rPr/>
        <w:t xml:space="preserve"> Prof. Miguel Mira da Silva, Hugo de Sousa.</w:t>
        <w:br/>
      </w:r>
      <w:r>
        <w:rPr>
          <w:rStyle w:val="StrongEmphasis"/>
        </w:rPr>
        <w:t>Contacto:</w:t>
      </w:r>
      <w:r>
        <w:rPr/>
        <w:t xml:space="preserve"> tomassantostaborda@tecnico.ulisboa.pt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Em que consiste.</w:t>
      </w:r>
      <w:r>
        <w:rPr/>
        <w:t xml:space="preserve"> Vai utilizar uma ferramenta de software durante cerca de 60</w:t>
        <w:br/>
        <w:t>minutos para realizar um conjunto de tarefas predefinidas, verbalizando o seu</w:t>
        <w:br/>
        <w:t>raciocínio. Depois preencherá três questionários curtos, cerca de 20 minutos.</w:t>
        <w:br/>
        <w:t>Poderá ainda ser convidado para uma entrevista separada de 30 a 45 minutos.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O que está a ser testado.</w:t>
      </w:r>
      <w:r>
        <w:rPr/>
        <w:t xml:space="preserve"> Está a ser testada a ferramenta e o processo</w:t>
        <w:br/>
        <w:t>subjacente, não o participante. Não é possível ter um mau desempenho. As</w:t>
        <w:br/>
        <w:t>dificuldades que sentir são resultados sobre a ferramenta e são o contributo</w:t>
        <w:br/>
        <w:t>mais útil que nos pode dar.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O que é registado.</w:t>
      </w:r>
      <w:r>
        <w:rPr/>
        <w:t xml:space="preserve"> As suas respostas aos questionários, notas do observador,</w:t>
        <w:br/>
        <w:t>os tempos de cada tarefa e, mediante autorização separada abaixo, gravação de</w:t>
        <w:br/>
        <w:t>ecrã e áudio da sessão.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Anonimato.</w:t>
      </w:r>
      <w:r>
        <w:rPr/>
        <w:t xml:space="preserve"> É identificado apenas por um código, por exemplo P3. O seu nome,</w:t>
        <w:br/>
        <w:t>a sua entidade empregadora e quaisquer detalhes de projectos que mencione não</w:t>
        <w:br/>
        <w:t>são registados nos resultados. As citações utilizadas na dissertação são</w:t>
        <w:br/>
        <w:t>anonimizadas e qualquer detalhe que o possa identificar, a si ou à sua</w:t>
        <w:br/>
        <w:t>organização, é removido ou generalizado.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Tratamento dos dados.</w:t>
      </w:r>
      <w:r>
        <w:rPr/>
        <w:t xml:space="preserve"> As gravações são guardadas cifradas, acessíveis apenas</w:t>
        <w:br/>
        <w:t>ao investigador, e são eliminadas após transcrição e nunca depois da conclusão</w:t>
        <w:br/>
        <w:t>da dissertação. As respostas anonimizadas e as transcrições são conservadas para</w:t>
        <w:br/>
        <w:t>que os resultados possam ser recalculados de forma independente, e podem ser</w:t>
        <w:br/>
        <w:t>reproduzidas de forma anonimizada num anexo da dissertação.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Participação voluntária.</w:t>
      </w:r>
      <w:r>
        <w:rPr/>
        <w:t xml:space="preserve"> A participação é voluntária. Pode fazer uma pausa a</w:t>
        <w:br/>
        <w:t>qualquer momento, saltar qualquer tarefa ou pergunta, ou desistir por completo</w:t>
        <w:br/>
        <w:t>sem indicar qualquer motivo e sem qualquer consequência. Se desistir, indique ao</w:t>
        <w:br/>
        <w:t>investigador se os dados já recolhidos devem ser eliminados ou mantidos.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Riscos.</w:t>
      </w:r>
      <w:r>
        <w:rPr/>
        <w:t xml:space="preserve"> Não são antecipados riscos para além de alguma frustração com</w:t>
        <w:br/>
        <w:t>software.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Li e compreendi o acima descrito e aceito participar.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[ ] Consinto em participar.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[ ] Consinto na gravação de ecrã e áudio da sessão.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[ ] Consinto na utilização de citações anonimizadas na dissertação.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[ ] Aceito ser contactado para uma entrevista de seguimento.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Nome (maiúsculas): ______________________________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Assinatura: __________________________  Data: ____________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Demographics form</w:t>
      </w:r>
    </w:p>
    <w:p>
      <w:pPr>
        <w:pStyle w:val="TextBody"/>
        <w:bidi w:val="0"/>
        <w:spacing w:before="0" w:after="283"/>
        <w:jc w:val="left"/>
        <w:rPr/>
      </w:pPr>
      <w:r>
        <w:rPr/>
        <w:t>Filled in at the start, immediately after consent. Attach to the observer sheet.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Participant ID: P____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G1  Years of professional software development experience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[ ] under 1   [ ] 1-3   [ ] 4-7   [ ] 8-15   [ ] over 15   [ ] student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G2  Current role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[ ] developer  [ ] tester/QA  [ ] product owner  [ ] designer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[ ] engineering manager  [ ] student  [ ] other: 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G3  How often do you use AI coding assistants?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[ ] never  [ ] tried once or twice  [ ] monthly  [ ] weekly  [ ] daily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G4  Familiarity with Gherkin or BDD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[ ] none  [ ] have seen it  [ ] use it regularly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G5  Familiarity with the project management tool used today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[ ] none  [ ] some  [ ] use it regularly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G6  Preferred language for this session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[ ] English  [ ] Português</w:t>
      </w:r>
    </w:p>
    <w:p>
      <w:pPr>
        <w:pStyle w:val="TextBody"/>
        <w:bidi w:val="0"/>
        <w:spacing w:before="0" w:after="283"/>
        <w:jc w:val="left"/>
        <w:rPr/>
      </w:pPr>
      <w:r>
        <w:rPr/>
        <w:t>G3 is expected to be the strongest confound in the results and must be reported</w:t>
        <w:br/>
        <w:t>alongside them.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Facilitator briefing script</w:t>
      </w:r>
    </w:p>
    <w:p>
      <w:pPr>
        <w:pStyle w:val="TextBody"/>
        <w:bidi w:val="0"/>
        <w:spacing w:before="0" w:after="283"/>
        <w:jc w:val="left"/>
        <w:rPr/>
      </w:pPr>
      <w:r>
        <w:rPr/>
        <w:t>Read this out. Do not improvise it. Improvising the briefing is how a</w:t>
        <w:br/>
        <w:t>facilitator accidentally teaches the participant the interface.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>Thank you for taking part. This will take about 80 minutes.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>I am going to ask you to complete six tasks in a tool called Apex. I want to</w:t>
        <w:br/>
        <w:t>be clear that we are testing the tool, not you. If something is confusing or</w:t>
        <w:br/>
        <w:t>you cannot find something, that is exactly what I need to know. There is no</w:t>
        <w:br/>
        <w:t>way for you to get this wrong.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>Please think aloud as you work. Say what you are looking at, what you expect</w:t>
        <w:br/>
        <w:t>to happen, and what you are trying to do. If you go quiet I will ask you what</w:t>
        <w:br/>
        <w:t>you are thinking, and that is not a hint, it is just a reminder.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>I will read each task out and I will not help you unless you are stuck for a</w:t>
        <w:br/>
        <w:t>while. If I do help, that is fine and it is useful information for me. If you</w:t>
        <w:br/>
        <w:t>want to give up on a task, say so and we will move on.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>The tool uses AI to generate content, and some steps take up to a minute. That</w:t>
        <w:br/>
        <w:t>is normal.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>You can stop, take a break, or leave at any point without giving a reason.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>Do you have any questions before we begin?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Then a </w:t>
      </w:r>
      <w:r>
        <w:rPr>
          <w:rStyle w:val="StrongEmphasis"/>
        </w:rPr>
        <w:t>five-minute orientation</w:t>
      </w:r>
      <w:r>
        <w:rPr/>
        <w:t>, identical for every participant, not scored:</w:t>
        <w:br/>
        <w:t>show where the phases are, where the sidebar is, and where settings are. Nothing</w:t>
        <w:br/>
        <w:t>task-specific. Write down what you showed, and show exactly that every time.</w:t>
      </w:r>
    </w:p>
    <w:p>
      <w:pPr>
        <w:pStyle w:val="Heading2"/>
        <w:bidi w:val="0"/>
        <w:jc w:val="left"/>
        <w:rPr/>
      </w:pPr>
      <w:r>
        <w:rPr/>
        <w:t>Facilitator do-not-do list</w:t>
      </w:r>
    </w:p>
    <w:p>
      <w:pPr>
        <w:pStyle w:val="TextBody"/>
        <w:numPr>
          <w:ilvl w:val="0"/>
          <w:numId w:val="4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Do not point at the screen. </w:t>
      </w:r>
    </w:p>
    <w:p>
      <w:pPr>
        <w:pStyle w:val="TextBody"/>
        <w:numPr>
          <w:ilvl w:val="0"/>
          <w:numId w:val="4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Do not say "you could try...". </w:t>
      </w:r>
    </w:p>
    <w:p>
      <w:pPr>
        <w:pStyle w:val="TextBody"/>
        <w:numPr>
          <w:ilvl w:val="0"/>
          <w:numId w:val="4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Do not react to a mistake, verbally or facially. </w:t>
      </w:r>
    </w:p>
    <w:p>
      <w:pPr>
        <w:pStyle w:val="TextBody"/>
        <w:numPr>
          <w:ilvl w:val="0"/>
          <w:numId w:val="4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Do not explain what the tool was supposed to do. </w:t>
      </w:r>
    </w:p>
    <w:p>
      <w:pPr>
        <w:pStyle w:val="TextBody"/>
        <w:numPr>
          <w:ilvl w:val="0"/>
          <w:numId w:val="4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Do not defend a design decision, even if the participant asks directly. Say</w:t>
        <w:br/>
        <w:t xml:space="preserve">"I will explain everything at the end" and note the question. </w:t>
      </w:r>
    </w:p>
    <w:p>
      <w:pPr>
        <w:pStyle w:val="TextBody"/>
        <w:numPr>
          <w:ilvl w:val="0"/>
          <w:numId w:val="44"/>
        </w:numPr>
        <w:tabs>
          <w:tab w:val="clear" w:pos="1134"/>
          <w:tab w:val="left" w:pos="709" w:leader="none"/>
        </w:tabs>
        <w:bidi w:val="0"/>
        <w:spacing w:before="0" w:after="283"/>
        <w:ind w:left="709" w:hanging="283"/>
        <w:jc w:val="left"/>
        <w:rPr/>
      </w:pPr>
      <w:r>
        <w:rPr/>
        <w:t>Do not skip the observer sheet during a busy session. Notes reconstructed</w:t>
        <w:br/>
        <w:t xml:space="preserve">afterwards are unreliable, and unreliable notes are worse than none. 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auto"/>
    <w:pitch w:val="default"/>
  </w:font>
  <w:font w:name="Liberation Sans Unicode MS">
    <w:charset w:val="01"/>
    <w:family w:val="auto"/>
    <w:pitch w:val="variable"/>
  </w:font>
  <w:font w:name="Liberation Mono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">
    <w:lvl w:ilvl="0">
      <w:start w:val="5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2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">
    <w:lvl w:ilvl="0">
      <w:start w:val="16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">
    <w:lvl w:ilvl="0">
      <w:start w:val="18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3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0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3">
    <w:lvl w:ilvl="0">
      <w:start w:val="4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4">
    <w:lvl w:ilvl="0">
      <w:start w:val="8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5">
    <w:lvl w:ilvl="0">
      <w:start w:val="12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6">
    <w:lvl w:ilvl="0">
      <w:start w:val="15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8">
    <w:lvl w:ilvl="0">
      <w:start w:val="2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9">
    <w:lvl w:ilvl="0">
      <w:start w:val="6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0">
    <w:lvl w:ilvl="0">
      <w:start w:val="9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1">
    <w:lvl w:ilvl="0">
      <w:start w:val="12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5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pStyle w:val="Heading4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pt-PT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/>
    </w:pPr>
    <w:rPr>
      <w:rFonts w:ascii="Liberation Sans;Arial;sans-serif" w:hAnsi="Liberation Sans;Arial;sans-serif" w:eastAsia="Liberation Sans;Arial;sans-serif" w:cs="Liberation Sans;Arial;sans-serif"/>
      <w:color w:val="111111"/>
      <w:sz w:val="21"/>
      <w:szCs w:val="21"/>
      <w:lang w:val="pt-PT" w:eastAsia="zh-CN" w:bidi="hi-IN"/>
    </w:rPr>
  </w:style>
  <w:style w:type="paragraph" w:styleId="Heading1">
    <w:name w:val="Heading 1"/>
    <w:basedOn w:val="Heading"/>
    <w:next w:val="TextBody"/>
    <w:qFormat/>
    <w:pPr>
      <w:pBdr>
        <w:bottom w:val="single" w:sz="12" w:space="4" w:color="1F3864"/>
      </w:pBdr>
    </w:pPr>
    <w:rPr>
      <w:rFonts w:ascii="Liberation Sans Unicode MS" w:hAnsi="Liberation Sans Unicode MS"/>
      <w:b/>
      <w:bCs/>
      <w:color w:val="1F3864"/>
      <w:sz w:val="40"/>
      <w:szCs w:val="40"/>
    </w:rPr>
  </w:style>
  <w:style w:type="paragraph" w:styleId="Heading2">
    <w:name w:val="Heading 2"/>
    <w:basedOn w:val="Heading"/>
    <w:next w:val="TextBody"/>
    <w:qFormat/>
    <w:pPr>
      <w:spacing w:before="360" w:after="120"/>
      <w:outlineLvl w:val="1"/>
    </w:pPr>
    <w:rPr>
      <w:rFonts w:ascii="Liberation Serif" w:hAnsi="Liberation Serif" w:eastAsia="Noto Serif CJK SC" w:cs="Lohit Devanagari"/>
      <w:b/>
      <w:bCs/>
      <w:color w:val="1F3864"/>
      <w:sz w:val="28"/>
      <w:szCs w:val="28"/>
    </w:rPr>
  </w:style>
  <w:style w:type="paragraph" w:styleId="Heading3">
    <w:name w:val="Heading 3"/>
    <w:basedOn w:val="Heading"/>
    <w:next w:val="TextBody"/>
    <w:qFormat/>
    <w:pPr>
      <w:spacing w:before="280" w:after="120"/>
      <w:outlineLvl w:val="2"/>
    </w:pPr>
    <w:rPr>
      <w:rFonts w:ascii="Liberation Serif" w:hAnsi="Liberation Serif" w:eastAsia="Noto Serif CJK SC" w:cs="Lohit Devanagari"/>
      <w:b/>
      <w:bCs/>
      <w:color w:val="2F5496"/>
      <w:sz w:val="24"/>
      <w:szCs w:val="24"/>
    </w:rPr>
  </w:style>
  <w:style w:type="paragraph" w:styleId="Heading4">
    <w:name w:val="Heading 4"/>
    <w:basedOn w:val="Heading"/>
    <w:next w:val="TextBody"/>
    <w:qFormat/>
    <w:pPr>
      <w:spacing w:before="120" w:after="120"/>
      <w:outlineLvl w:val="3"/>
    </w:pPr>
    <w:rPr>
      <w:rFonts w:ascii="Liberation Serif" w:hAnsi="Liberation Serif" w:eastAsia="Noto Serif CJK SC" w:cs="Lohit Devanagari"/>
      <w:b/>
      <w:bCs/>
      <w:color w:val="2F5496"/>
      <w:sz w:val="22"/>
      <w:szCs w:val="22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InternetLink">
    <w:name w:val="Hyperlink"/>
    <w:rPr>
      <w:color w:val="000080"/>
      <w:u w:val="single"/>
    </w:rPr>
  </w:style>
  <w:style w:type="character" w:styleId="SourceText">
    <w:name w:val="Source Text"/>
    <w:qFormat/>
    <w:rPr>
      <w:rFonts w:ascii="Liberation Mono;monospace" w:hAnsi="Liberation Mono;monospace" w:eastAsia="Liberation Mono;monospace" w:cs="Liberation Mono;monospace"/>
      <w:sz w:val="19"/>
      <w:szCs w:val="19"/>
      <w:shd w:fill="F2F4F7" w:val="clear"/>
    </w:rPr>
  </w:style>
  <w:style w:type="character" w:styleId="StrongEmphasis">
    <w:name w:val="Strong Emphasis"/>
    <w:qFormat/>
    <w:rPr>
      <w:b/>
      <w:bCs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paragraph" w:styleId="HorizontalLine">
    <w:name w:val="Horizontal Line"/>
    <w:basedOn w:val="Normal"/>
    <w:next w:val="TextBody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Sender">
    <w:name w:val="Envelope Return"/>
    <w:basedOn w:val="Normal"/>
    <w:pPr/>
    <w:rPr>
      <w:i/>
    </w:rPr>
  </w:style>
  <w:style w:type="paragraph" w:styleId="TableContents">
    <w:name w:val="Table Contents"/>
    <w:basedOn w:val="TextBody"/>
    <w:qFormat/>
    <w:pPr>
      <w:jc w:val="left"/>
    </w:pPr>
    <w:rPr>
      <w:sz w:val="19"/>
      <w:szCs w:val="19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TextBody"/>
    <w:pPr/>
    <w:rPr>
      <w:rFonts w:cs="Lohit Devanagari"/>
    </w:rPr>
  </w:style>
  <w:style w:type="paragraph" w:styleId="TextBody">
    <w:name w:val="Body Text"/>
    <w:basedOn w:val="Normal"/>
    <w:pPr>
      <w:spacing w:before="0" w:after="283"/>
    </w:pPr>
    <w:rPr>
      <w:sz w:val="21"/>
      <w:szCs w:val="21"/>
    </w:rPr>
  </w:style>
  <w:style w:type="paragraph" w:styleId="Heading">
    <w:name w:val="Heading"/>
    <w:basedOn w:val="Normal"/>
    <w:next w:val="TextBody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6" w:color="D7DCE3"/>
        <w:left w:val="single" w:sz="2" w:space="6" w:color="D7DCE3"/>
        <w:bottom w:val="single" w:sz="2" w:space="6" w:color="D7DCE3"/>
        <w:right w:val="single" w:sz="2" w:space="6" w:color="D7DCE3"/>
      </w:pBdr>
      <w:shd w:fill="F7F8FA" w:val="clear"/>
      <w:spacing w:before="0" w:after="0"/>
    </w:pPr>
    <w:rPr>
      <w:rFonts w:ascii="Liberation Mono;monospace" w:hAnsi="Liberation Mono;monospace" w:eastAsia="Liberation Mono;monospace" w:cs="Liberation Mono;monospace"/>
      <w:sz w:val="18"/>
      <w:szCs w:val="18"/>
    </w:rPr>
  </w:style>
  <w:style w:type="paragraph" w:styleId="Quotations">
    <w:name w:val="Quotations"/>
    <w:basedOn w:val="Normal"/>
    <w:qFormat/>
    <w:pPr>
      <w:pBdr>
        <w:left w:val="single" w:sz="18" w:space="10" w:color="2F5496"/>
      </w:pBdr>
      <w:spacing w:before="0" w:after="283"/>
      <w:ind w:left="567" w:right="567" w:hanging="0"/>
    </w:pPr>
    <w:rPr>
      <w:color w:val="333333"/>
    </w:rPr>
  </w:style>
  <w:style w:type="paragraph" w:styleId="TableHeading">
    <w:name w:val="Table Heading"/>
    <w:basedOn w:val="TableContents"/>
    <w:qFormat/>
    <w:pPr>
      <w:suppressLineNumbers/>
      <w:shd w:fill="E8EDF5" w:val="clear"/>
      <w:jc w:val="left"/>
    </w:pPr>
    <w:rPr>
      <w:b/>
      <w:bCs/>
      <w:sz w:val="19"/>
      <w:szCs w:val="19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pt-PT</dc:language>
  <cp:lastModifiedBy/>
  <cp:revision>0</cp:revision>
  <dc:subject/>
  <dc:title>Apex Evaluation Package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