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Apex — Implementation, Testing, and Deployment Report</w:t>
      </w:r>
    </w:p>
    <w:p>
      <w:r>
        <w:rPr>
          <w:i/>
          <w:sz w:val="24"/>
        </w:rPr>
        <w:t>Internal + external engineering documentation for the MEIC-T thesis writeup</w:t>
      </w:r>
    </w:p>
    <w:p>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Bdr>
          <w:bottom w:val="single" w:sz="6" w:space="1" w:color="auto"/>
        </w:pBdr>
      </w:pPr>
    </w:p>
    <w:p>
      <w:pPr>
        <w:pStyle w:val="Heading1"/>
      </w:pPr>
      <w:r>
        <w:t>1. Purpose and Scope</w:t>
      </w:r>
    </w:p>
    <w:p>
      <w:r>
        <w:rPr>
          <w:b w:val="0"/>
          <w:i w:val="0"/>
        </w:rPr>
        <w:t>Interview feedback on Apex's academic presentation asked for real engineering documentation — implementation, testing, and deployment — beyond the product-facing README. This document is that record. It describes Apex as of this writing: a split-stack web application with 1,365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pPr>
      <w:r>
        <w:t>2. Architecture and Implementation</w:t>
      </w:r>
    </w:p>
    <w:p>
      <w:pPr>
        <w:pStyle w:val="Heading2"/>
      </w:pPr>
      <w:r>
        <w:t>2.1 Split-stack overview</w:t>
      </w:r>
    </w:p>
    <w:p>
      <w:r>
        <w:rPr>
          <w:b w:val="0"/>
          <w:i w:val="0"/>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Heading2"/>
      </w:pPr>
      <w:r>
        <w:t>2.2 Spec-anchored storage</w:t>
      </w:r>
    </w:p>
    <w:p>
      <w:r>
        <w:rPr>
          <w:b w:val="0"/>
          <w:i w:val="0"/>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pPr>
      <w:r>
        <w:t>2.3 Concurrency model: single writer by design</w:t>
      </w:r>
    </w:p>
    <w:p>
      <w:r>
        <w:rPr>
          <w:b w:val="0"/>
          <w:i w:val="0"/>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r>
        <w:rPr>
          <w:b w:val="0"/>
          <w:i w:val="0"/>
        </w:rPr>
        <w:t>That precondition exists and is implemented, unused by default: src/distributed.py adds an optional Redis-backed coordination layer (Upstash's free tier over TLS). When REDIS_URL is unset, every primitive falls back to the process-local equivalent and behavior is byte-for-byte identical to the single-replica deployment. When set, the same lock names and the rate-limit counters become coherent across replicas, which is the actual precondition for safely raising max-replicas above 1. The module was built and Redis-enabled mode is covered by the test suite (via fakeredis + lupa for the Lua-scripted atomic operations) but production currently runs with REDIS_URL unset — single-replica is still the live configuration.</w:t>
      </w:r>
    </w:p>
    <w:p>
      <w:pPr>
        <w:pStyle w:val="Heading2"/>
      </w:pPr>
      <w:r>
        <w:t>2.4 External integrations: proxy-first for security</w:t>
      </w:r>
    </w:p>
    <w:p>
      <w:r>
        <w:rPr>
          <w:b w:val="0"/>
          <w:i w:val="0"/>
        </w:rPr>
        <w:t>Every outbound call to a user-configurable host — Taiga, Jira, Figma — is proxied server-side rather than called directly from the browser, specifically to close SSRF: the proxy validates the target host (must be https://, must resolve to a non-private IP) before forwarding.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pStyle w:val="Heading2"/>
      </w:pPr>
      <w:r>
        <w:t>2.5 AI provider abstraction</w:t>
      </w:r>
    </w:p>
    <w:p>
      <w:r>
        <w:rPr>
          <w:b w:val="0"/>
          <w:i w:val="0"/>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1"/>
      </w:pPr>
      <w:r>
        <w:t>3. Testing Strategy</w:t>
      </w:r>
    </w:p>
    <w:p>
      <w:r>
        <w:rPr>
          <w:b w:val="0"/>
          <w:i w:val="0"/>
        </w:rPr>
        <w:t>Testing is layered by what each layer can actually catch, not run as one undifferentiated suite:</w:t>
      </w:r>
    </w:p>
    <w:p>
      <w:pPr>
        <w:pStyle w:val="Heading2"/>
      </w:pPr>
      <w:r>
        <w:t>3.1 Backend — pytest</w:t>
      </w:r>
    </w:p>
    <w:p>
      <w:r>
        <w:rPr>
          <w:b w:val="0"/>
          <w:i w:val="0"/>
        </w:rPr>
        <w:t>1,365 tests as of this writing (python -m pytest tests/ -v --tb=short), gated in CI before any Docker build is even attempted. Six autouse fixtures in tests/conftest.py remove entire categories of flaky-test risk by construction rather than by convention:</w:t>
      </w:r>
    </w:p>
    <w:p>
      <w:pPr>
        <w:pStyle w:val="ListBullet"/>
      </w:pPr>
      <w:r>
        <w:t>_disable_distributed — forces the Redis-off code path so tests never depend on network reachability to Upstash.</w:t>
      </w:r>
    </w:p>
    <w:p>
      <w:pPr>
        <w:pStyle w:val="ListBullet"/>
      </w:pPr>
      <w:r>
        <w:t>_bypass_pm_auth — skips real Taiga/Jira authentication so route tests exercise business logic, not third-party auth flows.</w:t>
      </w:r>
    </w:p>
    <w:p>
      <w:pPr>
        <w:pStyle w:val="ListBullet"/>
      </w:pPr>
      <w:r>
        <w:t>_reset_rate_limit_buckets — per-IP rate-limit state is process-local; without a reset, test order would leak between tests.</w:t>
      </w:r>
    </w:p>
    <w:p>
      <w:pPr>
        <w:pStyle w:val="ListBullet"/>
      </w:pPr>
      <w:r>
        <w:t>_force_local_storage — pins storage.py to local disk regardless of environment, so tests never accidentally touch Azure.</w:t>
      </w:r>
    </w:p>
    <w:p>
      <w:pPr>
        <w:pStyle w:val="ListBullet"/>
      </w:pPr>
      <w:r>
        <w:t>_isolate_active_context — resets the two ContextVars (_active_project_id, _active_instance_id) between tests, the same isolation mechanism production relies on per-request.</w:t>
      </w:r>
    </w:p>
    <w:p>
      <w:pPr>
        <w:pStyle w:val="ListBullet"/>
      </w:pPr>
      <w:r>
        <w:t>_reset_config_cache — clears the workspace-config TTL cache, another piece of per-process state that would otherwise bleed across tests.</w:t>
      </w:r>
    </w:p>
    <w:p>
      <w:r>
        <w:rPr>
          <w:b w:val="0"/>
          <w:i w:val="0"/>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pPr>
      <w:r>
        <w:t>3.2 Frontend — Vitest (unit) and Playwright (E2E)</w:t>
      </w:r>
    </w:p>
    <w:p>
      <w:r>
        <w:rPr>
          <w:b w:val="0"/>
          <w:i w:val="0"/>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pPr>
      <w:r>
        <w:t>3.3 CI gating structure</w:t>
      </w:r>
    </w:p>
    <w:p>
      <w:r>
        <w:rPr>
          <w:b w:val="0"/>
          <w:i w:val="0"/>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pPr>
      <w:r>
        <w:t>4. Deployment Pipeline</w:t>
      </w:r>
    </w:p>
    <w:p>
      <w:pPr>
        <w:pStyle w:val="Heading2"/>
      </w:pPr>
      <w:r>
        <w:t>4.1 Containerization</w:t>
      </w:r>
    </w:p>
    <w:p>
      <w:r>
        <w:rPr>
          <w:b w:val="0"/>
          <w:i w:val="0"/>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pPr>
      <w:r>
        <w:t>4.2 CI/CD pipeline</w:t>
      </w:r>
    </w:p>
    <w:p>
      <w:r>
        <w:rPr>
          <w:b w:val="0"/>
          <w:i w:val="0"/>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pPr>
      <w: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pPr>
      <w:r>
        <w:t>Updates both Container Apps to the new sha-tagged images.</w:t>
      </w:r>
    </w:p>
    <w:p>
      <w:pPr>
        <w:pStyle w:val="ListBullet"/>
      </w:pPr>
      <w:r>
        <w:t>Polls each app's health endpoint for up to two minutes.</w:t>
      </w:r>
    </w:p>
    <w:p>
      <w:pPr>
        <w:pStyle w:val="ListBullet"/>
      </w:pPr>
      <w:r>
        <w:t>On failure, automatically rolls both apps back to the image tags captured at the start — an automatic rollback, not a manual runbook step.</w:t>
      </w:r>
    </w:p>
    <w:p>
      <w:r>
        <w:rPr>
          <w:b w:val="0"/>
          <w:i w:val="0"/>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pPr>
      <w:r>
        <w:t>4.3 Cost-aware scaling</w:t>
      </w:r>
    </w:p>
    <w:p>
      <w:r>
        <w:rPr>
          <w:b w:val="0"/>
          <w:i w:val="0"/>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pPr>
      <w:r>
        <w:t>4.4 A distinct, feature-level deployment path</w:t>
      </w:r>
    </w:p>
    <w:p>
      <w:r>
        <w:rPr>
          <w:b w:val="0"/>
          <w:i w:val="0"/>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pPr>
      <w:r>
        <w:t>5. Honest Engineering Notes</w:t>
      </w:r>
    </w:p>
    <w:p>
      <w:pPr>
        <w:pStyle w:val="ListBullet"/>
      </w:pPr>
      <w: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already built and tested but not yet enabled in production.</w:t>
      </w:r>
    </w:p>
    <w:p>
      <w:pPr>
        <w:pStyle w:val="ListBullet"/>
      </w:pPr>
      <w: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pPr>
      <w:r>
        <w:t>Numbers in this document (1,365 backend tests, 180 frontend tests, 17 E2E specs) are a snapshot as of this writing and will drift as the codebase grows — re-run the counts (§1) rather than citing this document as the current figure without checking.</w:t>
      </w:r>
    </w:p>
    <w:p>
      <w:pPr>
        <w:pStyle w:val="ListBullet"/>
      </w:pPr>
      <w: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