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Apex — Implementation, Testing, and Deployment Report</w:t>
      </w:r>
    </w:p>
    <w:p>
      <w:r>
        <w:rPr>
          <w:i/>
          <w:sz w:val="24"/>
        </w:rPr>
        <w:t>Internal + external engineering documentation for the MEIC-T thesis writeup</w:t>
      </w:r>
    </w:p>
    <w:p>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Bdr>
          <w:bottom w:val="single" w:sz="6" w:space="1" w:color="auto"/>
        </w:pBdr>
      </w:pPr>
    </w:p>
    <w:p>
      <w:pPr>
        <w:pStyle w:val="Heading1"/>
      </w:pPr>
      <w:r>
        <w:t>1. Purpose and Scope</w:t>
      </w:r>
    </w:p>
    <w:p>
      <w:r>
        <w:rPr>
          <w:b w:val="0"/>
          <w:i w:val="0"/>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pPr>
      <w:r>
        <w:t>2. Architecture and Implementation</w:t>
      </w:r>
    </w:p>
    <w:p>
      <w:pPr>
        <w:pStyle w:val="Heading2"/>
      </w:pPr>
      <w:r>
        <w:t>2.1 Split-stack overview</w:t>
      </w:r>
    </w:p>
    <w:p>
      <w:r>
        <w:rPr>
          <w:b w:val="0"/>
          <w:i w:val="0"/>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jc w:val="center"/>
      </w:pPr>
      <w:r>
        <w:drawing>
          <wp:inline xmlns:a="http://schemas.openxmlformats.org/drawingml/2006/main" xmlns:pic="http://schemas.openxmlformats.org/drawingml/2006/picture">
            <wp:extent cx="5760720" cy="161069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1610690"/>
                    </a:xfrm>
                    <a:prstGeom prst="rect"/>
                  </pic:spPr>
                </pic:pic>
              </a:graphicData>
            </a:graphic>
          </wp:inline>
        </w:drawing>
      </w:r>
    </w:p>
    <w:p>
      <w:pPr/>
      <w:r>
        <w:rPr>
          <w:i/>
          <w:sz w:val="18"/>
        </w:rPr>
        <w:t>Figure 1. Apex's system architecture — the Next.js 15 frontend, the FastAPI backend (single-writer), the SSRF-guarded Taiga/Jira/Figma/GitHub proxies, and spec-anchored storage under contextspec/&lt;instance_id&gt;/&lt;project_id&gt;/.</w:t>
      </w:r>
    </w:p>
    <w:p>
      <w:pPr>
        <w:jc w:val="center"/>
      </w:pPr>
      <w:r>
        <w:drawing>
          <wp:inline xmlns:a="http://schemas.openxmlformats.org/drawingml/2006/main" xmlns:pic="http://schemas.openxmlformats.org/drawingml/2006/picture">
            <wp:extent cx="3840480" cy="7351073"/>
            <wp:docPr id="2" name="Picture 2"/>
            <wp:cNvGraphicFramePr>
              <a:graphicFrameLocks noChangeAspect="1"/>
            </wp:cNvGraphicFramePr>
            <a:graphic>
              <a:graphicData uri="http://schemas.openxmlformats.org/drawingml/2006/picture">
                <pic:pic>
                  <pic:nvPicPr>
                    <pic:cNvPr id="0" name="user-flow.png"/>
                    <pic:cNvPicPr/>
                  </pic:nvPicPr>
                  <pic:blipFill>
                    <a:blip r:embed="rId10"/>
                    <a:stretch>
                      <a:fillRect/>
                    </a:stretch>
                  </pic:blipFill>
                  <pic:spPr>
                    <a:xfrm>
                      <a:off x="0" y="0"/>
                      <a:ext cx="3840480" cy="7351073"/>
                    </a:xfrm>
                    <a:prstGeom prst="rect"/>
                  </pic:spPr>
                </pic:pic>
              </a:graphicData>
            </a:graphic>
          </wp:inline>
        </w:drawing>
      </w:r>
    </w:p>
    <w:p>
      <w:pPr/>
      <w:r>
        <w:rPr>
          <w:i/>
          <w:sz w:val="18"/>
        </w:rPr>
        <w:t>Figure 2. A representative user flow through Apex, phase by phase, showing the actual frontend-to-backend request sequence per phase (POST /phaseN/... calls, AI Engine and PM tool interactions, and spec-store writes).</w:t>
      </w:r>
    </w:p>
    <w:p>
      <w:pPr>
        <w:pStyle w:val="Heading2"/>
      </w:pPr>
      <w:r>
        <w:t>2.2 Spec-anchored storage</w:t>
      </w:r>
    </w:p>
    <w:p>
      <w:r>
        <w:rPr>
          <w:b w:val="0"/>
          <w:i w:val="0"/>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pPr>
      <w:r>
        <w:t>2.3 Concurrency model: single writer by design</w:t>
      </w:r>
    </w:p>
    <w:p>
      <w:r>
        <w:rPr>
          <w:b w:val="0"/>
          <w:i w:val="0"/>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r>
        <w:rPr>
          <w:b w:val="0"/>
          <w:i w:val="0"/>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pPr>
      <w:r>
        <w:t>2.4 External integrations: proxy-first for security</w:t>
      </w:r>
    </w:p>
    <w:p>
      <w:r>
        <w:rPr>
          <w:b w:val="0"/>
          <w:i w:val="0"/>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pStyle w:val="Heading2"/>
      </w:pPr>
      <w:r>
        <w:t>2.5 AI provider abstraction</w:t>
      </w:r>
    </w:p>
    <w:p>
      <w:r>
        <w:rPr>
          <w:b w:val="0"/>
          <w:i w:val="0"/>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pPr>
      <w:r>
        <w:t>2.6 Bolt tracking</w:t>
      </w:r>
    </w:p>
    <w:p>
      <w:pPr/>
      <w:r>
        <w:rPr>
          <w:b w:val="0"/>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pPr>
      <w:r>
        <w:t>3. Testing Strategy</w:t>
      </w:r>
    </w:p>
    <w:p>
      <w:r>
        <w:rPr>
          <w:b w:val="0"/>
          <w:i w:val="0"/>
        </w:rPr>
        <w:t>Testing is layered by what each layer can actually catch, not run as one undifferentiated suite:</w:t>
      </w:r>
      <w:r>
        <w:t xml:space="preserve"> Coverage spans workflow logic, security boundaries, and product-specific state machines such as Bolt lifecycle tracking (§2.6) and its list/config/cycle-time-aggregation routes.</w:t>
      </w:r>
    </w:p>
    <w:p>
      <w:pPr>
        <w:pStyle w:val="Heading2"/>
      </w:pPr>
      <w:r>
        <w:t>3.1 Backend — pytest</w:t>
      </w:r>
    </w:p>
    <w:p>
      <w:r>
        <w:rPr>
          <w:b w:val="0"/>
          <w:i w:val="0"/>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pPr>
      <w:r>
        <w:t>_disable_distributed — forces the Redis-off code path so tests never depend on network reachability to Upstash.</w:t>
      </w:r>
    </w:p>
    <w:p>
      <w:pPr>
        <w:pStyle w:val="ListBullet"/>
      </w:pPr>
      <w:r>
        <w:t>_bypass_pm_auth — skips real Taiga/Jira authentication so route tests exercise business logic, not third-party auth flows.</w:t>
      </w:r>
    </w:p>
    <w:p>
      <w:pPr>
        <w:pStyle w:val="ListBullet"/>
      </w:pPr>
      <w:r>
        <w:t>_reset_rate_limit_buckets — per-IP rate-limit state is process-local; without a reset, test order would leak between tests.</w:t>
      </w:r>
    </w:p>
    <w:p>
      <w:pPr>
        <w:pStyle w:val="ListBullet"/>
      </w:pPr>
      <w:r>
        <w:t>_force_local_storage — pins storage.py to local disk regardless of environment, so tests never accidentally touch Azure.</w:t>
      </w:r>
    </w:p>
    <w:p>
      <w:pPr>
        <w:pStyle w:val="ListBullet"/>
      </w:pPr>
      <w:r>
        <w:t>_isolate_active_context — resets the two ContextVars (_active_project_id, _active_instance_id) between tests, the same isolation mechanism production relies on per-request.</w:t>
      </w:r>
    </w:p>
    <w:p>
      <w:pPr>
        <w:pStyle w:val="ListBullet"/>
      </w:pPr>
      <w:r>
        <w:t>_reset_config_cache — clears the workspace-config TTL cache, another piece of per-process state that would otherwise bleed across tests.</w:t>
      </w:r>
    </w:p>
    <w:p>
      <w:r>
        <w:rPr>
          <w:b w:val="0"/>
          <w:i w:val="0"/>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pPr>
      <w:r>
        <w:t>3.2 Frontend — Vitest (unit) and Playwright (E2E)</w:t>
      </w:r>
    </w:p>
    <w:p>
      <w:r>
        <w:rPr>
          <w:b w:val="0"/>
          <w:i w:val="0"/>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pPr>
      <w:r>
        <w:t>3.3 CI gating structure</w:t>
      </w:r>
    </w:p>
    <w:p>
      <w:r>
        <w:rPr>
          <w:b w:val="0"/>
          <w:i w:val="0"/>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pPr>
      <w:r>
        <w:t>4. Deployment Pipeline</w:t>
      </w:r>
    </w:p>
    <w:p>
      <w:pPr>
        <w:pStyle w:val="Heading2"/>
      </w:pPr>
      <w:r>
        <w:t>4.1 Containerization</w:t>
      </w:r>
    </w:p>
    <w:p>
      <w:r>
        <w:rPr>
          <w:b w:val="0"/>
          <w:i w:val="0"/>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pPr>
      <w:r>
        <w:t>4.2 CI/CD pipeline</w:t>
      </w:r>
    </w:p>
    <w:p>
      <w:r>
        <w:rPr>
          <w:b w:val="0"/>
          <w:i w:val="0"/>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pPr>
      <w: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pPr>
      <w:r>
        <w:t>Updates both Container Apps to the new sha-tagged images.</w:t>
      </w:r>
    </w:p>
    <w:p>
      <w:pPr>
        <w:pStyle w:val="ListBullet"/>
      </w:pPr>
      <w:r>
        <w:t>Polls each app's health endpoint for up to two minutes.</w:t>
      </w:r>
    </w:p>
    <w:p>
      <w:pPr>
        <w:pStyle w:val="ListBullet"/>
      </w:pPr>
      <w:r>
        <w:t>On failure, automatically rolls both apps back to the image tags captured at the start — an automatic rollback, not a manual runbook step.</w:t>
      </w:r>
    </w:p>
    <w:p>
      <w:r>
        <w:rPr>
          <w:b w:val="0"/>
          <w:i w:val="0"/>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pPr>
      <w:r>
        <w:t>4.3 Cost-aware scaling</w:t>
      </w:r>
    </w:p>
    <w:p>
      <w:r>
        <w:rPr>
          <w:b w:val="0"/>
          <w:i w:val="0"/>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pPr>
      <w:r>
        <w:t>4.4 A distinct, feature-level deployment path</w:t>
      </w:r>
    </w:p>
    <w:p>
      <w:r>
        <w:rPr>
          <w:b w:val="0"/>
          <w:i w:val="0"/>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pPr>
      <w:r>
        <w:t>5. Honest Engineering Notes</w:t>
      </w:r>
    </w:p>
    <w:p>
      <w:pPr>
        <w:pStyle w:val="ListBullet"/>
      </w:pPr>
      <w: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pPr>
      <w: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pPr>
      <w: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pPr>
      <w: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Heading1"/>
      </w:pPr>
      <w:r>
        <w:t>6. Incident Log — Problems Found, Diagnosed, and Fixed</w:t>
      </w:r>
    </w:p>
    <w:p>
      <w:pPr/>
      <w: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pPr>
      <w:r>
        <w:t>6.1 Real production incidents</w:t>
      </w:r>
    </w:p>
    <w:p>
      <w:pPr>
        <w:pStyle w:val="ListBullet"/>
      </w:pPr>
      <w:r>
        <w:rPr>
          <w:b/>
        </w:rPr>
        <w:t xml:space="preserve">Taiga Cloud egress firewall-drop (2026-06-12). </w:t>
      </w:r>
      <w: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pPr>
      <w:r>
        <w:rPr>
          <w:b/>
        </w:rPr>
        <w:t xml:space="preserve">The relay leaked the real Azure IP through a header (2026-06-17). </w:t>
      </w:r>
      <w: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pPr>
      <w:r>
        <w:rPr>
          <w:b/>
        </w:rPr>
        <w:t xml:space="preserve">The credential check bypassed the relay entirely (2026-06-18). </w:t>
      </w:r>
      <w: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pPr>
      <w:r>
        <w:rPr>
          <w:b/>
        </w:rPr>
        <w:t xml:space="preserve">GitHub PAT reconnect returned 500 and blocked reconnecting at all (2026-07-06). </w:t>
      </w:r>
      <w: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pPr>
      <w:r>
        <w:rPr>
          <w:b/>
        </w:rPr>
        <w:t xml:space="preserve">A story was silently dropped from a live project's index (2026-07-05). </w:t>
      </w:r>
      <w: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pPr>
      <w:r>
        <w:rPr>
          <w:b/>
        </w:rPr>
        <w:t xml:space="preserve">Autopilot fabricated a QA pass (2026-07-12). </w:t>
      </w:r>
      <w: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pPr>
      <w:r>
        <w:t>6.2 Multi-tenancy &amp; security</w:t>
      </w:r>
    </w:p>
    <w:p>
      <w:pPr>
        <w:pStyle w:val="ListBullet"/>
      </w:pPr>
      <w:r>
        <w:rPr>
          <w:b/>
        </w:rPr>
        <w:t xml:space="preserve">The Taiga identity anchor was fixed twice, not once. </w:t>
      </w:r>
      <w: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pPr>
      <w:r>
        <w:rPr>
          <w:b/>
        </w:rPr>
        <w:t xml:space="preserve">Jira never got the same per-request anchor override as Taiga (audit item H4, found and fixed 2026-07-20/21). </w:t>
      </w:r>
      <w: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pPr>
      <w:r>
        <w:rPr>
          <w:b/>
        </w:rPr>
        <w:t xml:space="preserve">The Taiga Wiki “Custom Wiki pages” panel leaked pages across projects (found and fixed 2026-07-21, this session). </w:t>
      </w:r>
      <w: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pPr>
      <w:r>
        <w:rPr>
          <w:b/>
        </w:rPr>
        <w:t xml:space="preserve">Publishing to the wiki silently ignored the file selection (found and fixed 2026-07-21). </w:t>
      </w:r>
      <w: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pPr>
      <w:r>
        <w:rPr>
          <w:b/>
        </w:rPr>
        <w:t xml:space="preserve">Wiki create-conflict recovery relied on a re-list that could miss the very page it was looking for (found and fixed 2026-07-21). </w:t>
      </w:r>
      <w: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pPr>
      <w:r>
        <w:rPr>
          <w:b/>
        </w:rPr>
        <w:t xml:space="preserve">Multi-instance storage isolation (2026-06-14). </w:t>
      </w:r>
      <w: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pPr>
      <w:r>
        <w:t>6.3 Concurrency &amp; storage</w:t>
      </w:r>
    </w:p>
    <w:p>
      <w:pPr>
        <w:pStyle w:val="ListBullet"/>
      </w:pPr>
      <w:r>
        <w:rPr>
          <w:b/>
        </w:rPr>
        <w:t xml:space="preserve">The chunked-request-body size limit had a real bug in an earlier version. </w:t>
      </w:r>
      <w:r>
        <w:t>An earlier middleware implementation read the request body incorrectly (via request._stream directly); it was rewritten as the current _body_size_limit middleware in main.py.</w:t>
      </w:r>
    </w:p>
    <w:p>
      <w:pPr>
        <w:pStyle w:val="ListBullet"/>
      </w:pPr>
      <w:r>
        <w:rPr>
          <w:b/>
        </w:rPr>
        <w:t xml:space="preserve">A langchain-core version drift broke test collection (2026-07-12). </w:t>
      </w:r>
      <w: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pPr>
      <w:r>
        <w:t>6.4 AI-generation correctness (server-side reconciliation)</w:t>
      </w:r>
    </w:p>
    <w:p>
      <w:pPr>
        <w:pStyle w:val="ListBullet"/>
      </w:pPr>
      <w:r>
        <w:rPr>
          <w:b/>
        </w:rPr>
        <w:t xml:space="preserve">Phase 3's “N/N scenarios covered” badge was an unverified AI self-report (fixed 2026-06-14). </w:t>
      </w:r>
      <w: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pPr>
      <w:r>
        <w:rPr>
          <w:b/>
        </w:rPr>
        <w:t xml:space="preserve">A runtime-conformance recompute clobbered legitimate existing scores. </w:t>
      </w:r>
      <w: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pPr>
      <w:r>
        <w:rPr>
          <w:b/>
        </w:rPr>
        <w:t xml:space="preserve">Prompt-cache prefix fragmentation was silently defeating Anthropic's prompt caching. </w:t>
      </w:r>
      <w: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pPr>
      <w:r>
        <w:rPr>
          <w:b/>
        </w:rPr>
        <w:t xml:space="preserve">A section-heading truncation bug cut a live production spec short (2026-07-04). </w:t>
      </w:r>
      <w: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pPr>
      <w:r>
        <w:rPr>
          <w:b/>
        </w:rPr>
        <w:t xml:space="preserve">rebuild_story_index over-broadly reset design lock status. </w:t>
      </w:r>
      <w: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pPr>
      <w:r>
        <w:rPr>
          <w:b/>
        </w:rPr>
        <w:t xml:space="preserve">Spec-drift flagging cascaded across an entire project on any edit (removed 2026-07-11 after user feedback). </w:t>
      </w:r>
      <w: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pPr>
      <w:r>
        <w:t>6.5 Frontend framework gotchas</w:t>
      </w:r>
    </w:p>
    <w:p>
      <w:pPr>
        <w:pStyle w:val="ListBullet"/>
      </w:pPr>
      <w:r>
        <w:rPr>
          <w:b/>
        </w:rPr>
        <w:t xml:space="preserve">TanStack Query silently drops mutation callbacks on unmount. </w:t>
      </w:r>
      <w: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pPr>
      <w:r>
        <w:rPr>
          <w:b/>
        </w:rPr>
        <w:t xml:space="preserve">useMemo/useCallback dependency omissions broke i18n reactivity. </w:t>
      </w:r>
      <w: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pPr>
      <w:r>
        <w:rPr>
          <w:b/>
        </w:rPr>
        <w:t xml:space="preserve">Reflex-era gotchas, from before the migration to Next.js/FastAPI. </w:t>
      </w:r>
      <w: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pPr>
      <w:r>
        <w:t>6.6 Third-party integration reliability</w:t>
      </w:r>
    </w:p>
    <w:p>
      <w:pPr>
        <w:pStyle w:val="ListBullet"/>
      </w:pPr>
      <w:r>
        <w:rPr>
          <w:b/>
        </w:rPr>
        <w:t xml:space="preserve">Figma's rate limit, once tripped, stayed tripped. </w:t>
      </w:r>
      <w: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pPr>
      <w:r>
        <w:rPr>
          <w:b/>
        </w:rPr>
        <w:t xml:space="preserve">Figma OAuth was built, then deliberately reverted. </w:t>
      </w:r>
      <w: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pPr>
      <w:r>
        <w:rPr>
          <w:b/>
        </w:rPr>
        <w:t xml:space="preserve">A stray file in the repo root turned out to be a live, untracked Figma token. </w:t>
      </w:r>
      <w:r>
        <w:t>Found during a routine review, flagged for deletion and revocation, and confirmed it had never been committed to the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