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 — Implementation, Testing, and Deployment Report</w:t>
      </w:r>
    </w:p>
    <w:p>
      <w:r>
        <w:rPr>
          <w:i/>
          <w:sz w:val="24"/>
        </w:rPr>
        <w:t>Internal + external engineering documentation for the MEIC-T thesis writeup</w:t>
      </w:r>
    </w:p>
    <w:p>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Bdr>
          <w:bottom w:val="single" w:sz="6" w:space="1" w:color="auto"/>
        </w:pBdr>
      </w:pPr>
    </w:p>
    <w:p>
      <w:pPr>
        <w:pStyle w:val="Heading1"/>
      </w:pPr>
      <w:r>
        <w:t>1. Purpose and Scope</w:t>
      </w:r>
    </w:p>
    <w:p>
      <w:r>
        <w:rPr>
          <w:b w:val="0"/>
          <w:i w:val="0"/>
        </w:rPr>
        <w:t>Interview feedback on Apex's academic presentation asked for real engineering documentation — implementation, testing, and deployment — beyond the product-facing README. This document is that record. It describes Apex as of this writing: a split-stack web application with 1,380 backend tests, 180 frontend unit tests, 17 end-to-end specs, and a five-stage CI/CD pipeline deploying to Azure Container Apps. Numbers and file paths in this document are a snapshot — the codebase continues to evolve, and specific counts should be re-verified rather than assumed to still hold if this document is read much later than it was written.</w:t>
      </w:r>
    </w:p>
    <w:p>
      <w:pPr>
        <w:pStyle w:val="Heading1"/>
      </w:pPr>
      <w:r>
        <w:t>2. Architecture and Implementation</w:t>
      </w:r>
    </w:p>
    <w:p>
      <w:pPr>
        <w:pStyle w:val="Heading2"/>
      </w:pPr>
      <w:r>
        <w:t>2.1 Split-stack overview</w:t>
      </w:r>
    </w:p>
    <w:p>
      <w:r>
        <w:rPr>
          <w:b w:val="0"/>
          <w:i w:val="0"/>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jc w:val="center"/>
      </w:pPr>
      <w:r>
        <w:drawing>
          <wp:inline xmlns:a="http://schemas.openxmlformats.org/drawingml/2006/main" xmlns:pic="http://schemas.openxmlformats.org/drawingml/2006/picture">
            <wp:extent cx="5760720" cy="161069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1610690"/>
                    </a:xfrm>
                    <a:prstGeom prst="rect"/>
                  </pic:spPr>
                </pic:pic>
              </a:graphicData>
            </a:graphic>
          </wp:inline>
        </w:drawing>
      </w:r>
    </w:p>
    <w:p>
      <w:pPr/>
      <w:r>
        <w:rPr>
          <w:i/>
          <w:sz w:val="18"/>
        </w:rPr>
        <w:t>Figure 1. Apex's system architecture — the Next.js 15 frontend, the FastAPI backend (single-writer), the SSRF-guarded Taiga/Jira/Figma/GitHub proxies, and spec-anchored storage under contextspec/&lt;instance_id&gt;/&lt;project_id&gt;/.</w:t>
      </w:r>
    </w:p>
    <w:p>
      <w:pPr>
        <w:jc w:val="center"/>
      </w:pPr>
      <w:r>
        <w:drawing>
          <wp:inline xmlns:a="http://schemas.openxmlformats.org/drawingml/2006/main" xmlns:pic="http://schemas.openxmlformats.org/drawingml/2006/picture">
            <wp:extent cx="3840480" cy="7351073"/>
            <wp:docPr id="2" name="Picture 2"/>
            <wp:cNvGraphicFramePr>
              <a:graphicFrameLocks noChangeAspect="1"/>
            </wp:cNvGraphicFramePr>
            <a:graphic>
              <a:graphicData uri="http://schemas.openxmlformats.org/drawingml/2006/picture">
                <pic:pic>
                  <pic:nvPicPr>
                    <pic:cNvPr id="0" name="user-flow.png"/>
                    <pic:cNvPicPr/>
                  </pic:nvPicPr>
                  <pic:blipFill>
                    <a:blip r:embed="rId10"/>
                    <a:stretch>
                      <a:fillRect/>
                    </a:stretch>
                  </pic:blipFill>
                  <pic:spPr>
                    <a:xfrm>
                      <a:off x="0" y="0"/>
                      <a:ext cx="3840480" cy="7351073"/>
                    </a:xfrm>
                    <a:prstGeom prst="rect"/>
                  </pic:spPr>
                </pic:pic>
              </a:graphicData>
            </a:graphic>
          </wp:inline>
        </w:drawing>
      </w:r>
    </w:p>
    <w:p>
      <w:pPr/>
      <w:r>
        <w:rPr>
          <w:i/>
          <w:sz w:val="18"/>
        </w:rPr>
        <w:t>Figure 2. A representative user flow through Apex, phase by phase, showing the actual frontend-to-backend request sequence per phase (POST /phaseN/... calls, AI Engine and PM tool interactions, and spec-store writes).</w:t>
      </w:r>
    </w:p>
    <w:p>
      <w:pPr>
        <w:pStyle w:val="Heading2"/>
      </w:pPr>
      <w:r>
        <w:t>2.2 Spec-anchored storage</w:t>
      </w:r>
    </w:p>
    <w:p>
      <w:r>
        <w:rPr>
          <w:b w:val="0"/>
          <w:i w:val="0"/>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pPr>
      <w:r>
        <w:t>2.3 Concurrency model: single writer by design</w:t>
      </w:r>
    </w:p>
    <w:p>
      <w:r>
        <w:rPr>
          <w:b w:val="0"/>
          <w:i w:val="0"/>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r>
        <w:rPr>
          <w:b w:val="0"/>
          <w:i w:val="0"/>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pPr>
      <w:r>
        <w:t>2.4 External integrations: proxy-first for security</w:t>
      </w:r>
    </w:p>
    <w:p>
      <w:r>
        <w:rPr>
          <w:b w:val="0"/>
          <w:i w:val="0"/>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pStyle w:val="Heading2"/>
      </w:pPr>
      <w:r>
        <w:t>2.5 AI provider abstraction</w:t>
      </w:r>
    </w:p>
    <w:p>
      <w:r>
        <w:rPr>
          <w:b w:val="0"/>
          <w:i w:val="0"/>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pPr>
      <w:r>
        <w:t>2.6 Bolt tracking</w:t>
      </w:r>
    </w:p>
    <w:p>
      <w:pPr/>
      <w:r>
        <w:rPr>
          <w:b w:val="0"/>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pStyle w:val="Heading1"/>
      </w:pPr>
      <w:r>
        <w:t>3. Testing Strategy</w:t>
      </w:r>
    </w:p>
    <w:p>
      <w:r>
        <w:rPr>
          <w:b w:val="0"/>
          <w:i w:val="0"/>
        </w:rPr>
        <w:t>Testing is layered by what each layer can actually catch, not run as one undifferentiated suite:</w:t>
      </w:r>
      <w:r>
        <w:t xml:space="preserve"> Coverage spans workflow logic, security boundaries, and product-specific state machines such as Bolt lifecycle tracking (§2.6) and its list/config/cycle-time-aggregation routes.</w:t>
      </w:r>
    </w:p>
    <w:p>
      <w:pPr>
        <w:pStyle w:val="Heading2"/>
      </w:pPr>
      <w:r>
        <w:t>3.1 Backend — pytest</w:t>
      </w:r>
    </w:p>
    <w:p>
      <w:r>
        <w:rPr>
          <w:b w:val="0"/>
          <w:i w:val="0"/>
        </w:rPr>
        <w:t>1,380 tests as of this writing (python -m pytest tests/ -v --tb=short), gated in CI before any Docker build is even attempted. Six autouse fixtures in tests/conftest.py remove entire categories of flaky-test risk by construction rather than by convention:</w:t>
      </w:r>
    </w:p>
    <w:p>
      <w:pPr>
        <w:pStyle w:val="ListBullet"/>
      </w:pPr>
      <w:r>
        <w:t>_disable_distributed — forces the Redis-off code path so tests never depend on network reachability to Upstash.</w:t>
      </w:r>
    </w:p>
    <w:p>
      <w:pPr>
        <w:pStyle w:val="ListBullet"/>
      </w:pPr>
      <w:r>
        <w:t>_bypass_pm_auth — skips real Taiga/Jira authentication so route tests exercise business logic, not third-party auth flows.</w:t>
      </w:r>
    </w:p>
    <w:p>
      <w:pPr>
        <w:pStyle w:val="ListBullet"/>
      </w:pPr>
      <w:r>
        <w:t>_reset_rate_limit_buckets — per-IP rate-limit state is process-local; without a reset, test order would leak between tests.</w:t>
      </w:r>
    </w:p>
    <w:p>
      <w:pPr>
        <w:pStyle w:val="ListBullet"/>
      </w:pPr>
      <w:r>
        <w:t>_force_local_storage — pins storage.py to local disk regardless of environment, so tests never accidentally touch Azure.</w:t>
      </w:r>
    </w:p>
    <w:p>
      <w:pPr>
        <w:pStyle w:val="ListBullet"/>
      </w:pPr>
      <w:r>
        <w:t>_isolate_active_context — resets the two ContextVars (_active_project_id, _active_instance_id) between tests, the same isolation mechanism production relies on per-request.</w:t>
      </w:r>
    </w:p>
    <w:p>
      <w:pPr>
        <w:pStyle w:val="ListBullet"/>
      </w:pPr>
      <w:r>
        <w:t>_reset_config_cache — clears the workspace-config TTL cache, another piece of per-process state that would otherwise bleed across tests.</w:t>
      </w:r>
    </w:p>
    <w:p>
      <w:r>
        <w:rPr>
          <w:b w:val="0"/>
          <w:i w:val="0"/>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pPr>
      <w:r>
        <w:t>3.2 Frontend — Vitest (unit) and Playwright (E2E)</w:t>
      </w:r>
    </w:p>
    <w:p>
      <w:r>
        <w:rPr>
          <w:b w:val="0"/>
          <w:i w:val="0"/>
        </w:rPr>
        <w:t>180 unit tests (Vitest) cover hooks, pure utility functions, and component rendering. 17 end-to-end specs (Playwright, Chromium) exercise one full phase flow each against mocked backend and Taiga APIs — critically, the mocking happens at the Chromium network layer (page.route()), not by swapping out modules in a Node test runner (MSW), because it needs to intercept requests the real browser makes during real navigation, matching what a user's browser actually does more closely than a Node-level module mock would.</w:t>
      </w:r>
    </w:p>
    <w:p>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pPr>
      <w:r>
        <w:t>3.3 CI gating structure</w:t>
      </w:r>
    </w:p>
    <w:p>
      <w:r>
        <w:rPr>
          <w:b w:val="0"/>
          <w:i w:val="0"/>
        </w:rP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w:t>
      </w:r>
    </w:p>
    <w:p>
      <w:pPr>
        <w:pStyle w:val="Heading1"/>
      </w:pPr>
      <w:r>
        <w:t>4. Deployment Pipeline</w:t>
      </w:r>
    </w:p>
    <w:p>
      <w:pPr>
        <w:pStyle w:val="Heading2"/>
      </w:pPr>
      <w:r>
        <w:t>4.1 Containerization</w:t>
      </w:r>
    </w:p>
    <w:p>
      <w:r>
        <w:rPr>
          <w:b w:val="0"/>
          <w:i w:val="0"/>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pPr>
      <w:r>
        <w:t>4.2 CI/CD pipeline</w:t>
      </w:r>
    </w:p>
    <w:p>
      <w:r>
        <w:rPr>
          <w:b w:val="0"/>
          <w:i w:val="0"/>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pPr>
      <w: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pPr>
      <w:r>
        <w:t>Updates both Container Apps to the new sha-tagged images.</w:t>
      </w:r>
    </w:p>
    <w:p>
      <w:pPr>
        <w:pStyle w:val="ListBullet"/>
      </w:pPr>
      <w:r>
        <w:t>Polls each app's health endpoint for up to two minutes.</w:t>
      </w:r>
    </w:p>
    <w:p>
      <w:pPr>
        <w:pStyle w:val="ListBullet"/>
      </w:pPr>
      <w:r>
        <w:t>On failure, automatically rolls both apps back to the image tags captured at the start — an automatic rollback, not a manual runbook step.</w:t>
      </w:r>
    </w:p>
    <w:p>
      <w:r>
        <w:rPr>
          <w:b w:val="0"/>
          <w:i w:val="0"/>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pPr>
      <w:r>
        <w:t>4.3 Cost-aware scaling</w:t>
      </w:r>
    </w:p>
    <w:p>
      <w:r>
        <w:rPr>
          <w:b w:val="0"/>
          <w:i w:val="0"/>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pPr>
      <w:r>
        <w:t>4.4 A distinct, feature-level deployment path</w:t>
      </w:r>
    </w:p>
    <w:p>
      <w:r>
        <w:rPr>
          <w:b w:val="0"/>
          <w:i w:val="0"/>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pPr>
      <w:r>
        <w:t>5. Honest Engineering Notes</w:t>
      </w:r>
    </w:p>
    <w:p>
      <w:pPr>
        <w:pStyle w:val="ListBullet"/>
      </w:pPr>
      <w: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already built and tested but not yet enabled in production.</w:t>
      </w:r>
    </w:p>
    <w:p>
      <w:pPr>
        <w:pStyle w:val="ListBullet"/>
      </w:pPr>
      <w: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pPr>
      <w:r>
        <w:t>Numbers in this document (1,380 backend tests, 180 frontend tests, 17 E2E specs) are a snapshot as of this writing and will drift as the codebase grows — re-run the counts (§1) rather than citing this document as the current figure without checking.</w:t>
      </w:r>
    </w:p>
    <w:p>
      <w:pPr>
        <w:pStyle w:val="ListBullet"/>
      </w:pPr>
      <w: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