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624"/>
      </w:tblGrid>
      <w:tr w:rsidR="00F31A56" w:rsidRPr="00F31A56" w:rsidTr="00F31A56">
        <w:trPr>
          <w:trHeight w:val="1803"/>
        </w:trPr>
        <w:tc>
          <w:tcPr>
            <w:tcW w:w="9524" w:type="dxa"/>
            <w:tcBorders>
              <w:top w:val="nil"/>
              <w:left w:val="nil"/>
              <w:bottom w:val="nil"/>
              <w:right w:val="nil"/>
            </w:tcBorders>
            <w:tcMar>
              <w:top w:w="28" w:type="dxa"/>
              <w:left w:w="102" w:type="dxa"/>
              <w:bottom w:w="28" w:type="dxa"/>
              <w:right w:w="102" w:type="dxa"/>
            </w:tcMar>
            <w:vAlign w:val="center"/>
          </w:tcPr>
          <w:p w:rsidR="00F31A56" w:rsidRPr="00F31A56" w:rsidRDefault="00F31A56" w:rsidP="00F31A56">
            <w:pPr>
              <w:widowControl/>
              <w:wordWrap/>
              <w:autoSpaceDE/>
              <w:autoSpaceDN/>
              <w:snapToGrid w:val="0"/>
              <w:spacing w:after="0" w:line="384" w:lineRule="auto"/>
              <w:jc w:val="center"/>
              <w:rPr>
                <w:rFonts w:ascii="바탕" w:eastAsia="바탕" w:hAnsi="바탕" w:cs="굴림"/>
                <w:color w:val="000000"/>
                <w:szCs w:val="20"/>
              </w:rPr>
            </w:pPr>
            <w:r>
              <w:rPr>
                <w:rFonts w:ascii="Arial" w:eastAsia="HY헤드라인M" w:hAnsi="Arial" w:cs="Arial"/>
                <w:b/>
                <w:bCs/>
                <w:noProof/>
                <w:sz w:val="30"/>
                <w:szCs w:val="30"/>
              </w:rPr>
              <w:drawing>
                <wp:inline distT="0" distB="0" distL="0" distR="0" wp14:anchorId="306015A7" wp14:editId="712B7FDB">
                  <wp:extent cx="5982237" cy="10818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154" cy="1083438"/>
                          </a:xfrm>
                          <a:prstGeom prst="rect">
                            <a:avLst/>
                          </a:prstGeom>
                          <a:noFill/>
                        </pic:spPr>
                      </pic:pic>
                    </a:graphicData>
                  </a:graphic>
                </wp:inline>
              </w:drawing>
            </w:r>
          </w:p>
        </w:tc>
      </w:tr>
    </w:tbl>
    <w:p w:rsidR="00F31A56" w:rsidRDefault="00F31A56" w:rsidP="00F31A56">
      <w:pPr>
        <w:pStyle w:val="a3"/>
        <w:spacing w:line="240" w:lineRule="auto"/>
        <w:rPr>
          <w:rFonts w:ascii="Arial" w:eastAsia="HY헤드라인M" w:hAnsi="Arial" w:cs="Arial"/>
          <w:b/>
          <w:bCs/>
          <w:color w:val="auto"/>
          <w:sz w:val="30"/>
          <w:szCs w:val="30"/>
        </w:rPr>
      </w:pPr>
    </w:p>
    <w:p w:rsidR="000E0B20" w:rsidRPr="009D02D8" w:rsidRDefault="00B2033F" w:rsidP="000E0B20">
      <w:pPr>
        <w:pStyle w:val="a3"/>
        <w:spacing w:line="240" w:lineRule="auto"/>
        <w:jc w:val="center"/>
        <w:rPr>
          <w:rFonts w:ascii="Arial" w:eastAsia="HY헤드라인M" w:hAnsi="Arial" w:cs="Arial"/>
          <w:b/>
          <w:bCs/>
          <w:color w:val="auto"/>
          <w:sz w:val="30"/>
          <w:szCs w:val="30"/>
        </w:rPr>
      </w:pPr>
      <w:r w:rsidRPr="009D02D8">
        <w:rPr>
          <w:rFonts w:ascii="Arial" w:eastAsia="HY헤드라인M" w:hAnsi="Arial" w:cs="Arial"/>
          <w:b/>
          <w:bCs/>
          <w:color w:val="auto"/>
          <w:sz w:val="30"/>
          <w:szCs w:val="30"/>
        </w:rPr>
        <w:t>Final Statement of t</w:t>
      </w:r>
      <w:r w:rsidR="000E0B20" w:rsidRPr="009D02D8">
        <w:rPr>
          <w:rFonts w:ascii="Arial" w:eastAsia="HY헤드라인M" w:hAnsi="Arial" w:cs="Arial"/>
          <w:b/>
          <w:bCs/>
          <w:color w:val="auto"/>
          <w:sz w:val="30"/>
          <w:szCs w:val="30"/>
        </w:rPr>
        <w:t>he Korean NCP</w:t>
      </w:r>
    </w:p>
    <w:p w:rsidR="000E0B20" w:rsidRPr="009D02D8" w:rsidRDefault="000E0B20" w:rsidP="000E0B20">
      <w:pPr>
        <w:pStyle w:val="a3"/>
        <w:spacing w:line="240" w:lineRule="auto"/>
        <w:jc w:val="center"/>
        <w:rPr>
          <w:rFonts w:ascii="Verdana" w:eastAsia="HY헤드라인M" w:hAnsi="Verdana" w:cs="HY헤드라인M"/>
          <w:b/>
          <w:bCs/>
          <w:color w:val="auto"/>
          <w:sz w:val="30"/>
          <w:szCs w:val="30"/>
        </w:rPr>
      </w:pPr>
      <w:proofErr w:type="gramStart"/>
      <w:r w:rsidRPr="009D02D8">
        <w:rPr>
          <w:rFonts w:ascii="Arial" w:eastAsia="HY헤드라인M" w:hAnsi="Arial" w:cs="Arial"/>
          <w:b/>
          <w:bCs/>
          <w:color w:val="auto"/>
          <w:sz w:val="30"/>
          <w:szCs w:val="30"/>
        </w:rPr>
        <w:t>for</w:t>
      </w:r>
      <w:proofErr w:type="gramEnd"/>
      <w:r w:rsidRPr="009D02D8">
        <w:rPr>
          <w:rFonts w:ascii="Arial" w:eastAsia="HY헤드라인M" w:hAnsi="Arial" w:cs="Arial"/>
          <w:b/>
          <w:bCs/>
          <w:color w:val="auto"/>
          <w:sz w:val="30"/>
          <w:szCs w:val="30"/>
        </w:rPr>
        <w:t xml:space="preserve"> the OECD Guidelines for Multinational Enterprises</w:t>
      </w:r>
    </w:p>
    <w:p w:rsidR="000E0B20" w:rsidRPr="00AB3533" w:rsidRDefault="000E0B20" w:rsidP="000E0B20">
      <w:pPr>
        <w:pStyle w:val="a3"/>
        <w:spacing w:line="240" w:lineRule="auto"/>
        <w:jc w:val="center"/>
        <w:rPr>
          <w:rFonts w:ascii="Verdana" w:eastAsia="HY헤드라인M" w:hAnsi="Verdana" w:cs="HY헤드라인M"/>
          <w:b/>
          <w:bCs/>
          <w:color w:val="auto"/>
          <w:sz w:val="30"/>
          <w:szCs w:val="30"/>
        </w:rPr>
      </w:pPr>
    </w:p>
    <w:p w:rsidR="000E0B20" w:rsidRPr="00AB3533" w:rsidRDefault="000E0B20" w:rsidP="000E0B20">
      <w:pPr>
        <w:pStyle w:val="a3"/>
        <w:spacing w:line="240" w:lineRule="auto"/>
        <w:rPr>
          <w:rFonts w:ascii="Arial" w:eastAsia="HY헤드라인M" w:hAnsi="Arial" w:cs="Arial"/>
          <w:b/>
          <w:bCs/>
          <w:color w:val="auto"/>
          <w:sz w:val="26"/>
          <w:szCs w:val="26"/>
        </w:rPr>
      </w:pPr>
    </w:p>
    <w:p w:rsidR="000E0B20" w:rsidRPr="00AB3533" w:rsidRDefault="00556E18" w:rsidP="000E0B20">
      <w:pPr>
        <w:pStyle w:val="a3"/>
        <w:spacing w:line="240" w:lineRule="auto"/>
        <w:jc w:val="center"/>
        <w:rPr>
          <w:rFonts w:ascii="Calibri" w:eastAsia="HY헤드라인M" w:hAnsi="Calibri" w:cs="Calibri"/>
          <w:b/>
          <w:bCs/>
          <w:color w:val="auto"/>
          <w:sz w:val="26"/>
          <w:szCs w:val="26"/>
        </w:rPr>
      </w:pPr>
      <w:r w:rsidRPr="00AB3533">
        <w:rPr>
          <w:rFonts w:ascii="Calibri" w:eastAsia="HY헤드라인M" w:hAnsi="Calibri" w:cs="Calibri"/>
          <w:b/>
          <w:bCs/>
          <w:color w:val="auto"/>
          <w:sz w:val="26"/>
          <w:szCs w:val="26"/>
        </w:rPr>
        <w:t>Complaint f</w:t>
      </w:r>
      <w:r w:rsidRPr="00AB3533">
        <w:rPr>
          <w:rFonts w:ascii="Calibri" w:eastAsia="HY헤드라인M" w:hAnsi="Calibri" w:cs="Calibri" w:hint="eastAsia"/>
          <w:b/>
          <w:bCs/>
          <w:color w:val="auto"/>
          <w:sz w:val="26"/>
          <w:szCs w:val="26"/>
        </w:rPr>
        <w:t>ro</w:t>
      </w:r>
      <w:r w:rsidR="000E0B20" w:rsidRPr="00AB3533">
        <w:rPr>
          <w:rFonts w:ascii="Calibri" w:eastAsia="HY헤드라인M" w:hAnsi="Calibri" w:cs="Calibri"/>
          <w:b/>
          <w:bCs/>
          <w:color w:val="auto"/>
          <w:sz w:val="26"/>
          <w:szCs w:val="26"/>
        </w:rPr>
        <w:t xml:space="preserve">m </w:t>
      </w:r>
      <w:r w:rsidR="001E1AB8" w:rsidRPr="00E42F33">
        <w:rPr>
          <w:rFonts w:ascii="Calibri" w:eastAsia="HY헤드라인M" w:hAnsi="Calibri" w:cs="Calibri" w:hint="eastAsia"/>
          <w:b/>
          <w:bCs/>
          <w:color w:val="auto"/>
          <w:sz w:val="26"/>
          <w:szCs w:val="26"/>
        </w:rPr>
        <w:t xml:space="preserve">the </w:t>
      </w:r>
      <w:r w:rsidR="00AC537A" w:rsidRPr="00E42F33">
        <w:rPr>
          <w:rFonts w:ascii="Calibri" w:eastAsia="HY헤드라인M" w:hAnsi="Calibri" w:cs="Calibri" w:hint="eastAsia"/>
          <w:b/>
          <w:bCs/>
          <w:color w:val="auto"/>
          <w:sz w:val="26"/>
          <w:szCs w:val="26"/>
        </w:rPr>
        <w:t>W</w:t>
      </w:r>
      <w:r w:rsidR="000E0B20" w:rsidRPr="00E42F33">
        <w:rPr>
          <w:rFonts w:ascii="Calibri" w:eastAsia="HY헤드라인M" w:hAnsi="Calibri" w:cs="Calibri"/>
          <w:b/>
          <w:bCs/>
          <w:color w:val="auto"/>
          <w:sz w:val="26"/>
          <w:szCs w:val="26"/>
        </w:rPr>
        <w:t xml:space="preserve">orkers’ </w:t>
      </w:r>
      <w:r w:rsidR="00AC537A" w:rsidRPr="00E42F33">
        <w:rPr>
          <w:rFonts w:ascii="Calibri" w:eastAsia="HY헤드라인M" w:hAnsi="Calibri" w:cs="Calibri" w:hint="eastAsia"/>
          <w:b/>
          <w:bCs/>
          <w:color w:val="auto"/>
          <w:sz w:val="26"/>
          <w:szCs w:val="26"/>
        </w:rPr>
        <w:t>U</w:t>
      </w:r>
      <w:r w:rsidR="000E0B20" w:rsidRPr="00E42F33">
        <w:rPr>
          <w:rFonts w:ascii="Calibri" w:eastAsia="HY헤드라인M" w:hAnsi="Calibri" w:cs="Calibri"/>
          <w:b/>
          <w:bCs/>
          <w:color w:val="auto"/>
          <w:sz w:val="26"/>
          <w:szCs w:val="26"/>
        </w:rPr>
        <w:t xml:space="preserve">nion of </w:t>
      </w:r>
      <w:r w:rsidR="001E1AB8">
        <w:rPr>
          <w:rFonts w:ascii="Calibri" w:eastAsia="HY헤드라인M" w:hAnsi="Calibri" w:cs="Calibri" w:hint="eastAsia"/>
          <w:b/>
          <w:bCs/>
          <w:color w:val="auto"/>
          <w:sz w:val="26"/>
          <w:szCs w:val="26"/>
        </w:rPr>
        <w:t xml:space="preserve">Corning Inc. </w:t>
      </w:r>
      <w:r w:rsidR="007662B6">
        <w:rPr>
          <w:rFonts w:ascii="Calibri" w:eastAsia="HY헤드라인M" w:hAnsi="Calibri" w:cs="Calibri"/>
          <w:b/>
          <w:bCs/>
          <w:color w:val="auto"/>
          <w:sz w:val="26"/>
          <w:szCs w:val="26"/>
        </w:rPr>
        <w:t xml:space="preserve">&amp; </w:t>
      </w:r>
      <w:r w:rsidR="001E1AB8">
        <w:rPr>
          <w:rFonts w:ascii="Calibri" w:eastAsia="HY헤드라인M" w:hAnsi="Calibri" w:cs="Calibri" w:hint="eastAsia"/>
          <w:b/>
          <w:bCs/>
          <w:color w:val="auto"/>
          <w:sz w:val="26"/>
          <w:szCs w:val="26"/>
        </w:rPr>
        <w:t>Corning</w:t>
      </w:r>
      <w:r w:rsidR="000E0B20" w:rsidRPr="00AB3533">
        <w:rPr>
          <w:rFonts w:ascii="Calibri" w:eastAsia="HY헤드라인M" w:hAnsi="Calibri" w:cs="Calibri"/>
          <w:b/>
          <w:bCs/>
          <w:color w:val="auto"/>
          <w:sz w:val="26"/>
          <w:szCs w:val="26"/>
        </w:rPr>
        <w:t xml:space="preserve"> </w:t>
      </w:r>
      <w:r w:rsidR="001E1AB8">
        <w:rPr>
          <w:rFonts w:ascii="Calibri" w:eastAsia="HY헤드라인M" w:hAnsi="Calibri" w:cs="Calibri" w:hint="eastAsia"/>
          <w:b/>
          <w:bCs/>
          <w:color w:val="auto"/>
          <w:sz w:val="26"/>
          <w:szCs w:val="26"/>
        </w:rPr>
        <w:t>Inc</w:t>
      </w:r>
      <w:r w:rsidR="000E0B20" w:rsidRPr="00AB3533">
        <w:rPr>
          <w:rFonts w:ascii="Calibri" w:eastAsia="HY헤드라인M" w:hAnsi="Calibri" w:cs="Calibri"/>
          <w:b/>
          <w:bCs/>
          <w:color w:val="auto"/>
          <w:sz w:val="26"/>
          <w:szCs w:val="26"/>
        </w:rPr>
        <w:t>.</w:t>
      </w:r>
    </w:p>
    <w:p w:rsidR="00520F91" w:rsidRPr="00AC537A" w:rsidRDefault="00520F91" w:rsidP="000E0B20">
      <w:pPr>
        <w:pStyle w:val="a3"/>
        <w:spacing w:line="240" w:lineRule="auto"/>
        <w:jc w:val="center"/>
        <w:rPr>
          <w:rFonts w:ascii="Vrinda" w:eastAsia="HY헤드라인M" w:hAnsi="Vrinda" w:cs="Vrinda" w:hint="eastAsia"/>
          <w:b/>
          <w:bCs/>
          <w:color w:val="auto"/>
          <w:sz w:val="26"/>
          <w:szCs w:val="26"/>
        </w:rPr>
      </w:pPr>
    </w:p>
    <w:tbl>
      <w:tblPr>
        <w:tblStyle w:val="a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520F91" w:rsidRPr="00AB3533" w:rsidTr="00520F91">
        <w:tc>
          <w:tcPr>
            <w:tcW w:w="9836" w:type="dxa"/>
          </w:tcPr>
          <w:p w:rsidR="00AB3533" w:rsidRDefault="001E1AB8" w:rsidP="00F31A56">
            <w:pPr>
              <w:pStyle w:val="a3"/>
              <w:spacing w:line="240" w:lineRule="auto"/>
              <w:jc w:val="center"/>
              <w:rPr>
                <w:rFonts w:ascii="Vrinda" w:eastAsia="HY헤드라인M" w:hAnsi="Vrinda" w:cs="Vrinda" w:hint="eastAsia"/>
                <w:b/>
                <w:bCs/>
                <w:color w:val="auto"/>
                <w:sz w:val="26"/>
                <w:szCs w:val="26"/>
              </w:rPr>
            </w:pPr>
            <w:r>
              <w:rPr>
                <w:rFonts w:ascii="Vrinda" w:eastAsia="HY헤드라인M" w:hAnsi="Vrinda" w:cs="Vrinda" w:hint="eastAsia"/>
                <w:b/>
                <w:bCs/>
                <w:color w:val="auto"/>
                <w:sz w:val="26"/>
                <w:szCs w:val="26"/>
              </w:rPr>
              <w:t>August</w:t>
            </w:r>
            <w:r w:rsidR="00F31A56">
              <w:rPr>
                <w:rFonts w:ascii="Vrinda" w:eastAsia="HY헤드라인M" w:hAnsi="Vrinda" w:cs="Vrinda" w:hint="eastAsia"/>
                <w:b/>
                <w:bCs/>
                <w:color w:val="auto"/>
                <w:sz w:val="26"/>
                <w:szCs w:val="26"/>
              </w:rPr>
              <w:t xml:space="preserve"> </w:t>
            </w:r>
            <w:r>
              <w:rPr>
                <w:rFonts w:ascii="Vrinda" w:eastAsia="HY헤드라인M" w:hAnsi="Vrinda" w:cs="Vrinda" w:hint="eastAsia"/>
                <w:b/>
                <w:bCs/>
                <w:color w:val="auto"/>
                <w:sz w:val="26"/>
                <w:szCs w:val="26"/>
              </w:rPr>
              <w:t>16</w:t>
            </w:r>
            <w:r w:rsidR="00F31A56">
              <w:rPr>
                <w:rFonts w:ascii="Vrinda" w:eastAsia="HY헤드라인M" w:hAnsi="Vrinda" w:cs="Vrinda" w:hint="eastAsia"/>
                <w:b/>
                <w:bCs/>
                <w:color w:val="auto"/>
                <w:sz w:val="26"/>
                <w:szCs w:val="26"/>
              </w:rPr>
              <w:t>, 201</w:t>
            </w:r>
            <w:r>
              <w:rPr>
                <w:rFonts w:ascii="Vrinda" w:eastAsia="HY헤드라인M" w:hAnsi="Vrinda" w:cs="Vrinda" w:hint="eastAsia"/>
                <w:b/>
                <w:bCs/>
                <w:color w:val="auto"/>
                <w:sz w:val="26"/>
                <w:szCs w:val="26"/>
              </w:rPr>
              <w:t>8</w:t>
            </w:r>
          </w:p>
          <w:p w:rsidR="00F31A56" w:rsidRPr="00AB3533" w:rsidRDefault="00F31A56" w:rsidP="00F31A56">
            <w:pPr>
              <w:pStyle w:val="a3"/>
              <w:spacing w:line="240" w:lineRule="auto"/>
              <w:jc w:val="center"/>
              <w:rPr>
                <w:rFonts w:ascii="Vrinda" w:eastAsia="HY헤드라인M" w:hAnsi="Vrinda" w:cs="Vrinda" w:hint="eastAsia"/>
                <w:b/>
                <w:bCs/>
                <w:color w:val="auto"/>
                <w:sz w:val="26"/>
                <w:szCs w:val="26"/>
              </w:rPr>
            </w:pPr>
          </w:p>
        </w:tc>
      </w:tr>
    </w:tbl>
    <w:p w:rsidR="00B2033F" w:rsidRPr="006958B7" w:rsidRDefault="00B2033F" w:rsidP="006958B7">
      <w:pPr>
        <w:pStyle w:val="af"/>
      </w:pPr>
    </w:p>
    <w:p w:rsidR="006958B7" w:rsidRPr="006958B7" w:rsidRDefault="006958B7" w:rsidP="006958B7">
      <w:pPr>
        <w:pStyle w:val="af"/>
      </w:pPr>
    </w:p>
    <w:p w:rsidR="001A0021" w:rsidRPr="006958B7" w:rsidRDefault="0095358A" w:rsidP="006958B7">
      <w:pPr>
        <w:rPr>
          <w:b/>
        </w:rPr>
      </w:pPr>
      <w:r w:rsidRPr="006958B7">
        <w:rPr>
          <w:b/>
        </w:rPr>
        <w:t>1. Introduction</w:t>
      </w:r>
    </w:p>
    <w:p w:rsidR="001A0021" w:rsidRPr="006958B7" w:rsidRDefault="001A0021" w:rsidP="006958B7">
      <w:pPr>
        <w:pStyle w:val="af"/>
      </w:pPr>
    </w:p>
    <w:p w:rsidR="001A0021" w:rsidRPr="00E42F33" w:rsidRDefault="001A0021" w:rsidP="006958B7">
      <w:r w:rsidRPr="00005A0C">
        <w:rPr>
          <w:spacing w:val="-2"/>
        </w:rPr>
        <w:t>The OECD Guidelines for Multinational Enterprises (hereinafter “the Guidelines”</w:t>
      </w:r>
      <w:r w:rsidRPr="00005A0C">
        <w:t xml:space="preserve">) are </w:t>
      </w:r>
      <w:r w:rsidR="00520F91" w:rsidRPr="00005A0C">
        <w:rPr>
          <w:rFonts w:hint="eastAsia"/>
        </w:rPr>
        <w:t xml:space="preserve">a set of </w:t>
      </w:r>
      <w:r w:rsidR="007662B6" w:rsidRPr="00005A0C">
        <w:t xml:space="preserve">recommendations aimed </w:t>
      </w:r>
      <w:r w:rsidR="007662B6" w:rsidRPr="00005A0C">
        <w:rPr>
          <w:rFonts w:hint="eastAsia"/>
        </w:rPr>
        <w:t>at</w:t>
      </w:r>
      <w:r w:rsidR="007662B6" w:rsidRPr="00005A0C">
        <w:t xml:space="preserve"> minimiz</w:t>
      </w:r>
      <w:r w:rsidR="007662B6" w:rsidRPr="00005A0C">
        <w:rPr>
          <w:rFonts w:hint="eastAsia"/>
        </w:rPr>
        <w:t>ing</w:t>
      </w:r>
      <w:r w:rsidRPr="00005A0C">
        <w:t xml:space="preserve"> adverse impact</w:t>
      </w:r>
      <w:r w:rsidR="007662B6" w:rsidRPr="00005A0C">
        <w:rPr>
          <w:rFonts w:hint="eastAsia"/>
        </w:rPr>
        <w:t>s</w:t>
      </w:r>
      <w:r w:rsidRPr="00005A0C">
        <w:t xml:space="preserve"> from the activities of m</w:t>
      </w:r>
      <w:r w:rsidR="007662B6" w:rsidRPr="00005A0C">
        <w:t xml:space="preserve">ultinational enterprises and </w:t>
      </w:r>
      <w:r w:rsidRPr="006958B7">
        <w:t>strengthen</w:t>
      </w:r>
      <w:r w:rsidR="007662B6" w:rsidRPr="006958B7">
        <w:rPr>
          <w:rFonts w:hint="eastAsia"/>
        </w:rPr>
        <w:t>ing</w:t>
      </w:r>
      <w:r w:rsidRPr="006958B7">
        <w:t xml:space="preserve"> </w:t>
      </w:r>
      <w:r w:rsidRPr="00E42F33">
        <w:t xml:space="preserve">their </w:t>
      </w:r>
      <w:r w:rsidR="001E1AB8" w:rsidRPr="00E42F33">
        <w:t>responsible</w:t>
      </w:r>
      <w:r w:rsidR="001E1AB8" w:rsidRPr="00E42F33">
        <w:rPr>
          <w:rFonts w:hint="eastAsia"/>
        </w:rPr>
        <w:t xml:space="preserve"> </w:t>
      </w:r>
      <w:r w:rsidR="001E1AB8" w:rsidRPr="00E42F33">
        <w:t>business</w:t>
      </w:r>
      <w:r w:rsidR="001E1AB8" w:rsidRPr="00E42F33">
        <w:rPr>
          <w:rFonts w:hint="eastAsia"/>
        </w:rPr>
        <w:t xml:space="preserve"> conducts</w:t>
      </w:r>
      <w:r w:rsidRPr="00E42F33">
        <w:t>.</w:t>
      </w:r>
    </w:p>
    <w:p w:rsidR="001A0021" w:rsidRPr="00E42F33" w:rsidRDefault="001A0021" w:rsidP="006958B7">
      <w:pPr>
        <w:pStyle w:val="af"/>
      </w:pPr>
    </w:p>
    <w:p w:rsidR="001A0021" w:rsidRPr="00E42F33" w:rsidRDefault="001A0021" w:rsidP="006958B7">
      <w:r w:rsidRPr="00E42F33">
        <w:t>To ensure the effectivenes</w:t>
      </w:r>
      <w:r w:rsidR="000C4A65" w:rsidRPr="00E42F33">
        <w:t xml:space="preserve">s of the Guidelines, the </w:t>
      </w:r>
      <w:r w:rsidRPr="00E42F33">
        <w:t>government</w:t>
      </w:r>
      <w:r w:rsidR="000C4A65" w:rsidRPr="00E42F33">
        <w:rPr>
          <w:rFonts w:hint="eastAsia"/>
        </w:rPr>
        <w:t xml:space="preserve"> of Republic of Korea</w:t>
      </w:r>
      <w:r w:rsidRPr="00E42F33">
        <w:t xml:space="preserve"> established the Korean National Contact Point (KNCP) in 200</w:t>
      </w:r>
      <w:r w:rsidR="003F6159" w:rsidRPr="00E42F33">
        <w:rPr>
          <w:rFonts w:hint="eastAsia"/>
        </w:rPr>
        <w:t>1</w:t>
      </w:r>
      <w:r w:rsidR="007662B6" w:rsidRPr="00E42F33">
        <w:rPr>
          <w:rFonts w:hint="eastAsia"/>
        </w:rPr>
        <w:t xml:space="preserve"> to </w:t>
      </w:r>
      <w:r w:rsidR="00520F91" w:rsidRPr="00E42F33">
        <w:rPr>
          <w:rFonts w:hint="eastAsia"/>
        </w:rPr>
        <w:t>promote the Guidelines and dea</w:t>
      </w:r>
      <w:r w:rsidR="007662B6" w:rsidRPr="00E42F33">
        <w:rPr>
          <w:rFonts w:hint="eastAsia"/>
        </w:rPr>
        <w:t>l</w:t>
      </w:r>
      <w:r w:rsidR="0095358A" w:rsidRPr="00E42F33">
        <w:rPr>
          <w:rFonts w:hint="eastAsia"/>
        </w:rPr>
        <w:t xml:space="preserve"> with issues </w:t>
      </w:r>
      <w:r w:rsidR="00556E18" w:rsidRPr="00E42F33">
        <w:rPr>
          <w:rFonts w:hint="eastAsia"/>
        </w:rPr>
        <w:t>concerning</w:t>
      </w:r>
      <w:r w:rsidR="0095358A" w:rsidRPr="00E42F33">
        <w:rPr>
          <w:rFonts w:hint="eastAsia"/>
        </w:rPr>
        <w:t xml:space="preserve"> their implementation in specific instances.</w:t>
      </w:r>
    </w:p>
    <w:p w:rsidR="00966D9B" w:rsidRPr="00E42F33" w:rsidRDefault="00966D9B" w:rsidP="006958B7">
      <w:pPr>
        <w:pStyle w:val="af"/>
      </w:pPr>
    </w:p>
    <w:p w:rsidR="0095358A" w:rsidRPr="00E42F33" w:rsidRDefault="0095358A" w:rsidP="006958B7">
      <w:pPr>
        <w:pStyle w:val="af"/>
      </w:pPr>
    </w:p>
    <w:p w:rsidR="001A0021" w:rsidRPr="00E42F33" w:rsidRDefault="001A0021" w:rsidP="006958B7">
      <w:pPr>
        <w:rPr>
          <w:b/>
        </w:rPr>
      </w:pPr>
      <w:r w:rsidRPr="00E42F33">
        <w:rPr>
          <w:b/>
        </w:rPr>
        <w:t>2. Substance of the Specific Instance</w:t>
      </w:r>
    </w:p>
    <w:p w:rsidR="001A0021" w:rsidRPr="00E42F33" w:rsidRDefault="001A0021" w:rsidP="006958B7">
      <w:pPr>
        <w:pStyle w:val="af"/>
      </w:pPr>
    </w:p>
    <w:p w:rsidR="00DC7396" w:rsidRPr="00E42F33" w:rsidRDefault="00DC7396" w:rsidP="006958B7">
      <w:r w:rsidRPr="00E42F33">
        <w:t>On August 17,</w:t>
      </w:r>
      <w:r w:rsidRPr="00E42F33">
        <w:rPr>
          <w:rFonts w:hint="eastAsia"/>
        </w:rPr>
        <w:t xml:space="preserve"> 2017, the </w:t>
      </w:r>
      <w:r w:rsidR="00AC537A" w:rsidRPr="00E42F33">
        <w:rPr>
          <w:rFonts w:hint="eastAsia"/>
        </w:rPr>
        <w:t>W</w:t>
      </w:r>
      <w:r w:rsidRPr="00E42F33">
        <w:rPr>
          <w:rFonts w:hint="eastAsia"/>
        </w:rPr>
        <w:t>orkers</w:t>
      </w:r>
      <w:r w:rsidRPr="00E42F33">
        <w:t>’</w:t>
      </w:r>
      <w:r w:rsidRPr="00E42F33">
        <w:rPr>
          <w:rFonts w:hint="eastAsia"/>
        </w:rPr>
        <w:t xml:space="preserve"> </w:t>
      </w:r>
      <w:r w:rsidR="00AC537A" w:rsidRPr="00E42F33">
        <w:rPr>
          <w:rFonts w:hint="eastAsia"/>
        </w:rPr>
        <w:t>U</w:t>
      </w:r>
      <w:r w:rsidRPr="00E42F33">
        <w:rPr>
          <w:rFonts w:hint="eastAsia"/>
        </w:rPr>
        <w:t>nion</w:t>
      </w:r>
      <w:r w:rsidR="007A1947" w:rsidRPr="00E42F33">
        <w:rPr>
          <w:rFonts w:hint="eastAsia"/>
        </w:rPr>
        <w:t xml:space="preserve"> of Corning Inc.</w:t>
      </w:r>
      <w:r w:rsidRPr="00E42F33">
        <w:rPr>
          <w14:shadow w14:blurRad="50800" w14:dist="38100" w14:dir="2700000" w14:sx="100000" w14:sy="100000" w14:kx="0" w14:ky="0" w14:algn="tl">
            <w14:srgbClr w14:val="000000">
              <w14:alpha w14:val="60000"/>
            </w14:srgbClr>
          </w14:shadow>
        </w:rPr>
        <w:t xml:space="preserve"> </w:t>
      </w:r>
      <w:r w:rsidRPr="00E42F33">
        <w:t xml:space="preserve">(hereinafter “the Union” or “Complainant”) submitted a Specific Instance with the KNCP, alleging that Corning Inc. (hereinafter “Corning” or “Respondents”) acted inconsistently with the Guidelines. </w:t>
      </w:r>
    </w:p>
    <w:p w:rsidR="006958B7" w:rsidRPr="00E42F33" w:rsidRDefault="006958B7" w:rsidP="006958B7">
      <w:pPr>
        <w:pStyle w:val="af"/>
      </w:pPr>
    </w:p>
    <w:p w:rsidR="00DC7396" w:rsidRPr="00E42F33" w:rsidRDefault="00DC7396" w:rsidP="00DC7396">
      <w:r w:rsidRPr="00E42F33">
        <w:t>On September 30, 2017, Complainant submitted an additional written opinion, and Respondents submitted responses accordingly to the KNCP on September 8, 2017 and October 17, 2017 respectively.</w:t>
      </w:r>
    </w:p>
    <w:p w:rsidR="006958B7" w:rsidRPr="00E42F33" w:rsidRDefault="006958B7" w:rsidP="006958B7">
      <w:pPr>
        <w:pStyle w:val="af"/>
      </w:pPr>
    </w:p>
    <w:p w:rsidR="001E1AB8" w:rsidRPr="007A1947" w:rsidRDefault="00DC7396" w:rsidP="006958B7">
      <w:r w:rsidRPr="00E42F33">
        <w:t>Compla</w:t>
      </w:r>
      <w:r w:rsidR="00E13CFD" w:rsidRPr="00E42F33">
        <w:rPr>
          <w:rFonts w:eastAsia="바탕"/>
        </w:rPr>
        <w:t>i</w:t>
      </w:r>
      <w:r w:rsidRPr="00E42F33">
        <w:t>n</w:t>
      </w:r>
      <w:r w:rsidR="00E13CFD" w:rsidRPr="00E42F33">
        <w:rPr>
          <w:rFonts w:hint="eastAsia"/>
        </w:rPr>
        <w:t>an</w:t>
      </w:r>
      <w:r w:rsidRPr="00E42F33">
        <w:t xml:space="preserve">t </w:t>
      </w:r>
      <w:r w:rsidR="00AC537A" w:rsidRPr="00E42F33">
        <w:rPr>
          <w:rFonts w:hint="eastAsia"/>
        </w:rPr>
        <w:t>primarily</w:t>
      </w:r>
      <w:r w:rsidRPr="00E42F33">
        <w:t xml:space="preserve"> alleged that the Respondent did not “observe standards of employment and industrial relations not less </w:t>
      </w:r>
      <w:proofErr w:type="spellStart"/>
      <w:r w:rsidRPr="00E42F33">
        <w:t>favo</w:t>
      </w:r>
      <w:r w:rsidR="004148F7" w:rsidRPr="00E42F33">
        <w:rPr>
          <w:rFonts w:hint="eastAsia"/>
        </w:rPr>
        <w:t>u</w:t>
      </w:r>
      <w:r w:rsidRPr="00E42F33">
        <w:t>rable</w:t>
      </w:r>
      <w:proofErr w:type="spellEnd"/>
      <w:r w:rsidRPr="00E42F33">
        <w:t xml:space="preserve"> than those observed by comparable employers in the host country” by failing to provide </w:t>
      </w:r>
      <w:r w:rsidR="00AC537A" w:rsidRPr="00E42F33">
        <w:rPr>
          <w:rFonts w:hint="eastAsia"/>
        </w:rPr>
        <w:t xml:space="preserve">a </w:t>
      </w:r>
      <w:r w:rsidRPr="00E42F33">
        <w:t>time and place for bargaining (</w:t>
      </w:r>
      <w:r w:rsidR="00E42F33" w:rsidRPr="00E42F33">
        <w:rPr>
          <w:rFonts w:hint="eastAsia"/>
        </w:rPr>
        <w:t>v</w:t>
      </w:r>
      <w:r w:rsidRPr="00E42F33">
        <w:t>iolation</w:t>
      </w:r>
      <w:r w:rsidR="00E42F33">
        <w:rPr>
          <w:rFonts w:hint="eastAsia"/>
        </w:rPr>
        <w:t xml:space="preserve"> </w:t>
      </w:r>
      <w:r w:rsidRPr="00E42F33">
        <w:t>of</w:t>
      </w:r>
      <w:r w:rsidR="00E42F33">
        <w:rPr>
          <w:rFonts w:hint="eastAsia"/>
        </w:rPr>
        <w:t xml:space="preserve"> </w:t>
      </w:r>
      <w:r w:rsidRPr="00E42F33">
        <w:t xml:space="preserve">Guideline </w:t>
      </w:r>
      <w:r w:rsidRPr="007A1947">
        <w:t>V. 4. a)</w:t>
      </w:r>
      <w:r w:rsidR="00AC537A">
        <w:rPr>
          <w:rFonts w:hint="eastAsia"/>
        </w:rPr>
        <w:t>.</w:t>
      </w:r>
    </w:p>
    <w:p w:rsidR="001A0021" w:rsidRPr="006958B7" w:rsidRDefault="001A0021" w:rsidP="006958B7">
      <w:pPr>
        <w:rPr>
          <w:b/>
        </w:rPr>
      </w:pPr>
      <w:r w:rsidRPr="006958B7">
        <w:rPr>
          <w:b/>
        </w:rPr>
        <w:lastRenderedPageBreak/>
        <w:t>3. Proceedings of the NCP</w:t>
      </w:r>
    </w:p>
    <w:p w:rsidR="001A0021" w:rsidRPr="00005A0C" w:rsidRDefault="001A0021" w:rsidP="00711C1D"/>
    <w:p w:rsidR="001A0021" w:rsidRPr="00B84DDB" w:rsidRDefault="006D11E2" w:rsidP="006958B7">
      <w:pPr>
        <w:rPr>
          <w:i/>
        </w:rPr>
      </w:pPr>
      <w:r w:rsidRPr="00005A0C">
        <w:rPr>
          <w:rFonts w:hint="eastAsia"/>
        </w:rPr>
        <w:t>The</w:t>
      </w:r>
      <w:r w:rsidR="001A0021" w:rsidRPr="00005A0C">
        <w:t xml:space="preserve"> Guidelines</w:t>
      </w:r>
      <w:r w:rsidRPr="00005A0C">
        <w:rPr>
          <w:rFonts w:hint="eastAsia"/>
        </w:rPr>
        <w:t xml:space="preserve"> state</w:t>
      </w:r>
      <w:r w:rsidR="001A0021" w:rsidRPr="00005A0C">
        <w:t xml:space="preserve"> </w:t>
      </w:r>
      <w:r w:rsidR="00E25700" w:rsidRPr="00B84DDB">
        <w:rPr>
          <w:i/>
        </w:rPr>
        <w:t>“</w:t>
      </w:r>
      <w:r w:rsidR="00E25700" w:rsidRPr="00B84DDB">
        <w:rPr>
          <w:rFonts w:hint="eastAsia"/>
          <w:i/>
        </w:rPr>
        <w:t>I</w:t>
      </w:r>
      <w:r w:rsidR="001A0021" w:rsidRPr="00B84DDB">
        <w:rPr>
          <w:i/>
        </w:rPr>
        <w:t xml:space="preserve">n making an initial assessment of whether </w:t>
      </w:r>
      <w:r w:rsidR="001A0021" w:rsidRPr="00E42F33">
        <w:rPr>
          <w:i/>
        </w:rPr>
        <w:t xml:space="preserve">the issue </w:t>
      </w:r>
      <w:r w:rsidR="002C4234" w:rsidRPr="00E42F33">
        <w:rPr>
          <w:rFonts w:eastAsia="바탕"/>
          <w:i/>
        </w:rPr>
        <w:t>raised</w:t>
      </w:r>
      <w:r w:rsidR="002C4234" w:rsidRPr="00E42F33">
        <w:rPr>
          <w:rFonts w:ascii="바탕" w:eastAsia="바탕" w:hAnsi="바탕" w:cs="바탕" w:hint="eastAsia"/>
          <w:i/>
        </w:rPr>
        <w:t xml:space="preserve"> </w:t>
      </w:r>
      <w:r w:rsidR="001A0021" w:rsidRPr="00E42F33">
        <w:rPr>
          <w:i/>
        </w:rPr>
        <w:t>merits further examination, the NCP will need to determine whether the</w:t>
      </w:r>
      <w:r w:rsidR="002C4234" w:rsidRPr="00E42F33">
        <w:rPr>
          <w:rFonts w:hint="eastAsia"/>
          <w:i/>
        </w:rPr>
        <w:t xml:space="preserve"> issue</w:t>
      </w:r>
      <w:r w:rsidR="001A0021" w:rsidRPr="00E42F33">
        <w:rPr>
          <w:i/>
        </w:rPr>
        <w:t xml:space="preserve"> is bona fide and relevant to the implementation of the Guidelines. In this context, the NCP will take into account:</w:t>
      </w:r>
    </w:p>
    <w:p w:rsidR="001A0021" w:rsidRPr="00005A0C" w:rsidRDefault="001A0021" w:rsidP="00CA4A4B">
      <w:pPr>
        <w:pStyle w:val="af"/>
      </w:pP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T</w:t>
      </w:r>
      <w:r w:rsidR="001A0021" w:rsidRPr="00005A0C">
        <w:rPr>
          <w:rFonts w:ascii="Times New Roman" w:eastAsia="휴먼명조" w:hAnsi="Times New Roman" w:cs="Times New Roman"/>
          <w:i/>
          <w:color w:val="auto"/>
        </w:rPr>
        <w:t>he identity of the party concerned and its interest in the matter.</w:t>
      </w: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W</w:t>
      </w:r>
      <w:r w:rsidR="001A0021" w:rsidRPr="00005A0C">
        <w:rPr>
          <w:rFonts w:ascii="Times New Roman" w:eastAsia="휴먼명조" w:hAnsi="Times New Roman" w:cs="Times New Roman"/>
          <w:i/>
          <w:color w:val="auto"/>
        </w:rPr>
        <w:t>hether the issue is material and substantiated.</w:t>
      </w: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W</w:t>
      </w:r>
      <w:r w:rsidR="001A0021" w:rsidRPr="00005A0C">
        <w:rPr>
          <w:rFonts w:ascii="Times New Roman" w:eastAsia="휴먼명조" w:hAnsi="Times New Roman" w:cs="Times New Roman"/>
          <w:i/>
          <w:color w:val="auto"/>
        </w:rPr>
        <w:t>hether there seems to be a link between the enterprise’s activities and the issue raised in the specific instance</w:t>
      </w: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T</w:t>
      </w:r>
      <w:r w:rsidR="001A0021" w:rsidRPr="00005A0C">
        <w:rPr>
          <w:rFonts w:ascii="Times New Roman" w:eastAsia="휴먼명조" w:hAnsi="Times New Roman" w:cs="Times New Roman"/>
          <w:i/>
          <w:color w:val="auto"/>
        </w:rPr>
        <w:t>he relevance of applicable law and procedures, including court rulings</w:t>
      </w: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H</w:t>
      </w:r>
      <w:r w:rsidR="001A0021" w:rsidRPr="00005A0C">
        <w:rPr>
          <w:rFonts w:ascii="Times New Roman" w:eastAsia="휴먼명조" w:hAnsi="Times New Roman" w:cs="Times New Roman"/>
          <w:i/>
          <w:color w:val="auto"/>
        </w:rPr>
        <w:t>ow similar issues have been, or are being treated in other domestic or international</w:t>
      </w:r>
      <w:r w:rsidR="001C659A" w:rsidRPr="00005A0C">
        <w:rPr>
          <w:rFonts w:ascii="Times New Roman" w:eastAsia="휴먼명조" w:hAnsi="Times New Roman" w:cs="Times New Roman" w:hint="eastAsia"/>
          <w:i/>
          <w:color w:val="auto"/>
        </w:rPr>
        <w:t xml:space="preserve"> </w:t>
      </w:r>
      <w:r w:rsidR="001A0021" w:rsidRPr="00005A0C">
        <w:rPr>
          <w:rFonts w:ascii="Times New Roman" w:eastAsia="휴먼명조" w:hAnsi="Times New Roman" w:cs="Times New Roman"/>
          <w:i/>
          <w:color w:val="auto"/>
        </w:rPr>
        <w:t>proceedings.</w:t>
      </w:r>
    </w:p>
    <w:p w:rsidR="001A0021" w:rsidRPr="00005A0C" w:rsidRDefault="00A71962" w:rsidP="00BA0C66">
      <w:pPr>
        <w:pStyle w:val="a3"/>
        <w:numPr>
          <w:ilvl w:val="0"/>
          <w:numId w:val="27"/>
        </w:numPr>
        <w:spacing w:line="240" w:lineRule="auto"/>
        <w:rPr>
          <w:rFonts w:ascii="Times New Roman" w:eastAsia="휴먼명조" w:hAnsi="Times New Roman" w:cs="Times New Roman"/>
          <w:i/>
          <w:color w:val="auto"/>
        </w:rPr>
      </w:pPr>
      <w:r w:rsidRPr="00005A0C">
        <w:rPr>
          <w:rFonts w:ascii="Times New Roman" w:eastAsia="휴먼명조" w:hAnsi="Times New Roman" w:cs="Times New Roman" w:hint="eastAsia"/>
          <w:i/>
          <w:color w:val="auto"/>
        </w:rPr>
        <w:t>W</w:t>
      </w:r>
      <w:r w:rsidR="001A0021" w:rsidRPr="00005A0C">
        <w:rPr>
          <w:rFonts w:ascii="Times New Roman" w:eastAsia="휴먼명조" w:hAnsi="Times New Roman" w:cs="Times New Roman"/>
          <w:i/>
          <w:color w:val="auto"/>
        </w:rPr>
        <w:t>hether the consideration of the specific issue would contribute to the purposes and</w:t>
      </w:r>
      <w:r w:rsidR="006D11E2" w:rsidRPr="00005A0C">
        <w:rPr>
          <w:rFonts w:ascii="Times New Roman" w:eastAsia="휴먼명조" w:hAnsi="Times New Roman" w:cs="Times New Roman" w:hint="eastAsia"/>
          <w:i/>
          <w:color w:val="auto"/>
        </w:rPr>
        <w:t xml:space="preserve"> </w:t>
      </w:r>
      <w:r w:rsidR="001A0021" w:rsidRPr="00005A0C">
        <w:rPr>
          <w:rFonts w:ascii="Times New Roman" w:eastAsia="휴먼명조" w:hAnsi="Times New Roman" w:cs="Times New Roman"/>
          <w:i/>
          <w:color w:val="auto"/>
        </w:rPr>
        <w:t>effectiveness of the Guidelines.</w:t>
      </w:r>
      <w:r w:rsidR="006D11E2" w:rsidRPr="00005A0C">
        <w:rPr>
          <w:rFonts w:ascii="Times New Roman" w:eastAsia="휴먼명조" w:hAnsi="Times New Roman" w:cs="Times New Roman"/>
          <w:i/>
          <w:color w:val="auto"/>
        </w:rPr>
        <w:t>”</w:t>
      </w:r>
    </w:p>
    <w:p w:rsidR="001A0021" w:rsidRPr="00005A0C" w:rsidRDefault="001A0021" w:rsidP="00CA4A4B">
      <w:pPr>
        <w:pStyle w:val="af"/>
      </w:pPr>
    </w:p>
    <w:p w:rsidR="001A0021" w:rsidRPr="00005A0C" w:rsidRDefault="001A0021" w:rsidP="006958B7">
      <w:r w:rsidRPr="00005A0C">
        <w:t xml:space="preserve">To consider these factors </w:t>
      </w:r>
      <w:r w:rsidR="00CD513C">
        <w:rPr>
          <w:rFonts w:hint="eastAsia"/>
        </w:rPr>
        <w:t>at the initial assessment</w:t>
      </w:r>
      <w:r w:rsidR="00E25700" w:rsidRPr="00005A0C">
        <w:rPr>
          <w:rFonts w:hint="eastAsia"/>
        </w:rPr>
        <w:t>,</w:t>
      </w:r>
      <w:r w:rsidR="00E25700" w:rsidRPr="00005A0C">
        <w:t xml:space="preserve"> the KNCP held </w:t>
      </w:r>
      <w:r w:rsidRPr="00005A0C">
        <w:t>meeting</w:t>
      </w:r>
      <w:r w:rsidR="00E25700" w:rsidRPr="00005A0C">
        <w:rPr>
          <w:rFonts w:hint="eastAsia"/>
        </w:rPr>
        <w:t>s</w:t>
      </w:r>
      <w:r w:rsidRPr="00005A0C">
        <w:t xml:space="preserve"> with Respondents</w:t>
      </w:r>
      <w:r w:rsidR="00E25700" w:rsidRPr="00005A0C">
        <w:rPr>
          <w:rFonts w:hint="eastAsia"/>
        </w:rPr>
        <w:t xml:space="preserve">, </w:t>
      </w:r>
      <w:r w:rsidR="00E25700" w:rsidRPr="00E42F33">
        <w:rPr>
          <w:rFonts w:hint="eastAsia"/>
        </w:rPr>
        <w:t>Complainant</w:t>
      </w:r>
      <w:r w:rsidR="007A1947" w:rsidRPr="00E42F33">
        <w:rPr>
          <w:rFonts w:hint="eastAsia"/>
        </w:rPr>
        <w:t>,</w:t>
      </w:r>
      <w:r w:rsidR="007A1947" w:rsidRPr="00CA4A4B">
        <w:rPr>
          <w:rFonts w:hint="eastAsia"/>
          <w:color w:val="FF0000"/>
        </w:rPr>
        <w:t xml:space="preserve"> </w:t>
      </w:r>
      <w:r w:rsidRPr="00005A0C">
        <w:t xml:space="preserve">on </w:t>
      </w:r>
      <w:r w:rsidR="007A1947">
        <w:rPr>
          <w:rFonts w:hint="eastAsia"/>
        </w:rPr>
        <w:t>November</w:t>
      </w:r>
      <w:r w:rsidRPr="00005A0C">
        <w:t xml:space="preserve"> </w:t>
      </w:r>
      <w:r w:rsidR="007A1947">
        <w:rPr>
          <w:rFonts w:hint="eastAsia"/>
        </w:rPr>
        <w:t>7</w:t>
      </w:r>
      <w:r w:rsidRPr="00005A0C">
        <w:t>, 201</w:t>
      </w:r>
      <w:r w:rsidR="007A1947">
        <w:rPr>
          <w:rFonts w:hint="eastAsia"/>
        </w:rPr>
        <w:t>7</w:t>
      </w:r>
      <w:r w:rsidR="00C93B6B" w:rsidRPr="00005A0C">
        <w:rPr>
          <w:rFonts w:hint="eastAsia"/>
        </w:rPr>
        <w:t>.</w:t>
      </w:r>
    </w:p>
    <w:p w:rsidR="001A0021" w:rsidRPr="00711C1D" w:rsidRDefault="001A0021" w:rsidP="00711C1D">
      <w:pPr>
        <w:pStyle w:val="af"/>
      </w:pPr>
    </w:p>
    <w:p w:rsidR="001A0021" w:rsidRPr="00005A0C" w:rsidRDefault="001A0021" w:rsidP="006958B7">
      <w:r w:rsidRPr="00005A0C">
        <w:t xml:space="preserve">On </w:t>
      </w:r>
      <w:r w:rsidR="00854EB7">
        <w:rPr>
          <w:rFonts w:hint="eastAsia"/>
        </w:rPr>
        <w:t>November</w:t>
      </w:r>
      <w:r w:rsidRPr="00005A0C">
        <w:t xml:space="preserve"> </w:t>
      </w:r>
      <w:r w:rsidR="00854EB7">
        <w:rPr>
          <w:rFonts w:hint="eastAsia"/>
        </w:rPr>
        <w:t>13</w:t>
      </w:r>
      <w:r w:rsidRPr="00005A0C">
        <w:t>, 201</w:t>
      </w:r>
      <w:r w:rsidR="00854EB7">
        <w:rPr>
          <w:rFonts w:hint="eastAsia"/>
        </w:rPr>
        <w:t>7</w:t>
      </w:r>
      <w:r w:rsidRPr="00005A0C">
        <w:t xml:space="preserve">, the KNCP made an initial assessment as stated below and informed both parties on </w:t>
      </w:r>
      <w:r w:rsidR="00854EB7">
        <w:rPr>
          <w:rFonts w:hint="eastAsia"/>
        </w:rPr>
        <w:t>November</w:t>
      </w:r>
      <w:r w:rsidRPr="00005A0C">
        <w:t xml:space="preserve"> 1</w:t>
      </w:r>
      <w:r w:rsidR="00854EB7">
        <w:rPr>
          <w:rFonts w:hint="eastAsia"/>
        </w:rPr>
        <w:t>5</w:t>
      </w:r>
      <w:r w:rsidRPr="00005A0C">
        <w:t>, 201</w:t>
      </w:r>
      <w:r w:rsidR="00854EB7">
        <w:rPr>
          <w:rFonts w:hint="eastAsia"/>
        </w:rPr>
        <w:t>7</w:t>
      </w:r>
      <w:r w:rsidRPr="00005A0C">
        <w:t>.</w:t>
      </w:r>
    </w:p>
    <w:p w:rsidR="001A0021" w:rsidRPr="00854EB7" w:rsidRDefault="001A0021" w:rsidP="00B2033F">
      <w:pPr>
        <w:pStyle w:val="a3"/>
        <w:spacing w:line="240" w:lineRule="auto"/>
        <w:ind w:left="383" w:hanging="383"/>
        <w:rPr>
          <w:rFonts w:ascii="Times New Roman" w:eastAsia="휴먼명조" w:hAnsi="Times New Roman" w:cs="Times New Roman"/>
          <w:color w:val="auto"/>
        </w:rPr>
      </w:pPr>
    </w:p>
    <w:p w:rsidR="001A0021" w:rsidRPr="00005A0C" w:rsidRDefault="006D11E2" w:rsidP="00C93B6B">
      <w:pPr>
        <w:pStyle w:val="a3"/>
        <w:numPr>
          <w:ilvl w:val="0"/>
          <w:numId w:val="30"/>
        </w:numPr>
        <w:spacing w:line="240" w:lineRule="auto"/>
        <w:rPr>
          <w:rFonts w:ascii="Times New Roman" w:eastAsia="휴먼명조" w:hAnsi="Times New Roman" w:cs="Times New Roman"/>
          <w:color w:val="auto"/>
        </w:rPr>
      </w:pPr>
      <w:r w:rsidRPr="00005A0C">
        <w:rPr>
          <w:rFonts w:ascii="Times New Roman" w:eastAsia="휴먼명조" w:hAnsi="Times New Roman" w:cs="Times New Roman" w:hint="eastAsia"/>
          <w:color w:val="auto"/>
        </w:rPr>
        <w:t>Each</w:t>
      </w:r>
      <w:r w:rsidRPr="00005A0C">
        <w:rPr>
          <w:rFonts w:ascii="Times New Roman" w:eastAsia="휴먼명조" w:hAnsi="Times New Roman" w:cs="Times New Roman"/>
          <w:color w:val="auto"/>
        </w:rPr>
        <w:t xml:space="preserve"> part</w:t>
      </w:r>
      <w:r w:rsidRPr="00005A0C">
        <w:rPr>
          <w:rFonts w:ascii="Times New Roman" w:eastAsia="휴먼명조" w:hAnsi="Times New Roman" w:cs="Times New Roman" w:hint="eastAsia"/>
          <w:color w:val="auto"/>
        </w:rPr>
        <w:t>y</w:t>
      </w:r>
      <w:r w:rsidRPr="00005A0C">
        <w:rPr>
          <w:rFonts w:ascii="Times New Roman" w:eastAsia="휴먼명조" w:hAnsi="Times New Roman" w:cs="Times New Roman"/>
          <w:color w:val="auto"/>
        </w:rPr>
        <w:t xml:space="preserve"> </w:t>
      </w:r>
      <w:r w:rsidR="007662B6" w:rsidRPr="00005A0C">
        <w:rPr>
          <w:rFonts w:ascii="Times New Roman" w:eastAsia="휴먼명조" w:hAnsi="Times New Roman" w:cs="Times New Roman" w:hint="eastAsia"/>
          <w:color w:val="auto"/>
        </w:rPr>
        <w:t xml:space="preserve">requested </w:t>
      </w:r>
      <w:r w:rsidRPr="00005A0C">
        <w:rPr>
          <w:rFonts w:ascii="Times New Roman" w:eastAsia="휴먼명조" w:hAnsi="Times New Roman" w:cs="Times New Roman" w:hint="eastAsia"/>
          <w:color w:val="auto"/>
        </w:rPr>
        <w:t>opportunities to have</w:t>
      </w:r>
      <w:r w:rsidR="001A0021" w:rsidRPr="00005A0C">
        <w:rPr>
          <w:rFonts w:ascii="Times New Roman" w:eastAsia="휴먼명조" w:hAnsi="Times New Roman" w:cs="Times New Roman"/>
          <w:color w:val="auto"/>
        </w:rPr>
        <w:t xml:space="preserve"> </w:t>
      </w:r>
      <w:r w:rsidR="007662B6" w:rsidRPr="00005A0C">
        <w:rPr>
          <w:rFonts w:ascii="Times New Roman" w:eastAsia="휴먼명조" w:hAnsi="Times New Roman" w:cs="Times New Roman" w:hint="eastAsia"/>
          <w:color w:val="auto"/>
        </w:rPr>
        <w:t xml:space="preserve">a </w:t>
      </w:r>
      <w:r w:rsidR="001A0021" w:rsidRPr="00005A0C">
        <w:rPr>
          <w:rFonts w:ascii="Times New Roman" w:eastAsia="휴먼명조" w:hAnsi="Times New Roman" w:cs="Times New Roman"/>
          <w:color w:val="auto"/>
        </w:rPr>
        <w:t xml:space="preserve">meaningful and constructive dialogue </w:t>
      </w:r>
      <w:r w:rsidRPr="00005A0C">
        <w:rPr>
          <w:rFonts w:ascii="Times New Roman" w:eastAsia="휴먼명조" w:hAnsi="Times New Roman" w:cs="Times New Roman" w:hint="eastAsia"/>
          <w:color w:val="auto"/>
        </w:rPr>
        <w:t>during</w:t>
      </w:r>
      <w:r w:rsidR="00C93B6B" w:rsidRPr="00005A0C">
        <w:rPr>
          <w:rFonts w:ascii="Times New Roman" w:eastAsia="휴먼명조" w:hAnsi="Times New Roman" w:cs="Times New Roman"/>
          <w:color w:val="auto"/>
        </w:rPr>
        <w:t xml:space="preserve"> the meeting</w:t>
      </w:r>
      <w:r w:rsidRPr="00005A0C">
        <w:rPr>
          <w:rFonts w:ascii="Times New Roman" w:eastAsia="휴먼명조" w:hAnsi="Times New Roman" w:cs="Times New Roman" w:hint="eastAsia"/>
          <w:color w:val="auto"/>
        </w:rPr>
        <w:t>s</w:t>
      </w:r>
      <w:r w:rsidR="00C93B6B" w:rsidRPr="00005A0C">
        <w:rPr>
          <w:rFonts w:ascii="Times New Roman" w:eastAsia="휴먼명조" w:hAnsi="Times New Roman" w:cs="Times New Roman"/>
          <w:color w:val="auto"/>
        </w:rPr>
        <w:t xml:space="preserve"> </w:t>
      </w:r>
      <w:r w:rsidRPr="00005A0C">
        <w:rPr>
          <w:rFonts w:ascii="Times New Roman" w:eastAsia="휴먼명조" w:hAnsi="Times New Roman" w:cs="Times New Roman" w:hint="eastAsia"/>
          <w:color w:val="auto"/>
        </w:rPr>
        <w:t xml:space="preserve">held </w:t>
      </w:r>
      <w:r w:rsidR="00C93B6B" w:rsidRPr="00005A0C">
        <w:rPr>
          <w:rFonts w:ascii="Times New Roman" w:eastAsia="휴먼명조" w:hAnsi="Times New Roman" w:cs="Times New Roman"/>
          <w:color w:val="auto"/>
        </w:rPr>
        <w:t xml:space="preserve">in </w:t>
      </w:r>
      <w:r w:rsidR="00854EB7">
        <w:rPr>
          <w:rFonts w:ascii="Times New Roman" w:eastAsia="휴먼명조" w:hAnsi="Times New Roman" w:cs="Times New Roman" w:hint="eastAsia"/>
          <w:color w:val="auto"/>
        </w:rPr>
        <w:t>November</w:t>
      </w:r>
      <w:r w:rsidR="001A0021" w:rsidRPr="00005A0C">
        <w:rPr>
          <w:rFonts w:ascii="Times New Roman" w:eastAsia="휴먼명조" w:hAnsi="Times New Roman" w:cs="Times New Roman"/>
          <w:color w:val="auto"/>
        </w:rPr>
        <w:t xml:space="preserve"> 201</w:t>
      </w:r>
      <w:r w:rsidR="00854EB7">
        <w:rPr>
          <w:rFonts w:ascii="Times New Roman" w:eastAsia="휴먼명조" w:hAnsi="Times New Roman" w:cs="Times New Roman" w:hint="eastAsia"/>
          <w:color w:val="auto"/>
        </w:rPr>
        <w:t>7</w:t>
      </w:r>
      <w:r w:rsidR="001A0021" w:rsidRPr="00005A0C">
        <w:rPr>
          <w:rFonts w:ascii="Times New Roman" w:eastAsia="휴먼명조" w:hAnsi="Times New Roman" w:cs="Times New Roman"/>
          <w:color w:val="auto"/>
        </w:rPr>
        <w:t xml:space="preserve">. </w:t>
      </w:r>
      <w:r w:rsidR="00A87D97" w:rsidRPr="00005A0C">
        <w:rPr>
          <w:rFonts w:ascii="Times New Roman" w:eastAsia="휴먼명조" w:hAnsi="Times New Roman" w:cs="Times New Roman" w:hint="eastAsia"/>
          <w:color w:val="auto"/>
        </w:rPr>
        <w:t>In the</w:t>
      </w:r>
      <w:r w:rsidR="00C93B6B" w:rsidRPr="00005A0C">
        <w:rPr>
          <w:rFonts w:ascii="Times New Roman" w:eastAsia="휴먼명조" w:hAnsi="Times New Roman" w:cs="Times New Roman" w:hint="eastAsia"/>
          <w:color w:val="auto"/>
        </w:rPr>
        <w:t xml:space="preserve"> initial assessment, the KNCP f</w:t>
      </w:r>
      <w:r w:rsidR="00A87D97" w:rsidRPr="00005A0C">
        <w:rPr>
          <w:rFonts w:ascii="Times New Roman" w:eastAsia="휴먼명조" w:hAnsi="Times New Roman" w:cs="Times New Roman" w:hint="eastAsia"/>
          <w:color w:val="auto"/>
        </w:rPr>
        <w:t>ound that this case</w:t>
      </w:r>
      <w:r w:rsidR="00C93B6B" w:rsidRPr="00005A0C">
        <w:rPr>
          <w:rFonts w:ascii="Times New Roman" w:eastAsia="휴먼명조" w:hAnsi="Times New Roman" w:cs="Times New Roman" w:hint="eastAsia"/>
          <w:color w:val="auto"/>
        </w:rPr>
        <w:t xml:space="preserve"> </w:t>
      </w:r>
      <w:r w:rsidR="007662B6" w:rsidRPr="00005A0C">
        <w:rPr>
          <w:rFonts w:ascii="Times New Roman" w:eastAsia="휴먼명조" w:hAnsi="Times New Roman" w:cs="Times New Roman"/>
          <w:color w:val="auto"/>
        </w:rPr>
        <w:t>merit</w:t>
      </w:r>
      <w:r w:rsidR="007662B6" w:rsidRPr="00005A0C">
        <w:rPr>
          <w:rFonts w:ascii="Times New Roman" w:eastAsia="휴먼명조" w:hAnsi="Times New Roman" w:cs="Times New Roman" w:hint="eastAsia"/>
          <w:color w:val="auto"/>
        </w:rPr>
        <w:t>ed</w:t>
      </w:r>
      <w:r w:rsidR="001A0021" w:rsidRPr="00005A0C">
        <w:rPr>
          <w:rFonts w:ascii="Times New Roman" w:eastAsia="휴먼명조" w:hAnsi="Times New Roman" w:cs="Times New Roman"/>
          <w:color w:val="auto"/>
        </w:rPr>
        <w:t xml:space="preserve"> further consideration.</w:t>
      </w:r>
    </w:p>
    <w:p w:rsidR="009D02D8" w:rsidRPr="00854EB7" w:rsidRDefault="009D02D8" w:rsidP="00711C1D">
      <w:pPr>
        <w:pStyle w:val="af"/>
      </w:pPr>
    </w:p>
    <w:p w:rsidR="001A0021" w:rsidRPr="00005A0C" w:rsidRDefault="001A0021" w:rsidP="00B2033F">
      <w:pPr>
        <w:pStyle w:val="a3"/>
        <w:numPr>
          <w:ilvl w:val="0"/>
          <w:numId w:val="30"/>
        </w:numPr>
        <w:spacing w:line="240" w:lineRule="auto"/>
        <w:rPr>
          <w:rFonts w:ascii="Times New Roman" w:eastAsia="휴먼명조" w:hAnsi="Times New Roman" w:cs="Times New Roman"/>
          <w:color w:val="auto"/>
        </w:rPr>
      </w:pPr>
      <w:r w:rsidRPr="00005A0C">
        <w:rPr>
          <w:rFonts w:ascii="Times New Roman" w:eastAsia="휴먼명조" w:hAnsi="Times New Roman" w:cs="Times New Roman"/>
          <w:color w:val="auto"/>
        </w:rPr>
        <w:t>An initial assessment only determines whether the issues raised merit further examination or whether the NCP can contribute to the resolution of the issue</w:t>
      </w:r>
      <w:r w:rsidR="007662B6" w:rsidRPr="00005A0C">
        <w:rPr>
          <w:rFonts w:ascii="Times New Roman" w:eastAsia="휴먼명조" w:hAnsi="Times New Roman" w:cs="Times New Roman" w:hint="eastAsia"/>
          <w:color w:val="auto"/>
        </w:rPr>
        <w:t>s</w:t>
      </w:r>
      <w:r w:rsidRPr="00005A0C">
        <w:rPr>
          <w:rFonts w:ascii="Times New Roman" w:eastAsia="휴먼명조" w:hAnsi="Times New Roman" w:cs="Times New Roman"/>
          <w:color w:val="auto"/>
        </w:rPr>
        <w:t xml:space="preserve"> b</w:t>
      </w:r>
      <w:r w:rsidR="00C93B6B" w:rsidRPr="00005A0C">
        <w:rPr>
          <w:rFonts w:ascii="Times New Roman" w:eastAsia="휴먼명조" w:hAnsi="Times New Roman" w:cs="Times New Roman"/>
          <w:color w:val="auto"/>
        </w:rPr>
        <w:t xml:space="preserve">y offering its </w:t>
      </w:r>
      <w:proofErr w:type="gramStart"/>
      <w:r w:rsidR="00C93B6B" w:rsidRPr="00005A0C">
        <w:rPr>
          <w:rFonts w:ascii="Times New Roman" w:eastAsia="휴먼명조" w:hAnsi="Times New Roman" w:cs="Times New Roman"/>
          <w:color w:val="auto"/>
        </w:rPr>
        <w:t>good</w:t>
      </w:r>
      <w:r w:rsidR="000C4A65">
        <w:rPr>
          <w:rFonts w:ascii="Times New Roman" w:eastAsia="휴먼명조" w:hAnsi="Times New Roman" w:cs="Times New Roman" w:hint="eastAsia"/>
          <w:color w:val="auto"/>
        </w:rPr>
        <w:t xml:space="preserve"> </w:t>
      </w:r>
      <w:r w:rsidR="00C93B6B" w:rsidRPr="00005A0C">
        <w:rPr>
          <w:rFonts w:ascii="Times New Roman" w:eastAsia="휴먼명조" w:hAnsi="Times New Roman" w:cs="Times New Roman"/>
          <w:color w:val="auto"/>
        </w:rPr>
        <w:t xml:space="preserve"> offices</w:t>
      </w:r>
      <w:proofErr w:type="gramEnd"/>
      <w:r w:rsidR="00C93B6B" w:rsidRPr="00005A0C">
        <w:rPr>
          <w:rFonts w:ascii="Times New Roman" w:eastAsia="휴먼명조" w:hAnsi="Times New Roman" w:cs="Times New Roman"/>
          <w:color w:val="auto"/>
        </w:rPr>
        <w:t>.</w:t>
      </w:r>
      <w:r w:rsidR="006D11E2" w:rsidRPr="00005A0C">
        <w:rPr>
          <w:rFonts w:ascii="Times New Roman" w:eastAsia="휴먼명조" w:hAnsi="Times New Roman" w:cs="Times New Roman" w:hint="eastAsia"/>
          <w:color w:val="auto"/>
        </w:rPr>
        <w:t xml:space="preserve"> </w:t>
      </w:r>
      <w:r w:rsidR="00C93B6B" w:rsidRPr="00FC1754">
        <w:rPr>
          <w:rFonts w:ascii="Times New Roman" w:hAnsi="Times New Roman" w:cs="Times New Roman"/>
          <w:color w:val="auto"/>
        </w:rPr>
        <w:t>T</w:t>
      </w:r>
      <w:r w:rsidRPr="00005A0C">
        <w:rPr>
          <w:rFonts w:ascii="Times New Roman" w:eastAsia="휴먼명조" w:hAnsi="Times New Roman" w:cs="Times New Roman"/>
          <w:color w:val="auto"/>
        </w:rPr>
        <w:t>h</w:t>
      </w:r>
      <w:r w:rsidR="00C93B6B" w:rsidRPr="00005A0C">
        <w:rPr>
          <w:rFonts w:ascii="Times New Roman" w:eastAsia="휴먼명조" w:hAnsi="Times New Roman" w:cs="Times New Roman" w:hint="eastAsia"/>
          <w:color w:val="auto"/>
        </w:rPr>
        <w:t>erefore</w:t>
      </w:r>
      <w:r w:rsidR="006D11E2" w:rsidRPr="00005A0C">
        <w:rPr>
          <w:rFonts w:ascii="Times New Roman" w:eastAsia="휴먼명조" w:hAnsi="Times New Roman" w:cs="Times New Roman" w:hint="eastAsia"/>
          <w:color w:val="auto"/>
        </w:rPr>
        <w:t>,</w:t>
      </w:r>
      <w:r w:rsidR="00C93B6B" w:rsidRPr="00005A0C">
        <w:rPr>
          <w:rFonts w:ascii="Times New Roman" w:eastAsia="휴먼명조" w:hAnsi="Times New Roman" w:cs="Times New Roman" w:hint="eastAsia"/>
          <w:color w:val="auto"/>
        </w:rPr>
        <w:t xml:space="preserve"> </w:t>
      </w:r>
      <w:r w:rsidR="00A87D97" w:rsidRPr="00005A0C">
        <w:rPr>
          <w:rFonts w:ascii="Times New Roman" w:eastAsia="휴먼명조" w:hAnsi="Times New Roman" w:cs="Times New Roman" w:hint="eastAsia"/>
          <w:color w:val="auto"/>
        </w:rPr>
        <w:t>the decision for further examination does not necessarily me</w:t>
      </w:r>
      <w:r w:rsidR="000C4A65">
        <w:rPr>
          <w:rFonts w:ascii="Times New Roman" w:eastAsia="휴먼명조" w:hAnsi="Times New Roman" w:cs="Times New Roman" w:hint="eastAsia"/>
          <w:color w:val="auto"/>
        </w:rPr>
        <w:t xml:space="preserve">an that the KNCP considers </w:t>
      </w:r>
      <w:r w:rsidR="00A87D97" w:rsidRPr="00005A0C">
        <w:rPr>
          <w:rFonts w:ascii="Times New Roman" w:eastAsia="휴먼명조" w:hAnsi="Times New Roman" w:cs="Times New Roman" w:hint="eastAsia"/>
          <w:color w:val="auto"/>
        </w:rPr>
        <w:t>Respondents have acted inconsistently with the Guidelines.</w:t>
      </w:r>
    </w:p>
    <w:p w:rsidR="00C93B6B" w:rsidRPr="00005A0C" w:rsidRDefault="00C93B6B" w:rsidP="00711C1D">
      <w:pPr>
        <w:pStyle w:val="af"/>
      </w:pPr>
    </w:p>
    <w:p w:rsidR="001A0021" w:rsidRPr="00005A0C" w:rsidRDefault="00D00CA8" w:rsidP="00B84DDB">
      <w:r w:rsidRPr="00005A0C">
        <w:rPr>
          <w:rFonts w:hint="eastAsia"/>
        </w:rPr>
        <w:t>The</w:t>
      </w:r>
      <w:r w:rsidR="001A0021" w:rsidRPr="00005A0C">
        <w:t xml:space="preserve"> </w:t>
      </w:r>
      <w:r w:rsidR="00C93B6B" w:rsidRPr="00005A0C">
        <w:rPr>
          <w:rFonts w:hint="eastAsia"/>
        </w:rPr>
        <w:t>I</w:t>
      </w:r>
      <w:r w:rsidR="001A0021" w:rsidRPr="00005A0C">
        <w:t>mplementation Procedures of the Guidelines</w:t>
      </w:r>
      <w:r w:rsidR="004D1583" w:rsidRPr="00005A0C">
        <w:rPr>
          <w:rFonts w:hint="eastAsia"/>
        </w:rPr>
        <w:t xml:space="preserve"> state</w:t>
      </w:r>
      <w:r w:rsidR="001A0021" w:rsidRPr="00005A0C">
        <w:t xml:space="preserve">, </w:t>
      </w:r>
      <w:r w:rsidR="00C93B6B" w:rsidRPr="00B84DDB">
        <w:rPr>
          <w:i/>
        </w:rPr>
        <w:t>“</w:t>
      </w:r>
      <w:r w:rsidR="00C93B6B" w:rsidRPr="00B84DDB">
        <w:rPr>
          <w:rFonts w:hint="eastAsia"/>
          <w:i/>
        </w:rPr>
        <w:t xml:space="preserve">If the issues raised merit further consideration, </w:t>
      </w:r>
      <w:r w:rsidR="001A0021" w:rsidRPr="00B84DDB">
        <w:rPr>
          <w:i/>
        </w:rPr>
        <w:t>the NCP will discuss the issue further wit</w:t>
      </w:r>
      <w:r w:rsidR="001046D4" w:rsidRPr="00B84DDB">
        <w:rPr>
          <w:i/>
        </w:rPr>
        <w:t>h the parties involved and offe</w:t>
      </w:r>
      <w:r w:rsidR="001046D4" w:rsidRPr="00B84DDB">
        <w:rPr>
          <w:rFonts w:hint="eastAsia"/>
          <w:i/>
        </w:rPr>
        <w:t>r</w:t>
      </w:r>
      <w:r w:rsidR="001A0021" w:rsidRPr="00B84DDB">
        <w:rPr>
          <w:i/>
        </w:rPr>
        <w:t xml:space="preserve"> its good offices in an effort to contribute informally to the resolution of issues.</w:t>
      </w:r>
      <w:r w:rsidR="00C93B6B" w:rsidRPr="00B84DDB">
        <w:rPr>
          <w:i/>
        </w:rPr>
        <w:t>”</w:t>
      </w:r>
    </w:p>
    <w:p w:rsidR="001A0021" w:rsidRDefault="001A0021" w:rsidP="00711C1D">
      <w:pPr>
        <w:pStyle w:val="af"/>
      </w:pPr>
    </w:p>
    <w:p w:rsidR="00854EB7" w:rsidRPr="00854EB7" w:rsidRDefault="00854EB7" w:rsidP="00B84DDB">
      <w:r w:rsidRPr="00854EB7">
        <w:t xml:space="preserve">In line with the Implementation Procedure, the KNCP offered its good offices on March 28, April 5 and April 13, 2018 but they were not held </w:t>
      </w:r>
      <w:r w:rsidRPr="00E42F33">
        <w:t xml:space="preserve">due to </w:t>
      </w:r>
      <w:r w:rsidR="00FD43F9" w:rsidRPr="00E42F33">
        <w:rPr>
          <w:rFonts w:hint="eastAsia"/>
        </w:rPr>
        <w:t>circumstances such as</w:t>
      </w:r>
      <w:r w:rsidRPr="00E42F33">
        <w:t xml:space="preserve"> request for </w:t>
      </w:r>
      <w:r w:rsidR="00045BEB" w:rsidRPr="00E42F33">
        <w:rPr>
          <w:rFonts w:hint="eastAsia"/>
        </w:rPr>
        <w:t xml:space="preserve">a </w:t>
      </w:r>
      <w:r w:rsidRPr="00E42F33">
        <w:t xml:space="preserve">delay </w:t>
      </w:r>
      <w:r w:rsidRPr="00854EB7">
        <w:t xml:space="preserve">from both Parties. </w:t>
      </w:r>
    </w:p>
    <w:p w:rsidR="00854EB7" w:rsidRPr="00854EB7" w:rsidRDefault="00854EB7" w:rsidP="00711C1D">
      <w:pPr>
        <w:pStyle w:val="af"/>
      </w:pPr>
    </w:p>
    <w:p w:rsidR="00EB5CE6" w:rsidRDefault="001A0021" w:rsidP="00B84DDB">
      <w:r w:rsidRPr="00005A0C">
        <w:t xml:space="preserve">The KNCP </w:t>
      </w:r>
      <w:r w:rsidR="00B23ABF" w:rsidRPr="00005A0C">
        <w:t>organized a Mediation Committee</w:t>
      </w:r>
      <w:r w:rsidRPr="00005A0C">
        <w:t>, provided its good offices to the parties in an effort to contribute to the resolution of the issues, and requested the parties' voluntary and active participation in the mediation procedure.</w:t>
      </w:r>
      <w:r w:rsidR="00B23ABF" w:rsidRPr="00005A0C">
        <w:rPr>
          <w:rFonts w:hint="eastAsia"/>
        </w:rPr>
        <w:t xml:space="preserve"> </w:t>
      </w:r>
    </w:p>
    <w:p w:rsidR="00711C1D" w:rsidRDefault="00711C1D" w:rsidP="00711C1D">
      <w:pPr>
        <w:pStyle w:val="af"/>
      </w:pPr>
    </w:p>
    <w:p w:rsidR="00EB5CE6" w:rsidRDefault="001A0021" w:rsidP="00B84DDB">
      <w:r w:rsidRPr="00005A0C">
        <w:lastRenderedPageBreak/>
        <w:t>The Mediation Commi</w:t>
      </w:r>
      <w:r w:rsidR="007C30DA" w:rsidRPr="00005A0C">
        <w:t>ttee consisted of three members</w:t>
      </w:r>
      <w:r w:rsidR="007C30DA" w:rsidRPr="00005A0C">
        <w:rPr>
          <w:rFonts w:hint="eastAsia"/>
        </w:rPr>
        <w:t xml:space="preserve">, one from among </w:t>
      </w:r>
      <w:r w:rsidR="007662B6" w:rsidRPr="00005A0C">
        <w:t>the</w:t>
      </w:r>
      <w:r w:rsidR="007662B6" w:rsidRPr="00005A0C">
        <w:rPr>
          <w:rFonts w:hint="eastAsia"/>
        </w:rPr>
        <w:t xml:space="preserve"> </w:t>
      </w:r>
      <w:r w:rsidR="007C30DA" w:rsidRPr="00005A0C">
        <w:t>KNCP commissioners an</w:t>
      </w:r>
      <w:r w:rsidR="00D3674B" w:rsidRPr="00005A0C">
        <w:rPr>
          <w:rFonts w:hint="eastAsia"/>
        </w:rPr>
        <w:t>d</w:t>
      </w:r>
      <w:r w:rsidR="008C3FF5" w:rsidRPr="00005A0C">
        <w:rPr>
          <w:rFonts w:hint="eastAsia"/>
        </w:rPr>
        <w:t xml:space="preserve"> </w:t>
      </w:r>
      <w:r w:rsidR="007C30DA" w:rsidRPr="00005A0C">
        <w:t xml:space="preserve">two </w:t>
      </w:r>
      <w:r w:rsidR="008C3FF5" w:rsidRPr="00005A0C">
        <w:t xml:space="preserve">experts </w:t>
      </w:r>
      <w:r w:rsidR="008C3FF5" w:rsidRPr="00005A0C">
        <w:rPr>
          <w:rFonts w:hint="eastAsia"/>
        </w:rPr>
        <w:t>from</w:t>
      </w:r>
      <w:r w:rsidRPr="00005A0C">
        <w:t xml:space="preserve"> relevant fields. The ch</w:t>
      </w:r>
      <w:r w:rsidR="002D4EE9" w:rsidRPr="00005A0C">
        <w:t>airman of the KNCP</w:t>
      </w:r>
      <w:r w:rsidRPr="00005A0C">
        <w:t xml:space="preserve"> appointed Mr. Sang-</w:t>
      </w:r>
      <w:r w:rsidR="00EB5CE6">
        <w:rPr>
          <w:rFonts w:hint="eastAsia"/>
        </w:rPr>
        <w:t>Hee</w:t>
      </w:r>
      <w:r w:rsidRPr="00005A0C">
        <w:t xml:space="preserve"> </w:t>
      </w:r>
      <w:r w:rsidR="00EB5CE6" w:rsidRPr="00EB5CE6">
        <w:t>Lee</w:t>
      </w:r>
      <w:r w:rsidRPr="00EB5CE6">
        <w:t xml:space="preserve"> </w:t>
      </w:r>
      <w:r w:rsidR="00EB5CE6" w:rsidRPr="00EB5CE6">
        <w:t>(Korea Polytechnic University) to serve as the chairman of the Mediation Committee. Mr. S</w:t>
      </w:r>
      <w:r w:rsidR="00FC1754" w:rsidRPr="00FC1754">
        <w:rPr>
          <w:rFonts w:hint="eastAsia"/>
          <w:color w:val="0070C0"/>
        </w:rPr>
        <w:t>a</w:t>
      </w:r>
      <w:r w:rsidR="00EB5CE6" w:rsidRPr="00EB5CE6">
        <w:t>ng-Tae Yeo (Head of Secretariat, Youth Hope Foundation) and Mr. Jong-Bok Park (Lawyer) were appointed as the other two members of the Mediation Committee.</w:t>
      </w:r>
    </w:p>
    <w:p w:rsidR="00B84DDB" w:rsidRPr="00711C1D" w:rsidRDefault="00B84DDB" w:rsidP="00711C1D">
      <w:pPr>
        <w:pStyle w:val="af"/>
      </w:pPr>
    </w:p>
    <w:p w:rsidR="006958B7" w:rsidRPr="00E42F33" w:rsidRDefault="00EB5CE6" w:rsidP="00B84DDB">
      <w:r w:rsidRPr="00EB5CE6">
        <w:rPr>
          <w:color w:val="000000"/>
        </w:rPr>
        <w:t xml:space="preserve">On May 14, 2018, the Mediation committee and both parties held a meeting at the Korean Commercial Arbitration Board (Secretariat of the KNCP). Representing Complainant, a chairperson of the Union attended the meeting. Representing Respondents, two staff members of Corning Inc. participated in the meeting. The chairman of the Mediation Committee noted that the mediation was based on voluntary participation and clarified that the </w:t>
      </w:r>
      <w:r w:rsidRPr="00E42F33">
        <w:t>mediation proce</w:t>
      </w:r>
      <w:r w:rsidR="00E42F33" w:rsidRPr="00E42F33">
        <w:rPr>
          <w:rFonts w:hint="eastAsia"/>
        </w:rPr>
        <w:t>ss</w:t>
      </w:r>
      <w:r w:rsidRPr="00E42F33">
        <w:t xml:space="preserve"> m</w:t>
      </w:r>
      <w:r w:rsidR="00045BEB" w:rsidRPr="00E42F33">
        <w:rPr>
          <w:rFonts w:hint="eastAsia"/>
        </w:rPr>
        <w:t>ay</w:t>
      </w:r>
      <w:r w:rsidRPr="00E42F33">
        <w:t xml:space="preserve"> be terminated if the Committee’s neutrality was in question (i.e. offering a unilateral </w:t>
      </w:r>
      <w:bookmarkStart w:id="0" w:name="_GoBack"/>
      <w:bookmarkEnd w:id="0"/>
      <w:r w:rsidRPr="00E42F33">
        <w:t xml:space="preserve">concession to one party) or </w:t>
      </w:r>
      <w:r w:rsidR="00045BEB" w:rsidRPr="00E42F33">
        <w:rPr>
          <w:rFonts w:hint="eastAsia"/>
        </w:rPr>
        <w:t xml:space="preserve">if </w:t>
      </w:r>
      <w:r w:rsidRPr="00E42F33">
        <w:t xml:space="preserve">either party deemed the mediation </w:t>
      </w:r>
      <w:r w:rsidR="00045BEB" w:rsidRPr="00E42F33">
        <w:rPr>
          <w:rFonts w:hint="eastAsia"/>
        </w:rPr>
        <w:t xml:space="preserve">as </w:t>
      </w:r>
      <w:r w:rsidRPr="00E42F33">
        <w:t xml:space="preserve">unnecessary. During the meeting the Parties identified </w:t>
      </w:r>
      <w:r w:rsidR="00045BEB" w:rsidRPr="00E42F33">
        <w:rPr>
          <w:rFonts w:hint="eastAsia"/>
        </w:rPr>
        <w:t xml:space="preserve">the </w:t>
      </w:r>
      <w:r w:rsidRPr="00E42F33">
        <w:t xml:space="preserve">issues at hand such as </w:t>
      </w:r>
      <w:r w:rsidR="00045BEB" w:rsidRPr="00E42F33">
        <w:rPr>
          <w:rFonts w:hint="eastAsia"/>
        </w:rPr>
        <w:t xml:space="preserve">the </w:t>
      </w:r>
      <w:r w:rsidRPr="00E42F33">
        <w:t xml:space="preserve">deduction of union dues, </w:t>
      </w:r>
      <w:r w:rsidR="00045BEB" w:rsidRPr="00E42F33">
        <w:rPr>
          <w:rFonts w:hint="eastAsia"/>
        </w:rPr>
        <w:t xml:space="preserve">the </w:t>
      </w:r>
      <w:r w:rsidRPr="00E42F33">
        <w:t>retroactive application of wage increase</w:t>
      </w:r>
      <w:r w:rsidR="00045BEB" w:rsidRPr="00E42F33">
        <w:rPr>
          <w:rFonts w:hint="eastAsia"/>
        </w:rPr>
        <w:t>s</w:t>
      </w:r>
      <w:r w:rsidRPr="00E42F33">
        <w:t xml:space="preserve">, </w:t>
      </w:r>
      <w:r w:rsidR="00045BEB" w:rsidRPr="00E42F33">
        <w:rPr>
          <w:rFonts w:hint="eastAsia"/>
        </w:rPr>
        <w:t xml:space="preserve">the </w:t>
      </w:r>
      <w:r w:rsidRPr="00E42F33">
        <w:t xml:space="preserve">Time-off system and space for </w:t>
      </w:r>
      <w:r w:rsidR="00045BEB" w:rsidRPr="00E42F33">
        <w:rPr>
          <w:rFonts w:hint="eastAsia"/>
        </w:rPr>
        <w:t xml:space="preserve">a </w:t>
      </w:r>
      <w:r w:rsidRPr="00E42F33">
        <w:t xml:space="preserve">union office. Throughout the meeting, both parties demonstrated mutual trust and recognized the need to continue the mediation process. </w:t>
      </w:r>
    </w:p>
    <w:p w:rsidR="00B84DDB" w:rsidRPr="00E42F33" w:rsidRDefault="00B84DDB" w:rsidP="00711C1D">
      <w:pPr>
        <w:pStyle w:val="af"/>
      </w:pPr>
    </w:p>
    <w:p w:rsidR="006958B7" w:rsidRPr="00CC482C" w:rsidRDefault="00EB5CE6" w:rsidP="00B84DDB">
      <w:r w:rsidRPr="00E42F33">
        <w:t xml:space="preserve">On July 4, 2018, three participants from each Party attended a </w:t>
      </w:r>
      <w:r w:rsidRPr="00CC482C">
        <w:t>meeting at the Korea</w:t>
      </w:r>
      <w:r w:rsidR="00195FAC" w:rsidRPr="00CC482C">
        <w:t>n</w:t>
      </w:r>
      <w:r w:rsidRPr="00CC482C">
        <w:t xml:space="preserve"> Commercial Arbitration Board. Reviewing the progress </w:t>
      </w:r>
      <w:r w:rsidR="00045BEB" w:rsidRPr="00CC482C">
        <w:rPr>
          <w:rFonts w:hint="eastAsia"/>
        </w:rPr>
        <w:t xml:space="preserve">made </w:t>
      </w:r>
      <w:r w:rsidRPr="00CC482C">
        <w:t xml:space="preserve">since the previous meeting, the Parties confirmed that there had been voluntary dialogues between them. While they found common ground </w:t>
      </w:r>
      <w:r w:rsidR="00045BEB" w:rsidRPr="00CC482C">
        <w:rPr>
          <w:rFonts w:hint="eastAsia"/>
        </w:rPr>
        <w:t xml:space="preserve">on the </w:t>
      </w:r>
      <w:r w:rsidRPr="00CC482C">
        <w:t xml:space="preserve">deduction of union dues, </w:t>
      </w:r>
      <w:r w:rsidR="00045BEB" w:rsidRPr="00CC482C">
        <w:rPr>
          <w:rFonts w:hint="eastAsia"/>
        </w:rPr>
        <w:t xml:space="preserve">the </w:t>
      </w:r>
      <w:r w:rsidRPr="00CC482C">
        <w:t xml:space="preserve">Time-off system and space for </w:t>
      </w:r>
      <w:r w:rsidR="00045BEB" w:rsidRPr="00CC482C">
        <w:rPr>
          <w:rFonts w:hint="eastAsia"/>
        </w:rPr>
        <w:t xml:space="preserve">a </w:t>
      </w:r>
      <w:r w:rsidRPr="00CC482C">
        <w:t xml:space="preserve">union office, </w:t>
      </w:r>
      <w:r w:rsidR="00045BEB" w:rsidRPr="00CC482C">
        <w:rPr>
          <w:rFonts w:hint="eastAsia"/>
        </w:rPr>
        <w:t xml:space="preserve">some </w:t>
      </w:r>
      <w:r w:rsidRPr="00CC482C">
        <w:t xml:space="preserve">fine-tuning was required for their implementation. Meanwhile, the issue </w:t>
      </w:r>
      <w:r w:rsidR="00045BEB" w:rsidRPr="00CC482C">
        <w:rPr>
          <w:rFonts w:hint="eastAsia"/>
        </w:rPr>
        <w:t>regarding the</w:t>
      </w:r>
      <w:r w:rsidRPr="00CC482C">
        <w:t xml:space="preserve"> retroactive application of wage increase</w:t>
      </w:r>
      <w:r w:rsidR="00045BEB" w:rsidRPr="00CC482C">
        <w:rPr>
          <w:rFonts w:hint="eastAsia"/>
        </w:rPr>
        <w:t>s</w:t>
      </w:r>
      <w:r w:rsidRPr="00CC482C">
        <w:t xml:space="preserve"> was still under negotiation. </w:t>
      </w:r>
    </w:p>
    <w:p w:rsidR="00B84DDB" w:rsidRPr="00CC482C" w:rsidRDefault="00B84DDB" w:rsidP="00711C1D">
      <w:pPr>
        <w:pStyle w:val="af"/>
      </w:pPr>
    </w:p>
    <w:p w:rsidR="00EB5CE6" w:rsidRPr="00E42F33" w:rsidRDefault="00EB5CE6" w:rsidP="00EB5CE6">
      <w:pPr>
        <w:rPr>
          <w:bCs/>
        </w:rPr>
      </w:pPr>
      <w:r w:rsidRPr="00CC482C">
        <w:rPr>
          <w:bCs/>
        </w:rPr>
        <w:t>On July 17, 2018, the Mediation Committee and both parties participated in a meeting held at the Korea</w:t>
      </w:r>
      <w:r w:rsidR="00195FAC" w:rsidRPr="00CC482C">
        <w:rPr>
          <w:bCs/>
        </w:rPr>
        <w:t>n</w:t>
      </w:r>
      <w:r w:rsidRPr="00CC482C">
        <w:rPr>
          <w:bCs/>
        </w:rPr>
        <w:t xml:space="preserve"> Commercial Arbitration Board. The Mediat</w:t>
      </w:r>
      <w:r w:rsidR="00045BEB" w:rsidRPr="00CC482C">
        <w:rPr>
          <w:rFonts w:hint="eastAsia"/>
          <w:bCs/>
        </w:rPr>
        <w:t>ion</w:t>
      </w:r>
      <w:r w:rsidRPr="00CC482C">
        <w:rPr>
          <w:bCs/>
        </w:rPr>
        <w:t xml:space="preserve"> Committee tried to make progress by holding an individual meeting with each Party and </w:t>
      </w:r>
      <w:r w:rsidR="00045BEB" w:rsidRPr="00CC482C">
        <w:rPr>
          <w:rFonts w:hint="eastAsia"/>
          <w:bCs/>
        </w:rPr>
        <w:t xml:space="preserve">offering its </w:t>
      </w:r>
      <w:r w:rsidRPr="00CC482C">
        <w:rPr>
          <w:bCs/>
        </w:rPr>
        <w:t xml:space="preserve">advice. Taking into account the recommendations from the Mediation Committee, the Parties continued to engage in dialogue and negotiations, and thereby reached </w:t>
      </w:r>
      <w:r w:rsidR="00045BEB" w:rsidRPr="00CC482C">
        <w:rPr>
          <w:rFonts w:hint="eastAsia"/>
          <w:bCs/>
        </w:rPr>
        <w:t xml:space="preserve">a </w:t>
      </w:r>
      <w:r w:rsidRPr="00CC482C">
        <w:rPr>
          <w:bCs/>
        </w:rPr>
        <w:t>substantial agreement on the issues</w:t>
      </w:r>
      <w:r w:rsidR="00EC5C89" w:rsidRPr="00CC482C">
        <w:rPr>
          <w:bCs/>
        </w:rPr>
        <w:t xml:space="preserve"> raised</w:t>
      </w:r>
      <w:r w:rsidRPr="00CC482C">
        <w:rPr>
          <w:bCs/>
        </w:rPr>
        <w:t xml:space="preserve"> </w:t>
      </w:r>
      <w:r w:rsidR="00EC5C89" w:rsidRPr="00CC482C">
        <w:rPr>
          <w:bCs/>
        </w:rPr>
        <w:t>–</w:t>
      </w:r>
      <w:r w:rsidRPr="00CC482C">
        <w:rPr>
          <w:bCs/>
        </w:rPr>
        <w:t xml:space="preserve"> </w:t>
      </w:r>
      <w:r w:rsidR="00EC5C89" w:rsidRPr="00CC482C">
        <w:rPr>
          <w:rFonts w:hint="eastAsia"/>
          <w:bCs/>
        </w:rPr>
        <w:t xml:space="preserve">the </w:t>
      </w:r>
      <w:r w:rsidRPr="00CC482C">
        <w:rPr>
          <w:bCs/>
        </w:rPr>
        <w:t xml:space="preserve">deduction </w:t>
      </w:r>
      <w:r w:rsidRPr="00E42F33">
        <w:rPr>
          <w:bCs/>
        </w:rPr>
        <w:t xml:space="preserve">of union dues, </w:t>
      </w:r>
      <w:r w:rsidR="00EC5C89" w:rsidRPr="00E42F33">
        <w:rPr>
          <w:rFonts w:hint="eastAsia"/>
          <w:bCs/>
        </w:rPr>
        <w:t xml:space="preserve">the </w:t>
      </w:r>
      <w:r w:rsidRPr="00E42F33">
        <w:rPr>
          <w:bCs/>
        </w:rPr>
        <w:t>retroactive application of wage increase</w:t>
      </w:r>
      <w:r w:rsidR="00EC5C89" w:rsidRPr="00E42F33">
        <w:rPr>
          <w:rFonts w:hint="eastAsia"/>
          <w:bCs/>
        </w:rPr>
        <w:t>s</w:t>
      </w:r>
      <w:r w:rsidRPr="00E42F33">
        <w:rPr>
          <w:bCs/>
        </w:rPr>
        <w:t>,</w:t>
      </w:r>
      <w:r w:rsidR="00EC5C89" w:rsidRPr="00E42F33">
        <w:rPr>
          <w:rFonts w:hint="eastAsia"/>
          <w:bCs/>
        </w:rPr>
        <w:t xml:space="preserve"> the</w:t>
      </w:r>
      <w:r w:rsidRPr="00E42F33">
        <w:rPr>
          <w:bCs/>
        </w:rPr>
        <w:t xml:space="preserve"> Time-off system and space for </w:t>
      </w:r>
      <w:r w:rsidR="00EC5C89" w:rsidRPr="00E42F33">
        <w:rPr>
          <w:rFonts w:hint="eastAsia"/>
          <w:bCs/>
        </w:rPr>
        <w:t xml:space="preserve">a </w:t>
      </w:r>
      <w:r w:rsidRPr="00E42F33">
        <w:rPr>
          <w:bCs/>
        </w:rPr>
        <w:t>union office.</w:t>
      </w:r>
    </w:p>
    <w:p w:rsidR="00B84DDB" w:rsidRPr="00E42F33" w:rsidRDefault="00B84DDB" w:rsidP="00711C1D">
      <w:pPr>
        <w:pStyle w:val="af"/>
      </w:pPr>
    </w:p>
    <w:p w:rsidR="00EB5CE6" w:rsidRPr="00EB5CE6" w:rsidRDefault="00EB5CE6" w:rsidP="00EB5CE6">
      <w:pPr>
        <w:rPr>
          <w:color w:val="000000"/>
        </w:rPr>
      </w:pPr>
      <w:r w:rsidRPr="00E42F33">
        <w:t xml:space="preserve">The Parties agreed to accept </w:t>
      </w:r>
      <w:r w:rsidR="00EC5C89" w:rsidRPr="00E42F33">
        <w:rPr>
          <w:rFonts w:hint="eastAsia"/>
        </w:rPr>
        <w:t xml:space="preserve">the </w:t>
      </w:r>
      <w:r w:rsidRPr="00E42F33">
        <w:t xml:space="preserve">recommendations </w:t>
      </w:r>
      <w:r w:rsidR="00EC5C89" w:rsidRPr="00E42F33">
        <w:rPr>
          <w:rFonts w:hint="eastAsia"/>
        </w:rPr>
        <w:t>made</w:t>
      </w:r>
      <w:r w:rsidRPr="00E42F33">
        <w:t xml:space="preserve"> by the M</w:t>
      </w:r>
      <w:r w:rsidRPr="00EB5CE6">
        <w:rPr>
          <w:color w:val="000000"/>
        </w:rPr>
        <w:t xml:space="preserve">ediation Committee on July 20, 2018. </w:t>
      </w:r>
    </w:p>
    <w:p w:rsidR="00452672" w:rsidRDefault="00452672" w:rsidP="006958B7">
      <w:pPr>
        <w:pStyle w:val="af"/>
      </w:pPr>
    </w:p>
    <w:p w:rsidR="006958B7" w:rsidRPr="006958B7" w:rsidRDefault="006958B7" w:rsidP="006958B7">
      <w:pPr>
        <w:pStyle w:val="af"/>
      </w:pPr>
    </w:p>
    <w:p w:rsidR="001A0021" w:rsidRPr="006958B7" w:rsidRDefault="001A0021" w:rsidP="006958B7">
      <w:pPr>
        <w:rPr>
          <w:b/>
        </w:rPr>
      </w:pPr>
      <w:r w:rsidRPr="006958B7">
        <w:rPr>
          <w:b/>
        </w:rPr>
        <w:t>4. Conclusion</w:t>
      </w:r>
    </w:p>
    <w:p w:rsidR="009D02D8" w:rsidRPr="00711C1D" w:rsidRDefault="009D02D8" w:rsidP="00711C1D">
      <w:pPr>
        <w:pStyle w:val="af"/>
      </w:pPr>
    </w:p>
    <w:p w:rsidR="001A0021" w:rsidRPr="00005A0C" w:rsidRDefault="00EC0D37" w:rsidP="009D02D8">
      <w:pPr>
        <w:rPr>
          <w:i/>
        </w:rPr>
      </w:pPr>
      <w:r w:rsidRPr="00005A0C">
        <w:t>The grievance mechanism in the Implementation Procedures of the Guidelines is based on the voluntary participation of multinational enterprises and stakeholders. The Implementation Procedures of the Guidelines state</w:t>
      </w:r>
      <w:r w:rsidR="009D02D8" w:rsidRPr="00005A0C">
        <w:t xml:space="preserve">, </w:t>
      </w:r>
      <w:r w:rsidR="009D02D8" w:rsidRPr="00005A0C">
        <w:rPr>
          <w:i/>
        </w:rPr>
        <w:t xml:space="preserve">“As part of making available good offices, and where relevant to the issues at hand, NCPs will offer or facilitate access to consensual and non-adversarial procedures, such as conciliation or mediation, to assist in dealing with the issues at hand. In common with accepted </w:t>
      </w:r>
      <w:r w:rsidR="009D02D8" w:rsidRPr="00005A0C">
        <w:rPr>
          <w:i/>
        </w:rPr>
        <w:lastRenderedPageBreak/>
        <w:t>practices on conciliation and mediation procedures, these procedures would be used only upon agreement of the parties concerned and their commitment to participate in good faith during the procedure.”</w:t>
      </w:r>
    </w:p>
    <w:p w:rsidR="006958B7" w:rsidRPr="006958B7" w:rsidRDefault="006958B7" w:rsidP="006958B7">
      <w:pPr>
        <w:pStyle w:val="af"/>
      </w:pPr>
    </w:p>
    <w:p w:rsidR="00EB5CE6" w:rsidRPr="00E42F33" w:rsidRDefault="00EB5CE6" w:rsidP="00EB5CE6">
      <w:pPr>
        <w:rPr>
          <w:rFonts w:ascii="휴먼명조"/>
        </w:rPr>
      </w:pPr>
      <w:r w:rsidRPr="00EB5CE6">
        <w:t xml:space="preserve">In its </w:t>
      </w:r>
      <w:r w:rsidRPr="00E42F33">
        <w:t>in</w:t>
      </w:r>
      <w:r w:rsidR="00EC5C89" w:rsidRPr="00E42F33">
        <w:rPr>
          <w:rFonts w:hint="eastAsia"/>
        </w:rPr>
        <w:t>i</w:t>
      </w:r>
      <w:r w:rsidRPr="00E42F33">
        <w:t>tial assessment the KNCP determined that this specific instance merit further examination, thereby launching the mediation proce</w:t>
      </w:r>
      <w:r w:rsidR="00E42F33" w:rsidRPr="00E42F33">
        <w:rPr>
          <w:rFonts w:hint="eastAsia"/>
        </w:rPr>
        <w:t>ss</w:t>
      </w:r>
      <w:r w:rsidRPr="00E42F33">
        <w:t xml:space="preserve">. The Mediation Committee encouraged the Parties to continue </w:t>
      </w:r>
      <w:r w:rsidR="00EC5C89" w:rsidRPr="00E42F33">
        <w:rPr>
          <w:rFonts w:hint="eastAsia"/>
        </w:rPr>
        <w:t xml:space="preserve">engaging in </w:t>
      </w:r>
      <w:r w:rsidRPr="00E42F33">
        <w:t>dialogue and negotiation</w:t>
      </w:r>
      <w:r w:rsidR="00F8322B" w:rsidRPr="00E42F33">
        <w:rPr>
          <w:rFonts w:hint="eastAsia"/>
        </w:rPr>
        <w:t>s</w:t>
      </w:r>
      <w:r w:rsidRPr="00E42F33">
        <w:t xml:space="preserve"> throughout </w:t>
      </w:r>
      <w:r w:rsidR="00F8322B" w:rsidRPr="00E42F33">
        <w:rPr>
          <w:rFonts w:hint="eastAsia"/>
        </w:rPr>
        <w:t xml:space="preserve">the </w:t>
      </w:r>
      <w:r w:rsidRPr="00E42F33">
        <w:t xml:space="preserve">three mediation meetings </w:t>
      </w:r>
      <w:r w:rsidR="00F8322B" w:rsidRPr="00E42F33">
        <w:rPr>
          <w:rFonts w:hint="eastAsia"/>
        </w:rPr>
        <w:t>which</w:t>
      </w:r>
      <w:r w:rsidRPr="00E42F33">
        <w:t xml:space="preserve"> led to a consensual resolution on the key issues. </w:t>
      </w:r>
    </w:p>
    <w:p w:rsidR="00EB5CE6" w:rsidRPr="00E42F33" w:rsidRDefault="00EB5CE6" w:rsidP="006958B7">
      <w:pPr>
        <w:pStyle w:val="af"/>
      </w:pPr>
    </w:p>
    <w:p w:rsidR="00EB5CE6" w:rsidRPr="00EB5CE6" w:rsidRDefault="00EB5CE6" w:rsidP="00EB5CE6">
      <w:pPr>
        <w:rPr>
          <w:rFonts w:ascii="휴먼명조"/>
          <w:sz w:val="28"/>
          <w:szCs w:val="28"/>
        </w:rPr>
      </w:pPr>
      <w:r w:rsidRPr="00E42F33">
        <w:t xml:space="preserve">Following the mediation process facilitated by the KNCP the Parties resumed their own dialogue after </w:t>
      </w:r>
      <w:r w:rsidR="00F8322B" w:rsidRPr="00E42F33">
        <w:rPr>
          <w:rFonts w:hint="eastAsia"/>
        </w:rPr>
        <w:t>a</w:t>
      </w:r>
      <w:r w:rsidRPr="00E42F33">
        <w:t xml:space="preserve"> one-year stalemate and arrived at </w:t>
      </w:r>
      <w:r w:rsidR="00F8322B" w:rsidRPr="00E42F33">
        <w:rPr>
          <w:rFonts w:hint="eastAsia"/>
        </w:rPr>
        <w:t>a re</w:t>
      </w:r>
      <w:r w:rsidRPr="00E42F33">
        <w:t>solution</w:t>
      </w:r>
      <w:r w:rsidR="00F8322B" w:rsidRPr="00E42F33">
        <w:rPr>
          <w:rFonts w:hint="eastAsia"/>
        </w:rPr>
        <w:t xml:space="preserve"> on their own</w:t>
      </w:r>
      <w:r w:rsidRPr="00E42F33">
        <w:t xml:space="preserve">. This is the first case where </w:t>
      </w:r>
      <w:r w:rsidR="00F8322B" w:rsidRPr="00E42F33">
        <w:rPr>
          <w:rFonts w:hint="eastAsia"/>
        </w:rPr>
        <w:t xml:space="preserve">a </w:t>
      </w:r>
      <w:r w:rsidRPr="00E42F33">
        <w:t xml:space="preserve">specific instance submitted by the Union </w:t>
      </w:r>
      <w:r w:rsidR="00F8322B" w:rsidRPr="00E42F33">
        <w:rPr>
          <w:rFonts w:hint="eastAsia"/>
        </w:rPr>
        <w:t xml:space="preserve">ended in </w:t>
      </w:r>
      <w:r w:rsidRPr="00E42F33">
        <w:t xml:space="preserve">a mutual agreement </w:t>
      </w:r>
      <w:r w:rsidR="00F8322B" w:rsidRPr="00E42F33">
        <w:rPr>
          <w:rFonts w:hint="eastAsia"/>
        </w:rPr>
        <w:t>reached through</w:t>
      </w:r>
      <w:r w:rsidRPr="00E42F33">
        <w:t xml:space="preserve"> </w:t>
      </w:r>
      <w:r w:rsidRPr="00EB5CE6">
        <w:t>the mediation provided by the KNCP, which sets a good example for the Guidelines and the NCP.</w:t>
      </w:r>
      <w:r w:rsidRPr="00EB5CE6">
        <w:rPr>
          <w:sz w:val="28"/>
          <w:szCs w:val="28"/>
        </w:rPr>
        <w:t xml:space="preserve"> </w:t>
      </w:r>
    </w:p>
    <w:p w:rsidR="00EB5CE6" w:rsidRDefault="00EB5CE6" w:rsidP="00B2033F">
      <w:pPr>
        <w:pStyle w:val="a3"/>
        <w:spacing w:line="240" w:lineRule="auto"/>
        <w:rPr>
          <w:rFonts w:ascii="Times New Roman" w:eastAsia="휴먼명조" w:hAnsi="Times New Roman" w:cs="Times New Roman"/>
          <w:color w:val="auto"/>
        </w:rPr>
      </w:pPr>
    </w:p>
    <w:p w:rsidR="00EB5CE6" w:rsidRPr="00EB5CE6" w:rsidRDefault="00EB5CE6" w:rsidP="00B2033F">
      <w:pPr>
        <w:pStyle w:val="a3"/>
        <w:spacing w:line="240" w:lineRule="auto"/>
        <w:rPr>
          <w:rFonts w:ascii="Times New Roman" w:eastAsia="휴먼명조" w:hAnsi="Times New Roman" w:cs="Times New Roman"/>
          <w:color w:val="auto"/>
        </w:rPr>
      </w:pPr>
    </w:p>
    <w:p w:rsidR="005A6F1A" w:rsidRPr="00005A0C" w:rsidRDefault="005A6F1A" w:rsidP="00B2033F">
      <w:pPr>
        <w:pStyle w:val="a3"/>
        <w:spacing w:line="240" w:lineRule="auto"/>
        <w:rPr>
          <w:rFonts w:ascii="Times New Roman" w:eastAsia="휴먼명조" w:hAnsi="Times New Roman" w:cs="Times New Roman"/>
          <w:color w:val="auto"/>
        </w:rPr>
      </w:pPr>
    </w:p>
    <w:p w:rsidR="001A0021" w:rsidRPr="00005A0C" w:rsidRDefault="001A0021" w:rsidP="005A6F1A">
      <w:pPr>
        <w:pStyle w:val="a3"/>
        <w:spacing w:line="240" w:lineRule="auto"/>
        <w:rPr>
          <w:rFonts w:ascii="Times New Roman" w:eastAsia="휴먼명조" w:hAnsi="Times New Roman" w:cs="Times New Roman"/>
          <w:color w:val="auto"/>
        </w:rPr>
      </w:pPr>
    </w:p>
    <w:p w:rsidR="00040F3A" w:rsidRPr="00005A0C" w:rsidRDefault="00040F3A" w:rsidP="00BA14F5">
      <w:pPr>
        <w:pStyle w:val="a3"/>
        <w:spacing w:line="240" w:lineRule="auto"/>
        <w:jc w:val="left"/>
        <w:rPr>
          <w:rFonts w:ascii="Times New Roman" w:eastAsia="휴먼명조" w:hAnsi="Times New Roman" w:cs="Times New Roman"/>
          <w:color w:val="auto"/>
        </w:rPr>
      </w:pPr>
    </w:p>
    <w:p w:rsidR="001A0021" w:rsidRPr="00005A0C" w:rsidRDefault="001A0021" w:rsidP="00040F3A">
      <w:pPr>
        <w:pStyle w:val="a3"/>
        <w:spacing w:line="240" w:lineRule="auto"/>
        <w:ind w:left="386" w:hanging="386"/>
        <w:jc w:val="left"/>
        <w:rPr>
          <w:rFonts w:ascii="Times New Roman" w:eastAsia="휴먼명조" w:hAnsi="Times New Roman" w:cs="Times New Roman"/>
          <w:color w:val="auto"/>
        </w:rPr>
      </w:pPr>
      <w:r w:rsidRPr="00005A0C">
        <w:rPr>
          <w:rFonts w:ascii="Times New Roman" w:eastAsia="휴먼명조" w:hAnsi="Times New Roman" w:cs="Times New Roman"/>
          <w:color w:val="auto"/>
        </w:rPr>
        <w:t>Korean National Contact Point</w:t>
      </w:r>
    </w:p>
    <w:p w:rsidR="001A0021" w:rsidRPr="00005A0C" w:rsidRDefault="001A0021" w:rsidP="00040F3A">
      <w:pPr>
        <w:pStyle w:val="a3"/>
        <w:spacing w:line="240" w:lineRule="auto"/>
        <w:ind w:left="386" w:hanging="386"/>
        <w:jc w:val="left"/>
        <w:rPr>
          <w:rFonts w:ascii="Times New Roman" w:hAnsi="Times New Roman" w:cs="Times New Roman"/>
          <w:color w:val="auto"/>
        </w:rPr>
      </w:pPr>
      <w:proofErr w:type="gramStart"/>
      <w:r w:rsidRPr="00005A0C">
        <w:rPr>
          <w:rFonts w:ascii="Times New Roman" w:eastAsia="휴먼명조" w:hAnsi="Times New Roman" w:cs="Times New Roman"/>
          <w:color w:val="auto"/>
        </w:rPr>
        <w:t>for</w:t>
      </w:r>
      <w:proofErr w:type="gramEnd"/>
      <w:r w:rsidRPr="00005A0C">
        <w:rPr>
          <w:rFonts w:ascii="Times New Roman" w:eastAsia="휴먼명조" w:hAnsi="Times New Roman" w:cs="Times New Roman"/>
          <w:color w:val="auto"/>
        </w:rPr>
        <w:t xml:space="preserve"> the OECD Guidelines for Multinational Enterprises</w:t>
      </w:r>
    </w:p>
    <w:sectPr w:rsidR="001A0021" w:rsidRPr="00005A0C" w:rsidSect="00FA3B42">
      <w:footerReference w:type="default" r:id="rId9"/>
      <w:pgSz w:w="11906" w:h="16838"/>
      <w:pgMar w:top="1701" w:right="1134" w:bottom="1417" w:left="1134" w:header="1134" w:footer="85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F26" w:rsidRDefault="00A30F26" w:rsidP="00B2033F">
      <w:pPr>
        <w:spacing w:after="0" w:line="240" w:lineRule="auto"/>
      </w:pPr>
      <w:r>
        <w:separator/>
      </w:r>
    </w:p>
  </w:endnote>
  <w:endnote w:type="continuationSeparator" w:id="0">
    <w:p w:rsidR="00A30F26" w:rsidRDefault="00A30F26" w:rsidP="00B2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휴먼명조">
    <w:altName w:val="한컴바탕확장"/>
    <w:panose1 w:val="00000000000000000000"/>
    <w:charset w:val="81"/>
    <w:family w:val="auto"/>
    <w:notTrueType/>
    <w:pitch w:val="variable"/>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874692"/>
      <w:docPartObj>
        <w:docPartGallery w:val="Page Numbers (Bottom of Page)"/>
        <w:docPartUnique/>
      </w:docPartObj>
    </w:sdtPr>
    <w:sdtEndPr/>
    <w:sdtContent>
      <w:p w:rsidR="00004541" w:rsidRDefault="000D1512" w:rsidP="00A71962">
        <w:pPr>
          <w:pStyle w:val="ac"/>
          <w:jc w:val="center"/>
        </w:pPr>
        <w:r>
          <w:fldChar w:fldCharType="begin"/>
        </w:r>
        <w:r>
          <w:instrText>PAGE   \* MERGEFORMAT</w:instrText>
        </w:r>
        <w:r>
          <w:fldChar w:fldCharType="separate"/>
        </w:r>
        <w:r w:rsidR="00CC482C" w:rsidRPr="00CC482C">
          <w:rPr>
            <w:noProof/>
            <w:lang w:val="ko-KR"/>
          </w:rPr>
          <w:t>4</w:t>
        </w:r>
        <w:r>
          <w:rPr>
            <w:noProof/>
            <w:lang w:val="ko-K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F26" w:rsidRDefault="00A30F26" w:rsidP="00B2033F">
      <w:pPr>
        <w:spacing w:after="0" w:line="240" w:lineRule="auto"/>
      </w:pPr>
      <w:r>
        <w:separator/>
      </w:r>
    </w:p>
  </w:footnote>
  <w:footnote w:type="continuationSeparator" w:id="0">
    <w:p w:rsidR="00A30F26" w:rsidRDefault="00A30F26" w:rsidP="00B2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2EE5"/>
    <w:multiLevelType w:val="hybridMultilevel"/>
    <w:tmpl w:val="75664D72"/>
    <w:lvl w:ilvl="0" w:tplc="37E4A926">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095D6C41"/>
    <w:multiLevelType w:val="hybridMultilevel"/>
    <w:tmpl w:val="AFD278BC"/>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E143F4A"/>
    <w:multiLevelType w:val="hybridMultilevel"/>
    <w:tmpl w:val="653E651E"/>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380920"/>
    <w:multiLevelType w:val="hybridMultilevel"/>
    <w:tmpl w:val="A26E07BA"/>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E7064ED"/>
    <w:multiLevelType w:val="hybridMultilevel"/>
    <w:tmpl w:val="3D6E12B4"/>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22D62D83"/>
    <w:multiLevelType w:val="hybridMultilevel"/>
    <w:tmpl w:val="C5D29608"/>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44C1D8D"/>
    <w:multiLevelType w:val="hybridMultilevel"/>
    <w:tmpl w:val="D842FBE8"/>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26DF7097"/>
    <w:multiLevelType w:val="hybridMultilevel"/>
    <w:tmpl w:val="41409DEA"/>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71166E4"/>
    <w:multiLevelType w:val="hybridMultilevel"/>
    <w:tmpl w:val="25045F9C"/>
    <w:lvl w:ilvl="0" w:tplc="37E4A926">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9" w15:restartNumberingAfterBreak="0">
    <w:nsid w:val="2BD6629A"/>
    <w:multiLevelType w:val="hybridMultilevel"/>
    <w:tmpl w:val="E9AE657E"/>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21D34BF"/>
    <w:multiLevelType w:val="hybridMultilevel"/>
    <w:tmpl w:val="83D04C58"/>
    <w:lvl w:ilvl="0" w:tplc="37E4A926">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6395CA3"/>
    <w:multiLevelType w:val="hybridMultilevel"/>
    <w:tmpl w:val="16A638FA"/>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B61256D"/>
    <w:multiLevelType w:val="hybridMultilevel"/>
    <w:tmpl w:val="89061878"/>
    <w:lvl w:ilvl="0" w:tplc="37E4A926">
      <w:start w:val="1"/>
      <w:numFmt w:val="bullet"/>
      <w:lvlText w:val=""/>
      <w:lvlJc w:val="left"/>
      <w:pPr>
        <w:ind w:left="783" w:hanging="400"/>
      </w:pPr>
      <w:rPr>
        <w:rFonts w:ascii="Wingdings" w:hAnsi="Wingdings" w:hint="default"/>
      </w:rPr>
    </w:lvl>
    <w:lvl w:ilvl="1" w:tplc="04090003" w:tentative="1">
      <w:start w:val="1"/>
      <w:numFmt w:val="bullet"/>
      <w:lvlText w:val=""/>
      <w:lvlJc w:val="left"/>
      <w:pPr>
        <w:ind w:left="1183" w:hanging="400"/>
      </w:pPr>
      <w:rPr>
        <w:rFonts w:ascii="Wingdings" w:hAnsi="Wingdings" w:hint="default"/>
      </w:rPr>
    </w:lvl>
    <w:lvl w:ilvl="2" w:tplc="04090005" w:tentative="1">
      <w:start w:val="1"/>
      <w:numFmt w:val="bullet"/>
      <w:lvlText w:val=""/>
      <w:lvlJc w:val="left"/>
      <w:pPr>
        <w:ind w:left="1583" w:hanging="400"/>
      </w:pPr>
      <w:rPr>
        <w:rFonts w:ascii="Wingdings" w:hAnsi="Wingdings" w:hint="default"/>
      </w:rPr>
    </w:lvl>
    <w:lvl w:ilvl="3" w:tplc="04090001" w:tentative="1">
      <w:start w:val="1"/>
      <w:numFmt w:val="bullet"/>
      <w:lvlText w:val=""/>
      <w:lvlJc w:val="left"/>
      <w:pPr>
        <w:ind w:left="1983" w:hanging="400"/>
      </w:pPr>
      <w:rPr>
        <w:rFonts w:ascii="Wingdings" w:hAnsi="Wingdings" w:hint="default"/>
      </w:rPr>
    </w:lvl>
    <w:lvl w:ilvl="4" w:tplc="04090003" w:tentative="1">
      <w:start w:val="1"/>
      <w:numFmt w:val="bullet"/>
      <w:lvlText w:val=""/>
      <w:lvlJc w:val="left"/>
      <w:pPr>
        <w:ind w:left="2383" w:hanging="400"/>
      </w:pPr>
      <w:rPr>
        <w:rFonts w:ascii="Wingdings" w:hAnsi="Wingdings" w:hint="default"/>
      </w:rPr>
    </w:lvl>
    <w:lvl w:ilvl="5" w:tplc="04090005" w:tentative="1">
      <w:start w:val="1"/>
      <w:numFmt w:val="bullet"/>
      <w:lvlText w:val=""/>
      <w:lvlJc w:val="left"/>
      <w:pPr>
        <w:ind w:left="2783" w:hanging="400"/>
      </w:pPr>
      <w:rPr>
        <w:rFonts w:ascii="Wingdings" w:hAnsi="Wingdings" w:hint="default"/>
      </w:rPr>
    </w:lvl>
    <w:lvl w:ilvl="6" w:tplc="04090001" w:tentative="1">
      <w:start w:val="1"/>
      <w:numFmt w:val="bullet"/>
      <w:lvlText w:val=""/>
      <w:lvlJc w:val="left"/>
      <w:pPr>
        <w:ind w:left="3183" w:hanging="400"/>
      </w:pPr>
      <w:rPr>
        <w:rFonts w:ascii="Wingdings" w:hAnsi="Wingdings" w:hint="default"/>
      </w:rPr>
    </w:lvl>
    <w:lvl w:ilvl="7" w:tplc="04090003" w:tentative="1">
      <w:start w:val="1"/>
      <w:numFmt w:val="bullet"/>
      <w:lvlText w:val=""/>
      <w:lvlJc w:val="left"/>
      <w:pPr>
        <w:ind w:left="3583" w:hanging="400"/>
      </w:pPr>
      <w:rPr>
        <w:rFonts w:ascii="Wingdings" w:hAnsi="Wingdings" w:hint="default"/>
      </w:rPr>
    </w:lvl>
    <w:lvl w:ilvl="8" w:tplc="04090005" w:tentative="1">
      <w:start w:val="1"/>
      <w:numFmt w:val="bullet"/>
      <w:lvlText w:val=""/>
      <w:lvlJc w:val="left"/>
      <w:pPr>
        <w:ind w:left="3983" w:hanging="400"/>
      </w:pPr>
      <w:rPr>
        <w:rFonts w:ascii="Wingdings" w:hAnsi="Wingdings" w:hint="default"/>
      </w:rPr>
    </w:lvl>
  </w:abstractNum>
  <w:abstractNum w:abstractNumId="13" w15:restartNumberingAfterBreak="0">
    <w:nsid w:val="3B8E030A"/>
    <w:multiLevelType w:val="hybridMultilevel"/>
    <w:tmpl w:val="93F0CC7A"/>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3B92196E"/>
    <w:multiLevelType w:val="hybridMultilevel"/>
    <w:tmpl w:val="2AEADA78"/>
    <w:lvl w:ilvl="0" w:tplc="E23E175A">
      <w:start w:val="1"/>
      <w:numFmt w:val="bullet"/>
      <w:lvlText w:val=""/>
      <w:lvlJc w:val="left"/>
      <w:pPr>
        <w:ind w:left="400" w:hanging="400"/>
      </w:pPr>
      <w:rPr>
        <w:rFonts w:ascii="Wingdings" w:hAnsi="Wingdings" w:hint="default"/>
        <w:color w:val="auto"/>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40C755C4"/>
    <w:multiLevelType w:val="hybridMultilevel"/>
    <w:tmpl w:val="305CAAC2"/>
    <w:lvl w:ilvl="0" w:tplc="23BE98F0">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4F552493"/>
    <w:multiLevelType w:val="hybridMultilevel"/>
    <w:tmpl w:val="D53AAF70"/>
    <w:lvl w:ilvl="0" w:tplc="23BE98F0">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61251A02"/>
    <w:multiLevelType w:val="hybridMultilevel"/>
    <w:tmpl w:val="D3F4E238"/>
    <w:lvl w:ilvl="0" w:tplc="37E4A926">
      <w:start w:val="1"/>
      <w:numFmt w:val="bullet"/>
      <w:lvlText w:val=""/>
      <w:lvlJc w:val="left"/>
      <w:pPr>
        <w:ind w:left="783" w:hanging="400"/>
      </w:pPr>
      <w:rPr>
        <w:rFonts w:ascii="Wingdings" w:hAnsi="Wingdings" w:hint="default"/>
      </w:rPr>
    </w:lvl>
    <w:lvl w:ilvl="1" w:tplc="04090003" w:tentative="1">
      <w:start w:val="1"/>
      <w:numFmt w:val="bullet"/>
      <w:lvlText w:val=""/>
      <w:lvlJc w:val="left"/>
      <w:pPr>
        <w:ind w:left="1183" w:hanging="400"/>
      </w:pPr>
      <w:rPr>
        <w:rFonts w:ascii="Wingdings" w:hAnsi="Wingdings" w:hint="default"/>
      </w:rPr>
    </w:lvl>
    <w:lvl w:ilvl="2" w:tplc="04090005" w:tentative="1">
      <w:start w:val="1"/>
      <w:numFmt w:val="bullet"/>
      <w:lvlText w:val=""/>
      <w:lvlJc w:val="left"/>
      <w:pPr>
        <w:ind w:left="1583" w:hanging="400"/>
      </w:pPr>
      <w:rPr>
        <w:rFonts w:ascii="Wingdings" w:hAnsi="Wingdings" w:hint="default"/>
      </w:rPr>
    </w:lvl>
    <w:lvl w:ilvl="3" w:tplc="04090001" w:tentative="1">
      <w:start w:val="1"/>
      <w:numFmt w:val="bullet"/>
      <w:lvlText w:val=""/>
      <w:lvlJc w:val="left"/>
      <w:pPr>
        <w:ind w:left="1983" w:hanging="400"/>
      </w:pPr>
      <w:rPr>
        <w:rFonts w:ascii="Wingdings" w:hAnsi="Wingdings" w:hint="default"/>
      </w:rPr>
    </w:lvl>
    <w:lvl w:ilvl="4" w:tplc="04090003" w:tentative="1">
      <w:start w:val="1"/>
      <w:numFmt w:val="bullet"/>
      <w:lvlText w:val=""/>
      <w:lvlJc w:val="left"/>
      <w:pPr>
        <w:ind w:left="2383" w:hanging="400"/>
      </w:pPr>
      <w:rPr>
        <w:rFonts w:ascii="Wingdings" w:hAnsi="Wingdings" w:hint="default"/>
      </w:rPr>
    </w:lvl>
    <w:lvl w:ilvl="5" w:tplc="04090005" w:tentative="1">
      <w:start w:val="1"/>
      <w:numFmt w:val="bullet"/>
      <w:lvlText w:val=""/>
      <w:lvlJc w:val="left"/>
      <w:pPr>
        <w:ind w:left="2783" w:hanging="400"/>
      </w:pPr>
      <w:rPr>
        <w:rFonts w:ascii="Wingdings" w:hAnsi="Wingdings" w:hint="default"/>
      </w:rPr>
    </w:lvl>
    <w:lvl w:ilvl="6" w:tplc="04090001" w:tentative="1">
      <w:start w:val="1"/>
      <w:numFmt w:val="bullet"/>
      <w:lvlText w:val=""/>
      <w:lvlJc w:val="left"/>
      <w:pPr>
        <w:ind w:left="3183" w:hanging="400"/>
      </w:pPr>
      <w:rPr>
        <w:rFonts w:ascii="Wingdings" w:hAnsi="Wingdings" w:hint="default"/>
      </w:rPr>
    </w:lvl>
    <w:lvl w:ilvl="7" w:tplc="04090003" w:tentative="1">
      <w:start w:val="1"/>
      <w:numFmt w:val="bullet"/>
      <w:lvlText w:val=""/>
      <w:lvlJc w:val="left"/>
      <w:pPr>
        <w:ind w:left="3583" w:hanging="400"/>
      </w:pPr>
      <w:rPr>
        <w:rFonts w:ascii="Wingdings" w:hAnsi="Wingdings" w:hint="default"/>
      </w:rPr>
    </w:lvl>
    <w:lvl w:ilvl="8" w:tplc="04090005" w:tentative="1">
      <w:start w:val="1"/>
      <w:numFmt w:val="bullet"/>
      <w:lvlText w:val=""/>
      <w:lvlJc w:val="left"/>
      <w:pPr>
        <w:ind w:left="3983" w:hanging="400"/>
      </w:pPr>
      <w:rPr>
        <w:rFonts w:ascii="Wingdings" w:hAnsi="Wingdings" w:hint="default"/>
      </w:rPr>
    </w:lvl>
  </w:abstractNum>
  <w:abstractNum w:abstractNumId="18" w15:restartNumberingAfterBreak="0">
    <w:nsid w:val="626E54C0"/>
    <w:multiLevelType w:val="hybridMultilevel"/>
    <w:tmpl w:val="05ACF45A"/>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351553E"/>
    <w:multiLevelType w:val="hybridMultilevel"/>
    <w:tmpl w:val="D52CADEA"/>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57E542D"/>
    <w:multiLevelType w:val="hybridMultilevel"/>
    <w:tmpl w:val="5586568A"/>
    <w:lvl w:ilvl="0" w:tplc="37E4A926">
      <w:start w:val="1"/>
      <w:numFmt w:val="bullet"/>
      <w:lvlText w:val=""/>
      <w:lvlJc w:val="left"/>
      <w:pPr>
        <w:ind w:left="1166" w:hanging="400"/>
      </w:pPr>
      <w:rPr>
        <w:rFonts w:ascii="Wingdings" w:hAnsi="Wingdings" w:hint="default"/>
      </w:rPr>
    </w:lvl>
    <w:lvl w:ilvl="1" w:tplc="04090003" w:tentative="1">
      <w:start w:val="1"/>
      <w:numFmt w:val="bullet"/>
      <w:lvlText w:val=""/>
      <w:lvlJc w:val="left"/>
      <w:pPr>
        <w:ind w:left="1566" w:hanging="400"/>
      </w:pPr>
      <w:rPr>
        <w:rFonts w:ascii="Wingdings" w:hAnsi="Wingdings" w:hint="default"/>
      </w:rPr>
    </w:lvl>
    <w:lvl w:ilvl="2" w:tplc="04090005" w:tentative="1">
      <w:start w:val="1"/>
      <w:numFmt w:val="bullet"/>
      <w:lvlText w:val=""/>
      <w:lvlJc w:val="left"/>
      <w:pPr>
        <w:ind w:left="1966" w:hanging="400"/>
      </w:pPr>
      <w:rPr>
        <w:rFonts w:ascii="Wingdings" w:hAnsi="Wingdings" w:hint="default"/>
      </w:rPr>
    </w:lvl>
    <w:lvl w:ilvl="3" w:tplc="04090001" w:tentative="1">
      <w:start w:val="1"/>
      <w:numFmt w:val="bullet"/>
      <w:lvlText w:val=""/>
      <w:lvlJc w:val="left"/>
      <w:pPr>
        <w:ind w:left="2366" w:hanging="400"/>
      </w:pPr>
      <w:rPr>
        <w:rFonts w:ascii="Wingdings" w:hAnsi="Wingdings" w:hint="default"/>
      </w:rPr>
    </w:lvl>
    <w:lvl w:ilvl="4" w:tplc="04090003" w:tentative="1">
      <w:start w:val="1"/>
      <w:numFmt w:val="bullet"/>
      <w:lvlText w:val=""/>
      <w:lvlJc w:val="left"/>
      <w:pPr>
        <w:ind w:left="2766" w:hanging="400"/>
      </w:pPr>
      <w:rPr>
        <w:rFonts w:ascii="Wingdings" w:hAnsi="Wingdings" w:hint="default"/>
      </w:rPr>
    </w:lvl>
    <w:lvl w:ilvl="5" w:tplc="04090005" w:tentative="1">
      <w:start w:val="1"/>
      <w:numFmt w:val="bullet"/>
      <w:lvlText w:val=""/>
      <w:lvlJc w:val="left"/>
      <w:pPr>
        <w:ind w:left="3166" w:hanging="400"/>
      </w:pPr>
      <w:rPr>
        <w:rFonts w:ascii="Wingdings" w:hAnsi="Wingdings" w:hint="default"/>
      </w:rPr>
    </w:lvl>
    <w:lvl w:ilvl="6" w:tplc="04090001" w:tentative="1">
      <w:start w:val="1"/>
      <w:numFmt w:val="bullet"/>
      <w:lvlText w:val=""/>
      <w:lvlJc w:val="left"/>
      <w:pPr>
        <w:ind w:left="3566" w:hanging="400"/>
      </w:pPr>
      <w:rPr>
        <w:rFonts w:ascii="Wingdings" w:hAnsi="Wingdings" w:hint="default"/>
      </w:rPr>
    </w:lvl>
    <w:lvl w:ilvl="7" w:tplc="04090003" w:tentative="1">
      <w:start w:val="1"/>
      <w:numFmt w:val="bullet"/>
      <w:lvlText w:val=""/>
      <w:lvlJc w:val="left"/>
      <w:pPr>
        <w:ind w:left="3966" w:hanging="400"/>
      </w:pPr>
      <w:rPr>
        <w:rFonts w:ascii="Wingdings" w:hAnsi="Wingdings" w:hint="default"/>
      </w:rPr>
    </w:lvl>
    <w:lvl w:ilvl="8" w:tplc="04090005" w:tentative="1">
      <w:start w:val="1"/>
      <w:numFmt w:val="bullet"/>
      <w:lvlText w:val=""/>
      <w:lvlJc w:val="left"/>
      <w:pPr>
        <w:ind w:left="4366" w:hanging="400"/>
      </w:pPr>
      <w:rPr>
        <w:rFonts w:ascii="Wingdings" w:hAnsi="Wingdings" w:hint="default"/>
      </w:rPr>
    </w:lvl>
  </w:abstractNum>
  <w:abstractNum w:abstractNumId="21" w15:restartNumberingAfterBreak="0">
    <w:nsid w:val="6721290A"/>
    <w:multiLevelType w:val="hybridMultilevel"/>
    <w:tmpl w:val="FFDADF56"/>
    <w:lvl w:ilvl="0" w:tplc="2C3C5B7C">
      <w:numFmt w:val="bullet"/>
      <w:lvlText w:val="◆"/>
      <w:lvlJc w:val="left"/>
      <w:pPr>
        <w:ind w:left="760" w:hanging="360"/>
      </w:pPr>
      <w:rPr>
        <w:rFonts w:ascii="바탕" w:eastAsia="바탕" w:hAnsi="바탕" w:cs="바탕" w:hint="eastAsia"/>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7CB296A"/>
    <w:multiLevelType w:val="hybridMultilevel"/>
    <w:tmpl w:val="2AF2F990"/>
    <w:lvl w:ilvl="0" w:tplc="23BE98F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B9B5704"/>
    <w:multiLevelType w:val="hybridMultilevel"/>
    <w:tmpl w:val="102017C0"/>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BE208CE"/>
    <w:multiLevelType w:val="hybridMultilevel"/>
    <w:tmpl w:val="EEDE46D4"/>
    <w:lvl w:ilvl="0" w:tplc="37E4A926">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5" w15:restartNumberingAfterBreak="0">
    <w:nsid w:val="6C7C328D"/>
    <w:multiLevelType w:val="hybridMultilevel"/>
    <w:tmpl w:val="C48CA300"/>
    <w:lvl w:ilvl="0" w:tplc="37E4A926">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6" w15:restartNumberingAfterBreak="0">
    <w:nsid w:val="6F5856C1"/>
    <w:multiLevelType w:val="hybridMultilevel"/>
    <w:tmpl w:val="C2D893BA"/>
    <w:lvl w:ilvl="0" w:tplc="37E4A926">
      <w:start w:val="1"/>
      <w:numFmt w:val="bullet"/>
      <w:lvlText w:val=""/>
      <w:lvlJc w:val="left"/>
      <w:pPr>
        <w:ind w:left="783" w:hanging="400"/>
      </w:pPr>
      <w:rPr>
        <w:rFonts w:ascii="Wingdings" w:hAnsi="Wingdings" w:hint="default"/>
      </w:rPr>
    </w:lvl>
    <w:lvl w:ilvl="1" w:tplc="04090003" w:tentative="1">
      <w:start w:val="1"/>
      <w:numFmt w:val="bullet"/>
      <w:lvlText w:val=""/>
      <w:lvlJc w:val="left"/>
      <w:pPr>
        <w:ind w:left="1183" w:hanging="400"/>
      </w:pPr>
      <w:rPr>
        <w:rFonts w:ascii="Wingdings" w:hAnsi="Wingdings" w:hint="default"/>
      </w:rPr>
    </w:lvl>
    <w:lvl w:ilvl="2" w:tplc="04090005" w:tentative="1">
      <w:start w:val="1"/>
      <w:numFmt w:val="bullet"/>
      <w:lvlText w:val=""/>
      <w:lvlJc w:val="left"/>
      <w:pPr>
        <w:ind w:left="1583" w:hanging="400"/>
      </w:pPr>
      <w:rPr>
        <w:rFonts w:ascii="Wingdings" w:hAnsi="Wingdings" w:hint="default"/>
      </w:rPr>
    </w:lvl>
    <w:lvl w:ilvl="3" w:tplc="04090001" w:tentative="1">
      <w:start w:val="1"/>
      <w:numFmt w:val="bullet"/>
      <w:lvlText w:val=""/>
      <w:lvlJc w:val="left"/>
      <w:pPr>
        <w:ind w:left="1983" w:hanging="400"/>
      </w:pPr>
      <w:rPr>
        <w:rFonts w:ascii="Wingdings" w:hAnsi="Wingdings" w:hint="default"/>
      </w:rPr>
    </w:lvl>
    <w:lvl w:ilvl="4" w:tplc="04090003" w:tentative="1">
      <w:start w:val="1"/>
      <w:numFmt w:val="bullet"/>
      <w:lvlText w:val=""/>
      <w:lvlJc w:val="left"/>
      <w:pPr>
        <w:ind w:left="2383" w:hanging="400"/>
      </w:pPr>
      <w:rPr>
        <w:rFonts w:ascii="Wingdings" w:hAnsi="Wingdings" w:hint="default"/>
      </w:rPr>
    </w:lvl>
    <w:lvl w:ilvl="5" w:tplc="04090005" w:tentative="1">
      <w:start w:val="1"/>
      <w:numFmt w:val="bullet"/>
      <w:lvlText w:val=""/>
      <w:lvlJc w:val="left"/>
      <w:pPr>
        <w:ind w:left="2783" w:hanging="400"/>
      </w:pPr>
      <w:rPr>
        <w:rFonts w:ascii="Wingdings" w:hAnsi="Wingdings" w:hint="default"/>
      </w:rPr>
    </w:lvl>
    <w:lvl w:ilvl="6" w:tplc="04090001" w:tentative="1">
      <w:start w:val="1"/>
      <w:numFmt w:val="bullet"/>
      <w:lvlText w:val=""/>
      <w:lvlJc w:val="left"/>
      <w:pPr>
        <w:ind w:left="3183" w:hanging="400"/>
      </w:pPr>
      <w:rPr>
        <w:rFonts w:ascii="Wingdings" w:hAnsi="Wingdings" w:hint="default"/>
      </w:rPr>
    </w:lvl>
    <w:lvl w:ilvl="7" w:tplc="04090003" w:tentative="1">
      <w:start w:val="1"/>
      <w:numFmt w:val="bullet"/>
      <w:lvlText w:val=""/>
      <w:lvlJc w:val="left"/>
      <w:pPr>
        <w:ind w:left="3583" w:hanging="400"/>
      </w:pPr>
      <w:rPr>
        <w:rFonts w:ascii="Wingdings" w:hAnsi="Wingdings" w:hint="default"/>
      </w:rPr>
    </w:lvl>
    <w:lvl w:ilvl="8" w:tplc="04090005" w:tentative="1">
      <w:start w:val="1"/>
      <w:numFmt w:val="bullet"/>
      <w:lvlText w:val=""/>
      <w:lvlJc w:val="left"/>
      <w:pPr>
        <w:ind w:left="3983" w:hanging="400"/>
      </w:pPr>
      <w:rPr>
        <w:rFonts w:ascii="Wingdings" w:hAnsi="Wingdings" w:hint="default"/>
      </w:rPr>
    </w:lvl>
  </w:abstractNum>
  <w:abstractNum w:abstractNumId="27" w15:restartNumberingAfterBreak="0">
    <w:nsid w:val="6FE44DAB"/>
    <w:multiLevelType w:val="hybridMultilevel"/>
    <w:tmpl w:val="29F059C8"/>
    <w:lvl w:ilvl="0" w:tplc="37E4A92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7EC5ED1"/>
    <w:multiLevelType w:val="hybridMultilevel"/>
    <w:tmpl w:val="70004BE2"/>
    <w:lvl w:ilvl="0" w:tplc="37E4A926">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7812152B"/>
    <w:multiLevelType w:val="hybridMultilevel"/>
    <w:tmpl w:val="9690AAD0"/>
    <w:lvl w:ilvl="0" w:tplc="23BE98F0">
      <w:start w:val="1"/>
      <w:numFmt w:val="bullet"/>
      <w:lvlText w:val=""/>
      <w:lvlJc w:val="left"/>
      <w:pPr>
        <w:ind w:left="1183" w:hanging="400"/>
      </w:pPr>
      <w:rPr>
        <w:rFonts w:ascii="Wingdings" w:hAnsi="Wingdings" w:hint="default"/>
      </w:rPr>
    </w:lvl>
    <w:lvl w:ilvl="1" w:tplc="04090003" w:tentative="1">
      <w:start w:val="1"/>
      <w:numFmt w:val="bullet"/>
      <w:lvlText w:val=""/>
      <w:lvlJc w:val="left"/>
      <w:pPr>
        <w:ind w:left="1583" w:hanging="400"/>
      </w:pPr>
      <w:rPr>
        <w:rFonts w:ascii="Wingdings" w:hAnsi="Wingdings" w:hint="default"/>
      </w:rPr>
    </w:lvl>
    <w:lvl w:ilvl="2" w:tplc="04090005" w:tentative="1">
      <w:start w:val="1"/>
      <w:numFmt w:val="bullet"/>
      <w:lvlText w:val=""/>
      <w:lvlJc w:val="left"/>
      <w:pPr>
        <w:ind w:left="1983" w:hanging="400"/>
      </w:pPr>
      <w:rPr>
        <w:rFonts w:ascii="Wingdings" w:hAnsi="Wingdings" w:hint="default"/>
      </w:rPr>
    </w:lvl>
    <w:lvl w:ilvl="3" w:tplc="04090001" w:tentative="1">
      <w:start w:val="1"/>
      <w:numFmt w:val="bullet"/>
      <w:lvlText w:val=""/>
      <w:lvlJc w:val="left"/>
      <w:pPr>
        <w:ind w:left="2383" w:hanging="400"/>
      </w:pPr>
      <w:rPr>
        <w:rFonts w:ascii="Wingdings" w:hAnsi="Wingdings" w:hint="default"/>
      </w:rPr>
    </w:lvl>
    <w:lvl w:ilvl="4" w:tplc="04090003" w:tentative="1">
      <w:start w:val="1"/>
      <w:numFmt w:val="bullet"/>
      <w:lvlText w:val=""/>
      <w:lvlJc w:val="left"/>
      <w:pPr>
        <w:ind w:left="2783" w:hanging="400"/>
      </w:pPr>
      <w:rPr>
        <w:rFonts w:ascii="Wingdings" w:hAnsi="Wingdings" w:hint="default"/>
      </w:rPr>
    </w:lvl>
    <w:lvl w:ilvl="5" w:tplc="04090005" w:tentative="1">
      <w:start w:val="1"/>
      <w:numFmt w:val="bullet"/>
      <w:lvlText w:val=""/>
      <w:lvlJc w:val="left"/>
      <w:pPr>
        <w:ind w:left="3183" w:hanging="400"/>
      </w:pPr>
      <w:rPr>
        <w:rFonts w:ascii="Wingdings" w:hAnsi="Wingdings" w:hint="default"/>
      </w:rPr>
    </w:lvl>
    <w:lvl w:ilvl="6" w:tplc="04090001" w:tentative="1">
      <w:start w:val="1"/>
      <w:numFmt w:val="bullet"/>
      <w:lvlText w:val=""/>
      <w:lvlJc w:val="left"/>
      <w:pPr>
        <w:ind w:left="3583" w:hanging="400"/>
      </w:pPr>
      <w:rPr>
        <w:rFonts w:ascii="Wingdings" w:hAnsi="Wingdings" w:hint="default"/>
      </w:rPr>
    </w:lvl>
    <w:lvl w:ilvl="7" w:tplc="04090003" w:tentative="1">
      <w:start w:val="1"/>
      <w:numFmt w:val="bullet"/>
      <w:lvlText w:val=""/>
      <w:lvlJc w:val="left"/>
      <w:pPr>
        <w:ind w:left="3983" w:hanging="400"/>
      </w:pPr>
      <w:rPr>
        <w:rFonts w:ascii="Wingdings" w:hAnsi="Wingdings" w:hint="default"/>
      </w:rPr>
    </w:lvl>
    <w:lvl w:ilvl="8" w:tplc="04090005" w:tentative="1">
      <w:start w:val="1"/>
      <w:numFmt w:val="bullet"/>
      <w:lvlText w:val=""/>
      <w:lvlJc w:val="left"/>
      <w:pPr>
        <w:ind w:left="4383" w:hanging="400"/>
      </w:pPr>
      <w:rPr>
        <w:rFonts w:ascii="Wingdings" w:hAnsi="Wingdings" w:hint="default"/>
      </w:rPr>
    </w:lvl>
  </w:abstractNum>
  <w:abstractNum w:abstractNumId="30" w15:restartNumberingAfterBreak="0">
    <w:nsid w:val="7C6B5B31"/>
    <w:multiLevelType w:val="hybridMultilevel"/>
    <w:tmpl w:val="7BF26702"/>
    <w:lvl w:ilvl="0" w:tplc="37E4A926">
      <w:start w:val="1"/>
      <w:numFmt w:val="bullet"/>
      <w:lvlText w:val=""/>
      <w:lvlJc w:val="left"/>
      <w:pPr>
        <w:ind w:left="1166" w:hanging="400"/>
      </w:pPr>
      <w:rPr>
        <w:rFonts w:ascii="Wingdings" w:hAnsi="Wingdings" w:hint="default"/>
      </w:rPr>
    </w:lvl>
    <w:lvl w:ilvl="1" w:tplc="04090003" w:tentative="1">
      <w:start w:val="1"/>
      <w:numFmt w:val="bullet"/>
      <w:lvlText w:val=""/>
      <w:lvlJc w:val="left"/>
      <w:pPr>
        <w:ind w:left="1566" w:hanging="400"/>
      </w:pPr>
      <w:rPr>
        <w:rFonts w:ascii="Wingdings" w:hAnsi="Wingdings" w:hint="default"/>
      </w:rPr>
    </w:lvl>
    <w:lvl w:ilvl="2" w:tplc="04090005" w:tentative="1">
      <w:start w:val="1"/>
      <w:numFmt w:val="bullet"/>
      <w:lvlText w:val=""/>
      <w:lvlJc w:val="left"/>
      <w:pPr>
        <w:ind w:left="1966" w:hanging="400"/>
      </w:pPr>
      <w:rPr>
        <w:rFonts w:ascii="Wingdings" w:hAnsi="Wingdings" w:hint="default"/>
      </w:rPr>
    </w:lvl>
    <w:lvl w:ilvl="3" w:tplc="04090001" w:tentative="1">
      <w:start w:val="1"/>
      <w:numFmt w:val="bullet"/>
      <w:lvlText w:val=""/>
      <w:lvlJc w:val="left"/>
      <w:pPr>
        <w:ind w:left="2366" w:hanging="400"/>
      </w:pPr>
      <w:rPr>
        <w:rFonts w:ascii="Wingdings" w:hAnsi="Wingdings" w:hint="default"/>
      </w:rPr>
    </w:lvl>
    <w:lvl w:ilvl="4" w:tplc="04090003" w:tentative="1">
      <w:start w:val="1"/>
      <w:numFmt w:val="bullet"/>
      <w:lvlText w:val=""/>
      <w:lvlJc w:val="left"/>
      <w:pPr>
        <w:ind w:left="2766" w:hanging="400"/>
      </w:pPr>
      <w:rPr>
        <w:rFonts w:ascii="Wingdings" w:hAnsi="Wingdings" w:hint="default"/>
      </w:rPr>
    </w:lvl>
    <w:lvl w:ilvl="5" w:tplc="04090005" w:tentative="1">
      <w:start w:val="1"/>
      <w:numFmt w:val="bullet"/>
      <w:lvlText w:val=""/>
      <w:lvlJc w:val="left"/>
      <w:pPr>
        <w:ind w:left="3166" w:hanging="400"/>
      </w:pPr>
      <w:rPr>
        <w:rFonts w:ascii="Wingdings" w:hAnsi="Wingdings" w:hint="default"/>
      </w:rPr>
    </w:lvl>
    <w:lvl w:ilvl="6" w:tplc="04090001" w:tentative="1">
      <w:start w:val="1"/>
      <w:numFmt w:val="bullet"/>
      <w:lvlText w:val=""/>
      <w:lvlJc w:val="left"/>
      <w:pPr>
        <w:ind w:left="3566" w:hanging="400"/>
      </w:pPr>
      <w:rPr>
        <w:rFonts w:ascii="Wingdings" w:hAnsi="Wingdings" w:hint="default"/>
      </w:rPr>
    </w:lvl>
    <w:lvl w:ilvl="7" w:tplc="04090003" w:tentative="1">
      <w:start w:val="1"/>
      <w:numFmt w:val="bullet"/>
      <w:lvlText w:val=""/>
      <w:lvlJc w:val="left"/>
      <w:pPr>
        <w:ind w:left="3966" w:hanging="400"/>
      </w:pPr>
      <w:rPr>
        <w:rFonts w:ascii="Wingdings" w:hAnsi="Wingdings" w:hint="default"/>
      </w:rPr>
    </w:lvl>
    <w:lvl w:ilvl="8" w:tplc="04090005" w:tentative="1">
      <w:start w:val="1"/>
      <w:numFmt w:val="bullet"/>
      <w:lvlText w:val=""/>
      <w:lvlJc w:val="left"/>
      <w:pPr>
        <w:ind w:left="4366" w:hanging="400"/>
      </w:pPr>
      <w:rPr>
        <w:rFonts w:ascii="Wingdings" w:hAnsi="Wingdings" w:hint="default"/>
      </w:rPr>
    </w:lvl>
  </w:abstractNum>
  <w:num w:numId="1">
    <w:abstractNumId w:val="6"/>
  </w:num>
  <w:num w:numId="2">
    <w:abstractNumId w:val="4"/>
  </w:num>
  <w:num w:numId="3">
    <w:abstractNumId w:val="25"/>
  </w:num>
  <w:num w:numId="4">
    <w:abstractNumId w:val="13"/>
  </w:num>
  <w:num w:numId="5">
    <w:abstractNumId w:val="10"/>
  </w:num>
  <w:num w:numId="6">
    <w:abstractNumId w:val="7"/>
  </w:num>
  <w:num w:numId="7">
    <w:abstractNumId w:val="28"/>
  </w:num>
  <w:num w:numId="8">
    <w:abstractNumId w:val="12"/>
  </w:num>
  <w:num w:numId="9">
    <w:abstractNumId w:val="20"/>
  </w:num>
  <w:num w:numId="10">
    <w:abstractNumId w:val="27"/>
  </w:num>
  <w:num w:numId="11">
    <w:abstractNumId w:val="24"/>
  </w:num>
  <w:num w:numId="12">
    <w:abstractNumId w:val="30"/>
  </w:num>
  <w:num w:numId="13">
    <w:abstractNumId w:val="17"/>
  </w:num>
  <w:num w:numId="14">
    <w:abstractNumId w:val="9"/>
  </w:num>
  <w:num w:numId="15">
    <w:abstractNumId w:val="26"/>
  </w:num>
  <w:num w:numId="16">
    <w:abstractNumId w:val="8"/>
  </w:num>
  <w:num w:numId="17">
    <w:abstractNumId w:val="1"/>
  </w:num>
  <w:num w:numId="18">
    <w:abstractNumId w:val="0"/>
  </w:num>
  <w:num w:numId="19">
    <w:abstractNumId w:val="23"/>
  </w:num>
  <w:num w:numId="20">
    <w:abstractNumId w:val="14"/>
  </w:num>
  <w:num w:numId="21">
    <w:abstractNumId w:val="21"/>
  </w:num>
  <w:num w:numId="22">
    <w:abstractNumId w:val="3"/>
  </w:num>
  <w:num w:numId="23">
    <w:abstractNumId w:val="16"/>
  </w:num>
  <w:num w:numId="24">
    <w:abstractNumId w:val="22"/>
  </w:num>
  <w:num w:numId="25">
    <w:abstractNumId w:val="29"/>
  </w:num>
  <w:num w:numId="26">
    <w:abstractNumId w:val="11"/>
  </w:num>
  <w:num w:numId="27">
    <w:abstractNumId w:val="5"/>
  </w:num>
  <w:num w:numId="28">
    <w:abstractNumId w:val="15"/>
  </w:num>
  <w:num w:numId="29">
    <w:abstractNumId w:val="18"/>
  </w:num>
  <w:num w:numId="30">
    <w:abstractNumId w:val="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D3"/>
    <w:rsid w:val="00004541"/>
    <w:rsid w:val="00005A0C"/>
    <w:rsid w:val="00016B2D"/>
    <w:rsid w:val="00040F3A"/>
    <w:rsid w:val="000449E8"/>
    <w:rsid w:val="00045BEB"/>
    <w:rsid w:val="000579F8"/>
    <w:rsid w:val="000724BC"/>
    <w:rsid w:val="0008322A"/>
    <w:rsid w:val="00083605"/>
    <w:rsid w:val="000B1F75"/>
    <w:rsid w:val="000C4A65"/>
    <w:rsid w:val="000D1512"/>
    <w:rsid w:val="000E0B20"/>
    <w:rsid w:val="000F40D3"/>
    <w:rsid w:val="001046D4"/>
    <w:rsid w:val="00115ACC"/>
    <w:rsid w:val="001342DA"/>
    <w:rsid w:val="00161A0B"/>
    <w:rsid w:val="00163029"/>
    <w:rsid w:val="00195869"/>
    <w:rsid w:val="00195FAC"/>
    <w:rsid w:val="001A0021"/>
    <w:rsid w:val="001B1E68"/>
    <w:rsid w:val="001C659A"/>
    <w:rsid w:val="001E1AB8"/>
    <w:rsid w:val="001F246F"/>
    <w:rsid w:val="00212855"/>
    <w:rsid w:val="002A306B"/>
    <w:rsid w:val="002B6FEC"/>
    <w:rsid w:val="002C4234"/>
    <w:rsid w:val="002D4EE9"/>
    <w:rsid w:val="003319CA"/>
    <w:rsid w:val="00335ADD"/>
    <w:rsid w:val="003469FF"/>
    <w:rsid w:val="00352A59"/>
    <w:rsid w:val="0036426C"/>
    <w:rsid w:val="003B7DC5"/>
    <w:rsid w:val="003C09C6"/>
    <w:rsid w:val="003F6159"/>
    <w:rsid w:val="004148F7"/>
    <w:rsid w:val="00452672"/>
    <w:rsid w:val="00463B2A"/>
    <w:rsid w:val="00492771"/>
    <w:rsid w:val="004A63B7"/>
    <w:rsid w:val="004D1583"/>
    <w:rsid w:val="00520F91"/>
    <w:rsid w:val="005424EF"/>
    <w:rsid w:val="00547207"/>
    <w:rsid w:val="00554BB1"/>
    <w:rsid w:val="00556E18"/>
    <w:rsid w:val="00581BF2"/>
    <w:rsid w:val="005A6F1A"/>
    <w:rsid w:val="005F0B8C"/>
    <w:rsid w:val="00602233"/>
    <w:rsid w:val="0060694B"/>
    <w:rsid w:val="0066554E"/>
    <w:rsid w:val="00683F11"/>
    <w:rsid w:val="006958B7"/>
    <w:rsid w:val="006D11E2"/>
    <w:rsid w:val="00711C1D"/>
    <w:rsid w:val="00744350"/>
    <w:rsid w:val="00760767"/>
    <w:rsid w:val="00761E7F"/>
    <w:rsid w:val="007662B6"/>
    <w:rsid w:val="007A1947"/>
    <w:rsid w:val="007B5ECA"/>
    <w:rsid w:val="007C30DA"/>
    <w:rsid w:val="0081627E"/>
    <w:rsid w:val="00854EB7"/>
    <w:rsid w:val="00871A0D"/>
    <w:rsid w:val="008937B2"/>
    <w:rsid w:val="008A64FF"/>
    <w:rsid w:val="008C3FF5"/>
    <w:rsid w:val="009024BC"/>
    <w:rsid w:val="00921DD6"/>
    <w:rsid w:val="0095358A"/>
    <w:rsid w:val="0095431A"/>
    <w:rsid w:val="00966D9B"/>
    <w:rsid w:val="00972783"/>
    <w:rsid w:val="00980C2C"/>
    <w:rsid w:val="00997283"/>
    <w:rsid w:val="009A1303"/>
    <w:rsid w:val="009A4CF1"/>
    <w:rsid w:val="009D02D8"/>
    <w:rsid w:val="00A30F26"/>
    <w:rsid w:val="00A651F1"/>
    <w:rsid w:val="00A71962"/>
    <w:rsid w:val="00A87D97"/>
    <w:rsid w:val="00AB2D9A"/>
    <w:rsid w:val="00AB3533"/>
    <w:rsid w:val="00AB6872"/>
    <w:rsid w:val="00AC537A"/>
    <w:rsid w:val="00B146EC"/>
    <w:rsid w:val="00B17A00"/>
    <w:rsid w:val="00B2033F"/>
    <w:rsid w:val="00B23ABF"/>
    <w:rsid w:val="00B33911"/>
    <w:rsid w:val="00B544D5"/>
    <w:rsid w:val="00B6673A"/>
    <w:rsid w:val="00B84DDB"/>
    <w:rsid w:val="00BA0C66"/>
    <w:rsid w:val="00BA14F5"/>
    <w:rsid w:val="00BD46FB"/>
    <w:rsid w:val="00BE632B"/>
    <w:rsid w:val="00BF6BFD"/>
    <w:rsid w:val="00C02B11"/>
    <w:rsid w:val="00C0770E"/>
    <w:rsid w:val="00C14694"/>
    <w:rsid w:val="00C9192C"/>
    <w:rsid w:val="00C93B6B"/>
    <w:rsid w:val="00CA4A4B"/>
    <w:rsid w:val="00CC482C"/>
    <w:rsid w:val="00CD513C"/>
    <w:rsid w:val="00D00CA8"/>
    <w:rsid w:val="00D3674B"/>
    <w:rsid w:val="00D90F43"/>
    <w:rsid w:val="00DA686A"/>
    <w:rsid w:val="00DC50D3"/>
    <w:rsid w:val="00DC7396"/>
    <w:rsid w:val="00E13CFD"/>
    <w:rsid w:val="00E14AF7"/>
    <w:rsid w:val="00E25700"/>
    <w:rsid w:val="00E406E3"/>
    <w:rsid w:val="00E42F33"/>
    <w:rsid w:val="00E444F3"/>
    <w:rsid w:val="00E53408"/>
    <w:rsid w:val="00E85041"/>
    <w:rsid w:val="00E91F47"/>
    <w:rsid w:val="00EB5CE6"/>
    <w:rsid w:val="00EC0D37"/>
    <w:rsid w:val="00EC5C89"/>
    <w:rsid w:val="00EE7B72"/>
    <w:rsid w:val="00F01249"/>
    <w:rsid w:val="00F31A56"/>
    <w:rsid w:val="00F8322B"/>
    <w:rsid w:val="00F9573F"/>
    <w:rsid w:val="00FA3B42"/>
    <w:rsid w:val="00FC1754"/>
    <w:rsid w:val="00FD0C1C"/>
    <w:rsid w:val="00FD43F9"/>
    <w:rsid w:val="00FF498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D3CF30E-FFA8-4FE6-B5B6-AB1B80FE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휴먼명조" w:hAnsi="Times New Roman" w:cs="Times New Roman"/>
        <w:sz w:val="24"/>
        <w:szCs w:val="24"/>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C7396"/>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adjustRightInd w:val="0"/>
      <w:snapToGrid w:val="0"/>
      <w:spacing w:after="0" w:line="384" w:lineRule="auto"/>
      <w:textAlignment w:val="baseline"/>
    </w:pPr>
    <w:rPr>
      <w:rFonts w:ascii="바탕" w:eastAsia="바탕" w:hAnsi="바탕" w:cs="바탕"/>
      <w:color w:val="000000"/>
    </w:rPr>
  </w:style>
  <w:style w:type="paragraph" w:styleId="a4">
    <w:name w:val="Body Text"/>
    <w:basedOn w:val="a"/>
    <w:link w:val="Char"/>
    <w:uiPriority w:val="1"/>
    <w:pPr>
      <w:adjustRightInd w:val="0"/>
      <w:snapToGrid w:val="0"/>
      <w:spacing w:after="0" w:line="384" w:lineRule="auto"/>
      <w:ind w:left="300"/>
      <w:textAlignment w:val="baseline"/>
    </w:pPr>
    <w:rPr>
      <w:rFonts w:ascii="바탕" w:eastAsia="바탕" w:hAnsi="바탕" w:cs="바탕"/>
      <w:color w:val="000000"/>
      <w:szCs w:val="20"/>
    </w:rPr>
  </w:style>
  <w:style w:type="character" w:customStyle="1" w:styleId="Char">
    <w:name w:val="본문 Char"/>
    <w:basedOn w:val="a0"/>
    <w:link w:val="a4"/>
    <w:uiPriority w:val="99"/>
    <w:semiHidden/>
    <w:locked/>
    <w:rPr>
      <w:rFonts w:cs="Times New Roman"/>
    </w:rPr>
  </w:style>
  <w:style w:type="paragraph" w:customStyle="1" w:styleId="10">
    <w:name w:val="개요 1"/>
    <w:uiPriority w:val="2"/>
    <w:pPr>
      <w:widowControl w:val="0"/>
      <w:wordWrap w:val="0"/>
      <w:autoSpaceDE w:val="0"/>
      <w:autoSpaceDN w:val="0"/>
      <w:adjustRightInd w:val="0"/>
      <w:snapToGrid w:val="0"/>
      <w:spacing w:after="0" w:line="384" w:lineRule="auto"/>
      <w:ind w:left="200"/>
      <w:textAlignment w:val="baseline"/>
    </w:pPr>
    <w:rPr>
      <w:rFonts w:ascii="바탕" w:eastAsia="바탕" w:hAnsi="바탕" w:cs="바탕"/>
      <w:color w:val="000000"/>
    </w:rPr>
  </w:style>
  <w:style w:type="paragraph" w:customStyle="1" w:styleId="2">
    <w:name w:val="개요 2"/>
    <w:uiPriority w:val="3"/>
    <w:pPr>
      <w:widowControl w:val="0"/>
      <w:wordWrap w:val="0"/>
      <w:autoSpaceDE w:val="0"/>
      <w:autoSpaceDN w:val="0"/>
      <w:adjustRightInd w:val="0"/>
      <w:snapToGrid w:val="0"/>
      <w:spacing w:after="0" w:line="384" w:lineRule="auto"/>
      <w:ind w:left="400"/>
      <w:textAlignment w:val="baseline"/>
    </w:pPr>
    <w:rPr>
      <w:rFonts w:ascii="바탕" w:eastAsia="바탕" w:hAnsi="바탕" w:cs="바탕"/>
      <w:color w:val="000000"/>
    </w:rPr>
  </w:style>
  <w:style w:type="paragraph" w:customStyle="1" w:styleId="3">
    <w:name w:val="개요 3"/>
    <w:uiPriority w:val="4"/>
    <w:pPr>
      <w:widowControl w:val="0"/>
      <w:wordWrap w:val="0"/>
      <w:autoSpaceDE w:val="0"/>
      <w:autoSpaceDN w:val="0"/>
      <w:adjustRightInd w:val="0"/>
      <w:snapToGrid w:val="0"/>
      <w:spacing w:after="0" w:line="384" w:lineRule="auto"/>
      <w:ind w:left="600"/>
      <w:textAlignment w:val="baseline"/>
    </w:pPr>
    <w:rPr>
      <w:rFonts w:ascii="바탕" w:eastAsia="바탕" w:hAnsi="바탕" w:cs="바탕"/>
      <w:color w:val="000000"/>
    </w:rPr>
  </w:style>
  <w:style w:type="paragraph" w:customStyle="1" w:styleId="4">
    <w:name w:val="개요 4"/>
    <w:uiPriority w:val="5"/>
    <w:pPr>
      <w:widowControl w:val="0"/>
      <w:wordWrap w:val="0"/>
      <w:autoSpaceDE w:val="0"/>
      <w:autoSpaceDN w:val="0"/>
      <w:adjustRightInd w:val="0"/>
      <w:snapToGrid w:val="0"/>
      <w:spacing w:after="0" w:line="384" w:lineRule="auto"/>
      <w:ind w:left="800"/>
      <w:textAlignment w:val="baseline"/>
    </w:pPr>
    <w:rPr>
      <w:rFonts w:ascii="바탕" w:eastAsia="바탕" w:hAnsi="바탕" w:cs="바탕"/>
      <w:color w:val="000000"/>
    </w:rPr>
  </w:style>
  <w:style w:type="paragraph" w:customStyle="1" w:styleId="5">
    <w:name w:val="개요 5"/>
    <w:uiPriority w:val="6"/>
    <w:pPr>
      <w:widowControl w:val="0"/>
      <w:wordWrap w:val="0"/>
      <w:autoSpaceDE w:val="0"/>
      <w:autoSpaceDN w:val="0"/>
      <w:adjustRightInd w:val="0"/>
      <w:snapToGrid w:val="0"/>
      <w:spacing w:after="0" w:line="384" w:lineRule="auto"/>
      <w:ind w:left="1000"/>
      <w:textAlignment w:val="baseline"/>
    </w:pPr>
    <w:rPr>
      <w:rFonts w:ascii="바탕" w:eastAsia="바탕" w:hAnsi="바탕" w:cs="바탕"/>
      <w:color w:val="000000"/>
    </w:rPr>
  </w:style>
  <w:style w:type="paragraph" w:customStyle="1" w:styleId="6">
    <w:name w:val="개요 6"/>
    <w:uiPriority w:val="7"/>
    <w:pPr>
      <w:widowControl w:val="0"/>
      <w:wordWrap w:val="0"/>
      <w:autoSpaceDE w:val="0"/>
      <w:autoSpaceDN w:val="0"/>
      <w:adjustRightInd w:val="0"/>
      <w:snapToGrid w:val="0"/>
      <w:spacing w:after="0" w:line="384" w:lineRule="auto"/>
      <w:ind w:left="1200"/>
      <w:textAlignment w:val="baseline"/>
    </w:pPr>
    <w:rPr>
      <w:rFonts w:ascii="바탕" w:eastAsia="바탕" w:hAnsi="바탕" w:cs="바탕"/>
      <w:color w:val="000000"/>
    </w:rPr>
  </w:style>
  <w:style w:type="paragraph" w:customStyle="1" w:styleId="7">
    <w:name w:val="개요 7"/>
    <w:uiPriority w:val="8"/>
    <w:pPr>
      <w:widowControl w:val="0"/>
      <w:wordWrap w:val="0"/>
      <w:autoSpaceDE w:val="0"/>
      <w:autoSpaceDN w:val="0"/>
      <w:adjustRightInd w:val="0"/>
      <w:snapToGrid w:val="0"/>
      <w:spacing w:after="0" w:line="384" w:lineRule="auto"/>
      <w:ind w:left="1400"/>
      <w:textAlignment w:val="baseline"/>
    </w:pPr>
    <w:rPr>
      <w:rFonts w:ascii="바탕" w:eastAsia="바탕" w:hAnsi="바탕" w:cs="바탕"/>
      <w:color w:val="000000"/>
    </w:rPr>
  </w:style>
  <w:style w:type="paragraph" w:customStyle="1" w:styleId="a5">
    <w:name w:val="쪽 번호"/>
    <w:uiPriority w:val="9"/>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rPr>
  </w:style>
  <w:style w:type="paragraph" w:customStyle="1" w:styleId="a6">
    <w:name w:val="머리말"/>
    <w:uiPriority w:val="10"/>
    <w:pPr>
      <w:widowControl w:val="0"/>
      <w:autoSpaceDE w:val="0"/>
      <w:autoSpaceDN w:val="0"/>
      <w:adjustRightInd w:val="0"/>
      <w:snapToGrid w:val="0"/>
      <w:spacing w:after="0" w:line="360" w:lineRule="auto"/>
      <w:textAlignment w:val="baseline"/>
    </w:pPr>
    <w:rPr>
      <w:rFonts w:ascii="ÇÑÄÄ¹ÙÅÁ" w:hAnsi="ÇÑÄÄ¹ÙÅÁ" w:cs="ÇÑÄÄ¹ÙÅÁ"/>
      <w:color w:val="000000"/>
      <w:sz w:val="18"/>
      <w:szCs w:val="18"/>
    </w:rPr>
  </w:style>
  <w:style w:type="paragraph" w:customStyle="1" w:styleId="a7">
    <w:name w:val="각주"/>
    <w:uiPriority w:val="11"/>
    <w:pPr>
      <w:widowControl w:val="0"/>
      <w:wordWrap w:val="0"/>
      <w:autoSpaceDE w:val="0"/>
      <w:autoSpaceDN w:val="0"/>
      <w:adjustRightInd w:val="0"/>
      <w:snapToGrid w:val="0"/>
      <w:spacing w:after="0" w:line="312" w:lineRule="auto"/>
      <w:ind w:left="262" w:hanging="262"/>
      <w:textAlignment w:val="baseline"/>
    </w:pPr>
    <w:rPr>
      <w:rFonts w:ascii="바탕" w:eastAsia="바탕" w:hAnsi="바탕" w:cs="바탕"/>
      <w:color w:val="000000"/>
      <w:spacing w:val="-6"/>
      <w:w w:val="95"/>
      <w:sz w:val="18"/>
      <w:szCs w:val="18"/>
    </w:rPr>
  </w:style>
  <w:style w:type="paragraph" w:customStyle="1" w:styleId="a8">
    <w:name w:val="미주"/>
    <w:uiPriority w:val="12"/>
    <w:pPr>
      <w:widowControl w:val="0"/>
      <w:wordWrap w:val="0"/>
      <w:autoSpaceDE w:val="0"/>
      <w:autoSpaceDN w:val="0"/>
      <w:adjustRightInd w:val="0"/>
      <w:snapToGrid w:val="0"/>
      <w:spacing w:after="0" w:line="312" w:lineRule="auto"/>
      <w:ind w:left="262" w:hanging="262"/>
      <w:textAlignment w:val="baseline"/>
    </w:pPr>
    <w:rPr>
      <w:rFonts w:ascii="바탕" w:eastAsia="바탕" w:hAnsi="바탕" w:cs="바탕"/>
      <w:color w:val="000000"/>
      <w:spacing w:val="-6"/>
      <w:w w:val="95"/>
      <w:sz w:val="18"/>
      <w:szCs w:val="18"/>
    </w:rPr>
  </w:style>
  <w:style w:type="paragraph" w:customStyle="1" w:styleId="a9">
    <w:name w:val="메모"/>
    <w:uiPriority w:val="13"/>
    <w:pPr>
      <w:widowControl w:val="0"/>
      <w:wordWrap w:val="0"/>
      <w:autoSpaceDE w:val="0"/>
      <w:autoSpaceDN w:val="0"/>
      <w:adjustRightInd w:val="0"/>
      <w:spacing w:after="0" w:line="384" w:lineRule="auto"/>
      <w:textAlignment w:val="baseline"/>
    </w:pPr>
    <w:rPr>
      <w:rFonts w:ascii="ÇÑÄÄ¹ÙÅÁ" w:hAnsi="ÇÑÄÄ¹ÙÅÁ" w:cs="ÇÑÄÄ¹ÙÅÁ"/>
      <w:color w:val="000000"/>
      <w:spacing w:val="-6"/>
      <w:w w:val="95"/>
      <w:sz w:val="18"/>
      <w:szCs w:val="18"/>
    </w:rPr>
  </w:style>
  <w:style w:type="paragraph" w:styleId="aa">
    <w:name w:val="Balloon Text"/>
    <w:basedOn w:val="a"/>
    <w:link w:val="Char0"/>
    <w:uiPriority w:val="99"/>
    <w:semiHidden/>
    <w:unhideWhenUsed/>
    <w:rsid w:val="00B2033F"/>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a"/>
    <w:uiPriority w:val="99"/>
    <w:semiHidden/>
    <w:rsid w:val="00B2033F"/>
    <w:rPr>
      <w:rFonts w:asciiTheme="majorHAnsi" w:eastAsiaTheme="majorEastAsia" w:hAnsiTheme="majorHAnsi" w:cstheme="majorBidi"/>
      <w:sz w:val="18"/>
      <w:szCs w:val="18"/>
    </w:rPr>
  </w:style>
  <w:style w:type="paragraph" w:styleId="ab">
    <w:name w:val="header"/>
    <w:basedOn w:val="a"/>
    <w:link w:val="Char1"/>
    <w:uiPriority w:val="99"/>
    <w:unhideWhenUsed/>
    <w:rsid w:val="00B2033F"/>
    <w:pPr>
      <w:tabs>
        <w:tab w:val="center" w:pos="4513"/>
        <w:tab w:val="right" w:pos="9026"/>
      </w:tabs>
      <w:snapToGrid w:val="0"/>
    </w:pPr>
  </w:style>
  <w:style w:type="character" w:customStyle="1" w:styleId="Char1">
    <w:name w:val="머리글 Char"/>
    <w:basedOn w:val="a0"/>
    <w:link w:val="ab"/>
    <w:uiPriority w:val="99"/>
    <w:rsid w:val="00B2033F"/>
    <w:rPr>
      <w:szCs w:val="22"/>
    </w:rPr>
  </w:style>
  <w:style w:type="paragraph" w:styleId="ac">
    <w:name w:val="footer"/>
    <w:basedOn w:val="a"/>
    <w:link w:val="Char2"/>
    <w:uiPriority w:val="99"/>
    <w:unhideWhenUsed/>
    <w:rsid w:val="00B2033F"/>
    <w:pPr>
      <w:tabs>
        <w:tab w:val="center" w:pos="4513"/>
        <w:tab w:val="right" w:pos="9026"/>
      </w:tabs>
      <w:snapToGrid w:val="0"/>
    </w:pPr>
  </w:style>
  <w:style w:type="character" w:customStyle="1" w:styleId="Char2">
    <w:name w:val="바닥글 Char"/>
    <w:basedOn w:val="a0"/>
    <w:link w:val="ac"/>
    <w:uiPriority w:val="99"/>
    <w:rsid w:val="00B2033F"/>
    <w:rPr>
      <w:szCs w:val="22"/>
    </w:rPr>
  </w:style>
  <w:style w:type="paragraph" w:styleId="ad">
    <w:name w:val="List Paragraph"/>
    <w:basedOn w:val="a"/>
    <w:uiPriority w:val="34"/>
    <w:qFormat/>
    <w:rsid w:val="002A306B"/>
    <w:pPr>
      <w:ind w:leftChars="400" w:left="800"/>
    </w:pPr>
  </w:style>
  <w:style w:type="table" w:styleId="ae">
    <w:name w:val="Table Grid"/>
    <w:basedOn w:val="a1"/>
    <w:uiPriority w:val="39"/>
    <w:rsid w:val="0052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바탕글1"/>
    <w:basedOn w:val="a"/>
    <w:rsid w:val="001E1AB8"/>
    <w:pPr>
      <w:widowControl/>
      <w:wordWrap/>
      <w:autoSpaceDE/>
      <w:autoSpaceDN/>
      <w:snapToGrid w:val="0"/>
      <w:spacing w:after="0" w:line="384" w:lineRule="auto"/>
    </w:pPr>
    <w:rPr>
      <w:rFonts w:ascii="바탕" w:eastAsia="바탕" w:hAnsi="바탕" w:cs="굴림"/>
      <w:color w:val="000000"/>
      <w:szCs w:val="20"/>
    </w:rPr>
  </w:style>
  <w:style w:type="paragraph" w:styleId="af">
    <w:name w:val="No Spacing"/>
    <w:uiPriority w:val="1"/>
    <w:qFormat/>
    <w:rsid w:val="00DC7396"/>
    <w:pPr>
      <w:widowControl w:val="0"/>
      <w:wordWrap w:val="0"/>
      <w:autoSpaceDE w:val="0"/>
      <w:autoSpaceDN w:val="0"/>
      <w:spacing w:after="0" w:line="240" w:lineRule="auto"/>
    </w:pPr>
    <w:rPr>
      <w:szCs w:val="22"/>
    </w:rPr>
  </w:style>
  <w:style w:type="character" w:customStyle="1" w:styleId="1Char">
    <w:name w:val="제목 1 Char"/>
    <w:basedOn w:val="a0"/>
    <w:link w:val="1"/>
    <w:uiPriority w:val="9"/>
    <w:rsid w:val="00DC739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95">
      <w:bodyDiv w:val="1"/>
      <w:marLeft w:val="0"/>
      <w:marRight w:val="0"/>
      <w:marTop w:val="0"/>
      <w:marBottom w:val="0"/>
      <w:divBdr>
        <w:top w:val="none" w:sz="0" w:space="0" w:color="auto"/>
        <w:left w:val="none" w:sz="0" w:space="0" w:color="auto"/>
        <w:bottom w:val="none" w:sz="0" w:space="0" w:color="auto"/>
        <w:right w:val="none" w:sz="0" w:space="0" w:color="auto"/>
      </w:divBdr>
    </w:div>
    <w:div w:id="211044564">
      <w:bodyDiv w:val="1"/>
      <w:marLeft w:val="0"/>
      <w:marRight w:val="0"/>
      <w:marTop w:val="0"/>
      <w:marBottom w:val="0"/>
      <w:divBdr>
        <w:top w:val="none" w:sz="0" w:space="0" w:color="auto"/>
        <w:left w:val="none" w:sz="0" w:space="0" w:color="auto"/>
        <w:bottom w:val="none" w:sz="0" w:space="0" w:color="auto"/>
        <w:right w:val="none" w:sz="0" w:space="0" w:color="auto"/>
      </w:divBdr>
    </w:div>
    <w:div w:id="212427331">
      <w:bodyDiv w:val="1"/>
      <w:marLeft w:val="0"/>
      <w:marRight w:val="0"/>
      <w:marTop w:val="0"/>
      <w:marBottom w:val="0"/>
      <w:divBdr>
        <w:top w:val="none" w:sz="0" w:space="0" w:color="auto"/>
        <w:left w:val="none" w:sz="0" w:space="0" w:color="auto"/>
        <w:bottom w:val="none" w:sz="0" w:space="0" w:color="auto"/>
        <w:right w:val="none" w:sz="0" w:space="0" w:color="auto"/>
      </w:divBdr>
    </w:div>
    <w:div w:id="478500180">
      <w:bodyDiv w:val="1"/>
      <w:marLeft w:val="0"/>
      <w:marRight w:val="0"/>
      <w:marTop w:val="0"/>
      <w:marBottom w:val="0"/>
      <w:divBdr>
        <w:top w:val="none" w:sz="0" w:space="0" w:color="auto"/>
        <w:left w:val="none" w:sz="0" w:space="0" w:color="auto"/>
        <w:bottom w:val="none" w:sz="0" w:space="0" w:color="auto"/>
        <w:right w:val="none" w:sz="0" w:space="0" w:color="auto"/>
      </w:divBdr>
    </w:div>
    <w:div w:id="628752445">
      <w:bodyDiv w:val="1"/>
      <w:marLeft w:val="0"/>
      <w:marRight w:val="0"/>
      <w:marTop w:val="0"/>
      <w:marBottom w:val="0"/>
      <w:divBdr>
        <w:top w:val="none" w:sz="0" w:space="0" w:color="auto"/>
        <w:left w:val="none" w:sz="0" w:space="0" w:color="auto"/>
        <w:bottom w:val="none" w:sz="0" w:space="0" w:color="auto"/>
        <w:right w:val="none" w:sz="0" w:space="0" w:color="auto"/>
      </w:divBdr>
    </w:div>
    <w:div w:id="979310029">
      <w:bodyDiv w:val="1"/>
      <w:marLeft w:val="0"/>
      <w:marRight w:val="0"/>
      <w:marTop w:val="0"/>
      <w:marBottom w:val="0"/>
      <w:divBdr>
        <w:top w:val="none" w:sz="0" w:space="0" w:color="auto"/>
        <w:left w:val="none" w:sz="0" w:space="0" w:color="auto"/>
        <w:bottom w:val="none" w:sz="0" w:space="0" w:color="auto"/>
        <w:right w:val="none" w:sz="0" w:space="0" w:color="auto"/>
      </w:divBdr>
    </w:div>
    <w:div w:id="1294098217">
      <w:bodyDiv w:val="1"/>
      <w:marLeft w:val="0"/>
      <w:marRight w:val="0"/>
      <w:marTop w:val="0"/>
      <w:marBottom w:val="0"/>
      <w:divBdr>
        <w:top w:val="none" w:sz="0" w:space="0" w:color="auto"/>
        <w:left w:val="none" w:sz="0" w:space="0" w:color="auto"/>
        <w:bottom w:val="none" w:sz="0" w:space="0" w:color="auto"/>
        <w:right w:val="none" w:sz="0" w:space="0" w:color="auto"/>
      </w:divBdr>
    </w:div>
    <w:div w:id="185460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0CAC6-2847-4D96-AC1B-1A6749B6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1179</Words>
  <Characters>6725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I</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KNCP</dc:creator>
  <cp:lastModifiedBy>Windows 사용자</cp:lastModifiedBy>
  <cp:revision>3</cp:revision>
  <cp:lastPrinted>2018-09-19T05:49:00Z</cp:lastPrinted>
  <dcterms:created xsi:type="dcterms:W3CDTF">2018-10-05T05:18:00Z</dcterms:created>
  <dcterms:modified xsi:type="dcterms:W3CDTF">2018-12-06T00:23:00Z</dcterms:modified>
</cp:coreProperties>
</file>