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color w:val="595959"/>
          <w:sz w:val="20"/>
          <w:szCs w:val="20"/>
        </w:rPr>
        <w:t xml:space="preserve">PRT564 Data Analytics and Visualisation  |  Assessment 2  |  Group 1</w:t>
      </w:r>
    </w:p>
    <w:p>
      <w:pPr>
        <w:spacing w:after="80" w:before="120"/>
        <w:jc w:val="center"/>
      </w:pPr>
      <w:r>
        <w:rPr>
          <w:rFonts w:ascii="Arial" w:cs="Arial" w:eastAsia="Arial" w:hAnsi="Arial"/>
          <w:b/>
          <w:bCs/>
          <w:color w:val="1F4E79"/>
          <w:sz w:val="36"/>
          <w:szCs w:val="36"/>
        </w:rPr>
        <w:t xml:space="preserve">Data Preprocessing &amp; EDA Documentation</w:t>
      </w:r>
    </w:p>
    <w:p>
      <w:pPr>
        <w:spacing w:after="480" w:before="0"/>
        <w:jc w:val="center"/>
      </w:pPr>
      <w:r>
        <w:rPr>
          <w:rFonts w:ascii="Arial" w:cs="Arial" w:eastAsia="Arial" w:hAnsi="Arial"/>
          <w:color w:val="595959"/>
          <w:sz w:val="20"/>
          <w:szCs w:val="20"/>
        </w:rPr>
        <w:t xml:space="preserve">NT Crime Analysis &amp; Prediction  |  April 2026</w:t>
      </w:r>
    </w:p>
    <w:p>
      <w:pPr>
        <w:pStyle w:val="Heading1"/>
        <w:spacing w:after="160" w:before="320"/>
      </w:pPr>
      <w:r>
        <w:rPr>
          <w:rFonts w:ascii="Arial" w:cs="Arial" w:eastAsia="Arial" w:hAnsi="Arial"/>
          <w:b/>
          <w:bCs/>
          <w:color w:val="1F4E79"/>
          <w:sz w:val="28"/>
          <w:szCs w:val="28"/>
        </w:rPr>
        <w:t xml:space="preserve">Part A: Data Preprocessing</w:t>
      </w:r>
    </w:p>
    <w:p>
      <w:pPr>
        <w:spacing w:after="100" w:before="60"/>
      </w:pPr>
      <w:r>
        <w:rPr>
          <w:rFonts w:ascii="Arial" w:cs="Arial" w:eastAsia="Arial" w:hAnsi="Arial"/>
          <w:sz w:val="22"/>
          <w:szCs w:val="22"/>
        </w:rPr>
        <w:t xml:space="preserve">This section documents every decision made in the preprocessing pipeline (01_data_preprocessing.py), from raw data loading through to the final analysis-ready dataset.</w:t>
      </w:r>
    </w:p>
    <w:p>
      <w:pPr>
        <w:spacing w:after="80" w:before="80"/>
      </w:pPr>
      <w:r>
        <w:t xml:space="preserve"/>
      </w:r>
    </w:p>
    <w:p>
      <w:pPr>
        <w:pStyle w:val="Heading2"/>
        <w:spacing w:after="100" w:before="240"/>
      </w:pPr>
      <w:r>
        <w:rPr>
          <w:rFonts w:ascii="Arial" w:cs="Arial" w:eastAsia="Arial" w:hAnsi="Arial"/>
          <w:b/>
          <w:bCs/>
          <w:color w:val="2E74B5"/>
          <w:sz w:val="24"/>
          <w:szCs w:val="24"/>
        </w:rPr>
        <w:t xml:space="preserve">1. Source Datasets</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000"/>
        <w:gridCol w:w="800"/>
        <w:gridCol w:w="800"/>
      </w:tblGrid>
      <w:t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Dataset</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Coverage</w:t>
            </w:r>
          </w:p>
        </w:tc>
        <w:tc>
          <w:tcPr>
            <w:tcW w:type="dxa" w:w="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Rows</w:t>
            </w:r>
          </w:p>
        </w:tc>
        <w:tc>
          <w:tcPr>
            <w:tcW w:type="dxa" w:w="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Columns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NT Crime Statistics Dec 2025</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Dept of Attorney-General and Justice</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Monthly, Jan 2023 – Dec 2025</w:t>
            </w:r>
          </w:p>
        </w:tc>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7,884</w:t>
            </w:r>
          </w:p>
        </w:tc>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NT Government Regions 1986–2025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Dept of Health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Annual, demographic breakdown</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17,280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Wholesale Alcohol Supply 2023–2025</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Dept of Tourism and Hospitality</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Quarterly PAC by region</w:t>
            </w:r>
          </w:p>
        </w:tc>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70 (combined)</w:t>
            </w:r>
          </w:p>
        </w:tc>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12</w:t>
            </w:r>
          </w:p>
        </w:tc>
      </w:tr>
    </w:tbl>
    <w:p>
      <w:pPr>
        <w:spacing w:after="80" w:before="80"/>
      </w:pPr>
      <w:r>
        <w:t xml:space="preserve"/>
      </w:r>
    </w:p>
    <w:p>
      <w:pPr>
        <w:pStyle w:val="Heading2"/>
        <w:spacing w:after="100" w:before="240"/>
      </w:pPr>
      <w:r>
        <w:rPr>
          <w:rFonts w:ascii="Arial" w:cs="Arial" w:eastAsia="Arial" w:hAnsi="Arial"/>
          <w:b/>
          <w:bCs/>
          <w:color w:val="2E74B5"/>
          <w:sz w:val="24"/>
          <w:szCs w:val="24"/>
        </w:rPr>
        <w:t xml:space="preserve">2. Crime Data Cleaning (Step 1)</w:t>
      </w:r>
    </w:p>
    <w:p>
      <w:pPr>
        <w:spacing w:after="80" w:before="180"/>
      </w:pPr>
      <w:r>
        <w:rPr>
          <w:rFonts w:ascii="Arial" w:cs="Arial" w:eastAsia="Arial" w:hAnsi="Arial"/>
          <w:b/>
          <w:bCs/>
          <w:color w:val="2E74B5"/>
          <w:sz w:val="22"/>
          <w:szCs w:val="22"/>
        </w:rPr>
        <w:t xml:space="preserve">2.1  Drop Unknown Region and Year 2023</w:t>
      </w:r>
    </w:p>
    <w:p>
      <w:pPr>
        <w:spacing w:after="100" w:before="60"/>
      </w:pPr>
      <w:r>
        <w:rPr>
          <w:rFonts w:ascii="Arial" w:cs="Arial" w:eastAsia="Arial" w:hAnsi="Arial"/>
          <w:sz w:val="22"/>
          <w:szCs w:val="22"/>
        </w:rPr>
        <w:t xml:space="preserve">Rows with Reporting Region = 'Unknown' (8 offences) were removed as they have no geographic anchor. Year 2023 was also dropped entirely — the raw dataset contains only December 2023, and including a single month as a full year would introduce severe temporal bias. The analysis covers 2024 and 2025 only (24 complete months).</w:t>
      </w:r>
    </w:p>
    <w:p>
      <w:pPr>
        <w:spacing w:after="80" w:before="180"/>
      </w:pPr>
      <w:r>
        <w:rPr>
          <w:rFonts w:ascii="Arial" w:cs="Arial" w:eastAsia="Arial" w:hAnsi="Arial"/>
          <w:b/>
          <w:bCs/>
          <w:color w:val="2E74B5"/>
          <w:sz w:val="22"/>
          <w:szCs w:val="22"/>
        </w:rPr>
        <w:t xml:space="preserve">2.2  Region Remapping to Population Boundaries</w:t>
      </w:r>
    </w:p>
    <w:p>
      <w:pPr>
        <w:spacing w:after="100" w:before="60"/>
      </w:pPr>
      <w:r>
        <w:rPr>
          <w:rFonts w:ascii="Arial" w:cs="Arial" w:eastAsia="Arial" w:hAnsi="Arial"/>
          <w:sz w:val="22"/>
          <w:szCs w:val="22"/>
        </w:rPr>
        <w:t xml:space="preserve">This is the key design decision of the pipeline. The crime dataset uses 7 NT Police reporting regions while population data uses 6 NT Government statistical regions. All crime rows were remapped to match the 6 population regions exactly, ensuring that crime rate per 100k is calculated against the correct population denominator for each region.</w:t>
      </w:r>
    </w:p>
    <w:p>
      <w:pPr>
        <w:spacing w:after="80" w:before="80"/>
      </w:pPr>
      <w:r>
        <w:t xml:space="preserve"/>
      </w:r>
    </w:p>
    <w:p>
      <w:pPr>
        <w:spacing w:after="100" w:before="60"/>
      </w:pPr>
      <w:r>
        <w:rPr>
          <w:rFonts w:ascii="Arial" w:cs="Arial" w:eastAsia="Arial" w:hAnsi="Arial"/>
          <w:b/>
          <w:bCs/>
          <w:sz w:val="22"/>
          <w:szCs w:val="22"/>
        </w:rPr>
        <w:t xml:space="preserve">Stage 1 — Direct region mapping:</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4200"/>
        <w:gridCol w:w="4300"/>
      </w:tblGrid>
      <w:tr>
        <w:tc>
          <w:tcPr>
            <w:tcW w:type="dxa" w:w="4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Original Crime Region</w:t>
            </w:r>
          </w:p>
        </w:tc>
        <w:tc>
          <w:tcPr>
            <w:tcW w:type="dxa" w:w="43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Remapped to Population Region</w:t>
            </w:r>
          </w:p>
        </w:tc>
      </w:tr>
      <w:tr>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Darwin + Palmerston</w:t>
            </w:r>
          </w:p>
        </w:tc>
        <w:tc>
          <w:tcPr>
            <w:tcW w:type="dxa" w:w="4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Greater Darwin</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Alice Springs</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Central Australia</w:t>
            </w:r>
          </w:p>
        </w:tc>
      </w:tr>
      <w:tr>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Katherine</w:t>
            </w:r>
          </w:p>
        </w:tc>
        <w:tc>
          <w:tcPr>
            <w:tcW w:type="dxa" w:w="4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Big Rivers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Nhulunbuy</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East Arnhem</w:t>
            </w:r>
          </w:p>
        </w:tc>
      </w:tr>
      <w:tr>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Tennant Creek</w:t>
            </w:r>
          </w:p>
        </w:tc>
        <w:tc>
          <w:tcPr>
            <w:tcW w:type="dxa" w:w="4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Barkly</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NT Balance (unmatched SA2)</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Top End (fallback)</w:t>
            </w:r>
          </w:p>
        </w:tc>
      </w:tr>
    </w:tbl>
    <w:p>
      <w:pPr>
        <w:spacing w:after="80" w:before="80"/>
      </w:pPr>
      <w:r>
        <w:t xml:space="preserve"/>
      </w:r>
    </w:p>
    <w:p>
      <w:pPr>
        <w:spacing w:after="100" w:before="60"/>
      </w:pPr>
      <w:r>
        <w:rPr>
          <w:rFonts w:ascii="Arial" w:cs="Arial" w:eastAsia="Arial" w:hAnsi="Arial"/>
          <w:b/>
          <w:bCs/>
          <w:sz w:val="22"/>
          <w:szCs w:val="22"/>
        </w:rPr>
        <w:t xml:space="preserve">Stage 2 — SA2-level remapping within NT Balance:</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4200"/>
        <w:gridCol w:w="4300"/>
      </w:tblGrid>
      <w:tr>
        <w:tc>
          <w:tcPr>
            <w:tcW w:type="dxa" w:w="4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SA2 Area</w:t>
            </w:r>
          </w:p>
        </w:tc>
        <w:tc>
          <w:tcPr>
            <w:tcW w:type="dxa" w:w="43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Remapped to Population Region</w:t>
            </w:r>
          </w:p>
        </w:tc>
      </w:tr>
      <w:tr>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Barkly, Sandover-Plenty</w:t>
            </w:r>
          </w:p>
        </w:tc>
        <w:tc>
          <w:tcPr>
            <w:tcW w:type="dxa" w:w="4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Barkly</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Elsey, Gulf, Victoria River</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Big Rivers</w:t>
            </w:r>
          </w:p>
        </w:tc>
      </w:tr>
      <w:tr>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Petermann-Simpson, Tanami, Yuendumu-Anmatjere</w:t>
            </w:r>
          </w:p>
        </w:tc>
        <w:tc>
          <w:tcPr>
            <w:tcW w:type="dxa" w:w="4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Central Australia</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East Arnhem, Anindilyakwa</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East Arnhem</w:t>
            </w:r>
          </w:p>
        </w:tc>
      </w:tr>
      <w:tr>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Alligator, West Arnhem, Thamarrurr, Tiwi Islands, Daly</w:t>
            </w:r>
          </w:p>
        </w:tc>
        <w:tc>
          <w:tcPr>
            <w:tcW w:type="dxa" w:w="4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Top End</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Howard Springs, Humpty Doo, Koolpinyah, Virginia, Weddell</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Greater Darwin</w:t>
            </w:r>
          </w:p>
        </w:tc>
      </w:tr>
      <w:tr>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Unknown SA2</w:t>
            </w:r>
          </w:p>
        </w:tc>
        <w:tc>
          <w:tcPr>
            <w:tcW w:type="dxa" w:w="4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Top End (cannot be assigned — documented limitation)</w:t>
            </w:r>
          </w:p>
        </w:tc>
      </w:tr>
    </w:tbl>
    <w:p>
      <w:pPr>
        <w:spacing w:after="80" w:before="80"/>
      </w:pPr>
      <w:r>
        <w:t xml:space="preserve"/>
      </w:r>
    </w:p>
    <w:p>
      <w:pPr>
        <w:spacing w:after="100" w:before="60"/>
      </w:pPr>
      <w:r>
        <w:rPr>
          <w:rFonts w:ascii="Arial" w:cs="Arial" w:eastAsia="Arial" w:hAnsi="Arial"/>
          <w:b/>
          <w:bCs/>
          <w:i/>
          <w:iCs/>
          <w:color w:val="C00000"/>
          <w:sz w:val="22"/>
          <w:szCs w:val="22"/>
        </w:rPr>
        <w:t xml:space="preserve">Note: </w:t>
      </w:r>
      <w:r>
        <w:rPr>
          <w:rFonts w:ascii="Arial" w:cs="Arial" w:eastAsia="Arial" w:hAnsi="Arial"/>
          <w:i/>
          <w:iCs/>
          <w:color w:val="595959"/>
          <w:sz w:val="22"/>
          <w:szCs w:val="22"/>
        </w:rPr>
        <w:t xml:space="preserve">After remapping, both the Reporting Region and Statistical Area 2 columns were dropped in favour of the new Region column.</w:t>
      </w:r>
    </w:p>
    <w:p>
      <w:pPr>
        <w:spacing w:after="80" w:before="180"/>
      </w:pPr>
      <w:r>
        <w:rPr>
          <w:rFonts w:ascii="Arial" w:cs="Arial" w:eastAsia="Arial" w:hAnsi="Arial"/>
          <w:b/>
          <w:bCs/>
          <w:color w:val="2E74B5"/>
          <w:sz w:val="22"/>
          <w:szCs w:val="22"/>
        </w:rPr>
        <w:t xml:space="preserve">2.3  Derive Quarter and Encode Binary Columns</w:t>
      </w:r>
    </w:p>
    <w:p>
      <w:pPr>
        <w:spacing w:after="100" w:before="60"/>
      </w:pPr>
      <w:r>
        <w:rPr>
          <w:rFonts w:ascii="Arial" w:cs="Arial" w:eastAsia="Arial" w:hAnsi="Arial"/>
          <w:sz w:val="22"/>
          <w:szCs w:val="22"/>
        </w:rPr>
        <w:t xml:space="preserve">A Quarter column (1–4) was derived from Month number to enable joining with quarterly alcohol supply data. Alcohol involvement and DV involvement were encoded as binary integers (0/1), with '-' (not applicable) encoded as 0.</w:t>
      </w:r>
    </w:p>
    <w:p>
      <w:pPr>
        <w:spacing w:after="80" w:before="80"/>
      </w:pPr>
      <w:r>
        <w:t xml:space="preserve"/>
      </w:r>
    </w:p>
    <w:p>
      <w:pPr>
        <w:pStyle w:val="Heading2"/>
        <w:spacing w:after="100" w:before="240"/>
      </w:pPr>
      <w:r>
        <w:rPr>
          <w:rFonts w:ascii="Arial" w:cs="Arial" w:eastAsia="Arial" w:hAnsi="Arial"/>
          <w:b/>
          <w:bCs/>
          <w:color w:val="2E74B5"/>
          <w:sz w:val="24"/>
          <w:szCs w:val="24"/>
        </w:rPr>
        <w:t xml:space="preserve">3. Population Data Processing (Step 2)</w:t>
      </w:r>
    </w:p>
    <w:p>
      <w:pPr>
        <w:spacing w:after="100" w:before="60"/>
      </w:pPr>
      <w:r>
        <w:rPr>
          <w:rFonts w:ascii="Arial" w:cs="Arial" w:eastAsia="Arial" w:hAnsi="Arial"/>
          <w:sz w:val="22"/>
          <w:szCs w:val="22"/>
        </w:rPr>
        <w:t xml:space="preserve">Population data was filtered to 2024–2025. The following features were computed per region per year as flat columns:</w:t>
      </w:r>
    </w:p>
    <w:p>
      <w:pPr>
        <w:spacing w:after="80" w:before="80"/>
      </w:pPr>
      <w:r>
        <w:t xml:space="preserve"/>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3000"/>
        <w:gridCol w:w="5500"/>
      </w:tblGrid>
      <w:t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5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Total_population</w:t>
            </w:r>
          </w:p>
        </w:tc>
        <w:tc>
          <w:tcPr>
            <w:tcW w:type="dxa" w:w="5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Total headcount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Aboriginal / Non-Aboriginal</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Raw population counts by Indigenous status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Male / Female</w:t>
            </w:r>
          </w:p>
        </w:tc>
        <w:tc>
          <w:tcPr>
            <w:tcW w:type="dxa" w:w="5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Raw population counts by sex</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Pop_age_0 to Pop_age_85plus</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 individual age group columns (5-year bands)</w:t>
            </w:r>
          </w:p>
        </w:tc>
      </w:tr>
    </w:tbl>
    <w:p>
      <w:pPr>
        <w:spacing w:after="80" w:before="80"/>
      </w:pPr>
      <w:r>
        <w:t xml:space="preserve"/>
      </w:r>
    </w:p>
    <w:p>
      <w:pPr>
        <w:pStyle w:val="Heading2"/>
        <w:spacing w:after="100" w:before="240"/>
      </w:pPr>
      <w:r>
        <w:rPr>
          <w:rFonts w:ascii="Arial" w:cs="Arial" w:eastAsia="Arial" w:hAnsi="Arial"/>
          <w:b/>
          <w:bCs/>
          <w:color w:val="2E74B5"/>
          <w:sz w:val="24"/>
          <w:szCs w:val="24"/>
        </w:rPr>
        <w:t xml:space="preserve">4. Alcohol Data Processing (Step 3)</w:t>
      </w:r>
    </w:p>
    <w:p>
      <w:pPr>
        <w:spacing w:after="100" w:before="60"/>
      </w:pPr>
      <w:r>
        <w:rPr>
          <w:rFonts w:ascii="Arial" w:cs="Arial" w:eastAsia="Arial" w:hAnsi="Arial"/>
          <w:sz w:val="22"/>
          <w:szCs w:val="22"/>
        </w:rPr>
        <w:t xml:space="preserve">Alcohol supply files for 2023, 2024, and 2025 were combined. The 2023 data was retained for use as reference in PAC imputation (see Step 4). Alcohol regions were remapped to match population regions: Darwin and Palmerston PAC values were summed into Greater Darwin. All PAC columns were rounded to integer values (litres of pure alcohol).</w:t>
      </w:r>
    </w:p>
    <w:p>
      <w:pPr>
        <w:spacing w:after="80" w:before="80"/>
      </w:pPr>
      <w:r>
        <w:t xml:space="preserve"/>
      </w:r>
    </w:p>
    <w:p>
      <w:pPr>
        <w:pStyle w:val="Heading2"/>
        <w:spacing w:after="100" w:before="240"/>
      </w:pPr>
      <w:r>
        <w:rPr>
          <w:rFonts w:ascii="Arial" w:cs="Arial" w:eastAsia="Arial" w:hAnsi="Arial"/>
          <w:b/>
          <w:bCs/>
          <w:color w:val="2E74B5"/>
          <w:sz w:val="24"/>
          <w:szCs w:val="24"/>
        </w:rPr>
        <w:t xml:space="preserve">5. Dataset Integration (Step 4)</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500"/>
        <w:gridCol w:w="3000"/>
      </w:tblGrid>
      <w:t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Join</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Keys</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Crime + Alcohol</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Year, Quarter, Region</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Left join</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All crime rows retained; PAC null for Q3–Q4 2025</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Population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Year, Region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Left join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 unmatched rows</w:t>
            </w:r>
          </w:p>
        </w:tc>
      </w:tr>
    </w:tbl>
    <w:p>
      <w:pPr>
        <w:spacing w:after="80" w:before="80"/>
      </w:pPr>
      <w:r>
        <w:t xml:space="preserve"/>
      </w:r>
    </w:p>
    <w:p>
      <w:pPr>
        <w:spacing w:after="100" w:before="60"/>
      </w:pPr>
      <w:r>
        <w:rPr>
          <w:rFonts w:ascii="Arial" w:cs="Arial" w:eastAsia="Arial" w:hAnsi="Arial"/>
          <w:sz w:val="22"/>
          <w:szCs w:val="22"/>
        </w:rPr>
        <w:t xml:space="preserve">After joining, rows were aggregated by summing Number of offences across all grouping dimensions, reducing the dataset from 7,554 to 3,202 rows while preserving the Alcohol and DV involvement breakdown.</w:t>
      </w:r>
    </w:p>
    <w:p>
      <w:pPr>
        <w:spacing w:after="100" w:before="60"/>
      </w:pPr>
      <w:r>
        <w:rPr>
          <w:rFonts w:ascii="Arial" w:cs="Arial" w:eastAsia="Arial" w:hAnsi="Arial"/>
          <w:sz w:val="22"/>
          <w:szCs w:val="22"/>
        </w:rPr>
        <w:t xml:space="preserve">Q3–Q4 2025 PAC values (missing due to publication lag) were imputed using the mean of the same region and quarter from 2023–2024, justified by the stable seasonal pattern of NT alcohol supply. After imputation, zero null values remain.</w:t>
      </w:r>
    </w:p>
    <w:p>
      <w:pPr>
        <w:spacing w:after="100" w:before="60"/>
      </w:pPr>
      <w:r>
        <w:rPr>
          <w:rFonts w:ascii="Arial" w:cs="Arial" w:eastAsia="Arial" w:hAnsi="Arial"/>
          <w:sz w:val="22"/>
          <w:szCs w:val="22"/>
        </w:rPr>
        <w:t xml:space="preserve">Region was one-hot encoded with Greater Darwin as the reference category (largest, most urbanised region). Five dummy columns were created: Region_Barkly, Region_Big Rivers, Region_Central Australia, Region_East Arnhem, Region_Top End.</w:t>
      </w:r>
    </w:p>
    <w:p>
      <w:pPr>
        <w:spacing w:after="80" w:before="80"/>
      </w:pPr>
      <w:r>
        <w:t xml:space="preserve"/>
      </w:r>
    </w:p>
    <w:p>
      <w:pPr>
        <w:pStyle w:val="Heading2"/>
        <w:spacing w:after="100" w:before="240"/>
      </w:pPr>
      <w:r>
        <w:rPr>
          <w:rFonts w:ascii="Arial" w:cs="Arial" w:eastAsia="Arial" w:hAnsi="Arial"/>
          <w:b/>
          <w:bCs/>
          <w:color w:val="2E74B5"/>
          <w:sz w:val="24"/>
          <w:szCs w:val="24"/>
        </w:rPr>
        <w:t xml:space="preserve">6. Final Dataset Summary</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3000"/>
        <w:gridCol w:w="5500"/>
      </w:tblGrid>
      <w:t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5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File</w:t>
            </w:r>
          </w:p>
        </w:tc>
        <w:tc>
          <w:tcPr>
            <w:tcW w:type="dxa" w:w="5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nt_crime_merged.csv</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Rows</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3,202</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Columns</w:t>
            </w:r>
          </w:p>
        </w:tc>
        <w:tc>
          <w:tcPr>
            <w:tcW w:type="dxa" w:w="5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47</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Year coverage</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2024 – 2025 (24 full months)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Regions</w:t>
            </w:r>
          </w:p>
        </w:tc>
        <w:tc>
          <w:tcPr>
            <w:tcW w:type="dxa" w:w="5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6: Barkly, Big Rivers, Central Australia, East Arnhem, Greater Darwin, Top End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Null values</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 — dataset is complete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Duplicates</w:t>
            </w:r>
          </w:p>
        </w:tc>
        <w:tc>
          <w:tcPr>
            <w:tcW w:type="dxa" w:w="5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w:t>
            </w:r>
          </w:p>
        </w:tc>
      </w:tr>
    </w:tbl>
    <w:p>
      <w:pPr>
        <w:spacing w:after="80" w:before="80"/>
      </w:pPr>
      <w:r>
        <w:t xml:space="preserve"/>
      </w:r>
    </w:p>
    <w:p>
      <w:pPr>
        <w:pStyle w:val="Heading2"/>
        <w:spacing w:after="100" w:before="240"/>
      </w:pPr>
      <w:r>
        <w:rPr>
          <w:rFonts w:ascii="Arial" w:cs="Arial" w:eastAsia="Arial" w:hAnsi="Arial"/>
          <w:b/>
          <w:bCs/>
          <w:color w:val="2E74B5"/>
          <w:sz w:val="24"/>
          <w:szCs w:val="24"/>
        </w:rPr>
        <w:t xml:space="preserve">7. Known Limitations</w:t>
      </w:r>
    </w:p>
    <w:p>
      <w:pPr>
        <w:pStyle w:val="ListParagraph"/>
        <w:numPr>
          <w:ilvl w:val="0"/>
          <w:numId w:val="2"/>
        </w:numPr>
        <w:spacing w:after="40" w:before="40"/>
      </w:pPr>
      <w:r>
        <w:rPr>
          <w:rFonts w:ascii="Arial" w:cs="Arial" w:eastAsia="Arial" w:hAnsi="Arial"/>
          <w:sz w:val="22"/>
          <w:szCs w:val="22"/>
        </w:rPr>
        <w:t xml:space="preserve">Unknown SA2 rows within NT Balance could not be sub-assigned and remain in Top End, introducing a small upward bias in Top End per-capita rates.</w:t>
      </w:r>
    </w:p>
    <w:p>
      <w:pPr>
        <w:pStyle w:val="ListParagraph"/>
        <w:numPr>
          <w:ilvl w:val="0"/>
          <w:numId w:val="2"/>
        </w:numPr>
        <w:spacing w:after="40" w:before="40"/>
      </w:pPr>
      <w:r>
        <w:rPr>
          <w:rFonts w:ascii="Arial" w:cs="Arial" w:eastAsia="Arial" w:hAnsi="Arial"/>
          <w:sz w:val="22"/>
          <w:szCs w:val="22"/>
        </w:rPr>
        <w:t xml:space="preserve">Darwin and Palmerston are merged into Greater Darwin — sub-city granularity is lost but population accuracy is gained.</w:t>
      </w:r>
    </w:p>
    <w:p>
      <w:pPr>
        <w:pStyle w:val="ListParagraph"/>
        <w:numPr>
          <w:ilvl w:val="0"/>
          <w:numId w:val="2"/>
        </w:numPr>
        <w:spacing w:after="40" w:before="40"/>
      </w:pPr>
      <w:r>
        <w:rPr>
          <w:rFonts w:ascii="Arial" w:cs="Arial" w:eastAsia="Arial" w:hAnsi="Arial"/>
          <w:sz w:val="22"/>
          <w:szCs w:val="22"/>
        </w:rPr>
        <w:t xml:space="preserve">Alcohol supply tracks wholesale supply to retailers, not actual consumption, and is used as a proxy.</w:t>
      </w:r>
    </w:p>
    <w:p>
      <w:pPr>
        <w:pStyle w:val="ListParagraph"/>
        <w:numPr>
          <w:ilvl w:val="0"/>
          <w:numId w:val="2"/>
        </w:numPr>
        <w:spacing w:after="40" w:before="40"/>
      </w:pPr>
      <w:r>
        <w:rPr>
          <w:rFonts w:ascii="Arial" w:cs="Arial" w:eastAsia="Arial" w:hAnsi="Arial"/>
          <w:sz w:val="22"/>
          <w:szCs w:val="22"/>
        </w:rPr>
        <w:t xml:space="preserve">Population data is annual — seasonal population movements are not captured.</w:t>
      </w:r>
    </w:p>
    <w:p>
      <w:pPr>
        <w:pStyle w:val="ListParagraph"/>
        <w:numPr>
          <w:ilvl w:val="0"/>
          <w:numId w:val="2"/>
        </w:numPr>
        <w:spacing w:after="40" w:before="40"/>
      </w:pPr>
      <w:r>
        <w:rPr>
          <w:rFonts w:ascii="Arial" w:cs="Arial" w:eastAsia="Arial" w:hAnsi="Arial"/>
          <w:sz w:val="22"/>
          <w:szCs w:val="22"/>
        </w:rPr>
        <w:t xml:space="preserve">PAC values for Q3–Q4 2025 were imputed from 2023–2024 same-quarter averages.</w:t>
      </w:r>
    </w:p>
    <w:p>
      <w:pPr>
        <w:pStyle w:val="ListParagraph"/>
        <w:numPr>
          <w:ilvl w:val="0"/>
          <w:numId w:val="2"/>
        </w:numPr>
        <w:spacing w:after="40" w:before="40"/>
      </w:pPr>
      <w:r>
        <w:rPr>
          <w:rFonts w:ascii="Arial" w:cs="Arial" w:eastAsia="Arial" w:hAnsi="Arial"/>
          <w:sz w:val="22"/>
          <w:szCs w:val="22"/>
        </w:rPr>
        <w:t xml:space="preserve">Crime data reflects reported incidents only — underreporting in remote regions is a recognised limitation.</w:t>
      </w:r>
    </w:p>
    <w:p>
      <w:pPr>
        <w:spacing w:after="80" w:before="80"/>
      </w:pPr>
      <w:r>
        <w:t xml:space="preserve"/>
      </w:r>
    </w:p>
    <w:p>
      <w:pPr>
        <w:pStyle w:val="Heading1"/>
        <w:spacing w:after="160" w:before="320"/>
      </w:pPr>
      <w:r>
        <w:rPr>
          <w:rFonts w:ascii="Arial" w:cs="Arial" w:eastAsia="Arial" w:hAnsi="Arial"/>
          <w:b/>
          <w:bCs/>
          <w:color w:val="1F4E79"/>
          <w:sz w:val="28"/>
          <w:szCs w:val="28"/>
        </w:rPr>
        <w:t xml:space="preserve">Part B: Exploratory Data Analysis</w:t>
      </w:r>
    </w:p>
    <w:p>
      <w:pPr>
        <w:spacing w:after="100" w:before="60"/>
      </w:pPr>
      <w:r>
        <w:rPr>
          <w:rFonts w:ascii="Arial" w:cs="Arial" w:eastAsia="Arial" w:hAnsi="Arial"/>
          <w:sz w:val="22"/>
          <w:szCs w:val="22"/>
        </w:rPr>
        <w:t xml:space="preserve">EDA was conducted for Research Questions 1 and 2. All visualisations are saved to the eda_plots/ folder. RQ3 and RQ4 EDA will be conducted in the final assessment.</w:t>
      </w:r>
    </w:p>
    <w:p>
      <w:pPr>
        <w:spacing w:after="80" w:before="80"/>
      </w:pPr>
      <w:r>
        <w:t xml:space="preserve"/>
      </w:r>
    </w:p>
    <w:p>
      <w:pPr>
        <w:pStyle w:val="Heading2"/>
        <w:spacing w:after="100" w:before="240"/>
      </w:pPr>
      <w:r>
        <w:rPr>
          <w:rFonts w:ascii="Arial" w:cs="Arial" w:eastAsia="Arial" w:hAnsi="Arial"/>
          <w:b/>
          <w:bCs/>
          <w:color w:val="2E74B5"/>
          <w:sz w:val="24"/>
          <w:szCs w:val="24"/>
        </w:rPr>
        <w:t xml:space="preserve">Section 1: Dataset Overview</w:t>
      </w:r>
    </w:p>
    <w:p>
      <w:pPr>
        <w:spacing w:after="80" w:before="180"/>
      </w:pPr>
      <w:r>
        <w:rPr>
          <w:rFonts w:ascii="Arial" w:cs="Arial" w:eastAsia="Arial" w:hAnsi="Arial"/>
          <w:b/>
          <w:bCs/>
          <w:color w:val="2E74B5"/>
          <w:sz w:val="22"/>
          <w:szCs w:val="22"/>
        </w:rPr>
        <w:t xml:space="preserve">Plot 1.1 — Population by Region: 2024 vs 2025 (Grouped Bar)</w:t>
      </w:r>
    </w:p>
    <w:p>
      <w:pPr>
        <w:spacing w:after="100" w:before="60"/>
      </w:pPr>
      <w:r>
        <w:rPr>
          <w:rFonts w:ascii="Arial" w:cs="Arial" w:eastAsia="Arial" w:hAnsi="Arial"/>
          <w:sz w:val="22"/>
          <w:szCs w:val="22"/>
        </w:rPr>
        <w:t xml:space="preserve">Shows population for each of the 6 NT Government regions side-by-side for 2024 and 2025. Population grows slightly year-on-year (~1%) across all regions. Greater Darwin is by far the largest region (~155,832 in 2024, ~158,054 in 2025), while Barkly is the smallest (~7,471 and ~7,552). This disparity makes per-capita crime rates essential for fair regional comparison.</w:t>
      </w:r>
    </w:p>
    <w:p>
      <w:pPr>
        <w:spacing w:after="80" w:before="80"/>
      </w:pPr>
      <w:r>
        <w:t xml:space="preserve"/>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200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Region</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2024 Population</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2025 Population</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Change</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Greater Darwin</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155,832</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158,054</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+1.4%</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Central Australia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41,404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41,956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Big Rivers</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22,753</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23,035</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+1.2%</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Top End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18,248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18,461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East Arnhem</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15,176</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15,353</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+1.2%</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Barkly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7,471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7,552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w:t>
            </w:r>
          </w:p>
        </w:tc>
      </w:tr>
    </w:tbl>
    <w:p>
      <w:pPr>
        <w:spacing w:after="80" w:before="80"/>
      </w:pPr>
      <w:r>
        <w:t xml:space="preserve"/>
      </w:r>
    </w:p>
    <w:p>
      <w:pPr>
        <w:spacing w:after="80" w:before="180"/>
      </w:pPr>
      <w:r>
        <w:rPr>
          <w:rFonts w:ascii="Arial" w:cs="Arial" w:eastAsia="Arial" w:hAnsi="Arial"/>
          <w:b/>
          <w:bCs/>
          <w:color w:val="2E74B5"/>
          <w:sz w:val="22"/>
          <w:szCs w:val="22"/>
        </w:rPr>
        <w:t xml:space="preserve">Plot 1.2 — Offences by Category: 2024 vs 2025 (Side-by-Side Bar)</w:t>
      </w:r>
    </w:p>
    <w:p>
      <w:pPr>
        <w:spacing w:after="100" w:before="60"/>
      </w:pPr>
      <w:r>
        <w:rPr>
          <w:rFonts w:ascii="Arial" w:cs="Arial" w:eastAsia="Arial" w:hAnsi="Arial"/>
          <w:sz w:val="22"/>
          <w:szCs w:val="22"/>
        </w:rPr>
        <w:t xml:space="preserve">Compares total offences per category between 2024 and 2025. Total offences decreased 9.3% from 34,782 in 2024 to 31,550 in 2025. Most categories declined — Burglary (dwelling) dropped 31.6% and Theft dropped 17.2%. Property Damage was the exception, increasing 4.7%. Assault remained the most common offence in both years.</w:t>
      </w:r>
    </w:p>
    <w:p>
      <w:pPr>
        <w:spacing w:after="80" w:before="80"/>
      </w:pPr>
      <w:r>
        <w:t xml:space="preserve"/>
      </w:r>
    </w:p>
    <w:tbl>
      <w:tblPr>
        <w:tblW w:type="dxa" w:w="750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500"/>
        <w:gridCol w:w="1500"/>
      </w:tblGrid>
      <w:t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Offence Category</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2024</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2025</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Change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Assault</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11,096</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10,429</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-6.0%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Theft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8,781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7,270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-17.2%</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Property Damage</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7,840</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8,207</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+4.7%</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Burglary (dwelling)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3,132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2,143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-31.6%</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Burglary (non-residential)</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1,709</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1,249</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-26.9%</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Harm or Endanger Persons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1,040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1,168</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+12.3%</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Sexual Offences</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691</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696</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+0.7%</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Robbery etc.</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454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367</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-19.2%</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Homicide</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39</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21</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-46.2%</w:t>
            </w:r>
          </w:p>
        </w:tc>
      </w:tr>
    </w:tbl>
    <w:p>
      <w:pPr>
        <w:spacing w:after="80" w:before="80"/>
      </w:pPr>
      <w:r>
        <w:t xml:space="preserve"/>
      </w:r>
    </w:p>
    <w:p>
      <w:pPr>
        <w:spacing w:after="80" w:before="180"/>
      </w:pPr>
      <w:r>
        <w:rPr>
          <w:rFonts w:ascii="Arial" w:cs="Arial" w:eastAsia="Arial" w:hAnsi="Arial"/>
          <w:b/>
          <w:bCs/>
          <w:color w:val="2E74B5"/>
          <w:sz w:val="22"/>
          <w:szCs w:val="22"/>
        </w:rPr>
        <w:t xml:space="preserve">Plot 1.3 — Alcohol and DV Involvement (Bar)</w:t>
      </w:r>
    </w:p>
    <w:p>
      <w:pPr>
        <w:spacing w:after="100" w:before="60"/>
      </w:pPr>
      <w:r>
        <w:rPr>
          <w:rFonts w:ascii="Arial" w:cs="Arial" w:eastAsia="Arial" w:hAnsi="Arial"/>
          <w:sz w:val="22"/>
          <w:szCs w:val="22"/>
        </w:rPr>
        <w:t xml:space="preserve">Alcohol was involved in approximately 25% of all offences and DV in approximately 23%. Both are important features for regression modelling of assault offences.</w:t>
      </w:r>
    </w:p>
    <w:p>
      <w:pPr>
        <w:spacing w:after="80" w:before="80"/>
      </w:pPr>
      <w:r>
        <w:t xml:space="preserve"/>
      </w:r>
    </w:p>
    <w:p>
      <w:pPr>
        <w:pStyle w:val="Heading2"/>
        <w:spacing w:after="100" w:before="240"/>
      </w:pPr>
      <w:r>
        <w:rPr>
          <w:rFonts w:ascii="Arial" w:cs="Arial" w:eastAsia="Arial" w:hAnsi="Arial"/>
          <w:b/>
          <w:bCs/>
          <w:color w:val="2E74B5"/>
          <w:sz w:val="24"/>
          <w:szCs w:val="24"/>
        </w:rPr>
        <w:t xml:space="preserve">Section 2: RQ1 — Monthly Crime Patterns</w:t>
      </w:r>
    </w:p>
    <w:p>
      <w:pPr>
        <w:spacing w:after="100" w:before="60"/>
      </w:pPr>
      <w:r>
        <w:rPr>
          <w:rFonts w:ascii="Arial" w:cs="Arial" w:eastAsia="Arial" w:hAnsi="Arial"/>
          <w:sz w:val="22"/>
          <w:szCs w:val="22"/>
        </w:rPr>
        <w:t xml:space="preserve">Research Question 1: What is the month with the highest crime rate?</w:t>
      </w:r>
    </w:p>
    <w:p>
      <w:pPr>
        <w:spacing w:after="80" w:before="80"/>
      </w:pPr>
      <w:r>
        <w:t xml:space="preserve"/>
      </w:r>
    </w:p>
    <w:p>
      <w:pPr>
        <w:spacing w:after="80" w:before="180"/>
      </w:pPr>
      <w:r>
        <w:rPr>
          <w:rFonts w:ascii="Arial" w:cs="Arial" w:eastAsia="Arial" w:hAnsi="Arial"/>
          <w:b/>
          <w:bCs/>
          <w:color w:val="2E74B5"/>
          <w:sz w:val="22"/>
          <w:szCs w:val="22"/>
        </w:rPr>
        <w:t xml:space="preserve">Plot 2.1 — Total Offences by Month (Bar)</w:t>
      </w:r>
    </w:p>
    <w:p>
      <w:pPr>
        <w:spacing w:after="100" w:before="60"/>
      </w:pPr>
      <w:r>
        <w:rPr>
          <w:rFonts w:ascii="Arial" w:cs="Arial" w:eastAsia="Arial" w:hAnsi="Arial"/>
          <w:sz w:val="22"/>
          <w:szCs w:val="22"/>
        </w:rPr>
        <w:t xml:space="preserve">January is the peak month with 6,168 total offences across 2024–2025, highlighted in red. February is the lowest month. This aligns with the NT Wet Season pattern and post-holiday period where alcohol consumption and social activity increase.</w:t>
      </w:r>
    </w:p>
    <w:p>
      <w:pPr>
        <w:spacing w:after="80" w:before="180"/>
      </w:pPr>
      <w:r>
        <w:rPr>
          <w:rFonts w:ascii="Arial" w:cs="Arial" w:eastAsia="Arial" w:hAnsi="Arial"/>
          <w:b/>
          <w:bCs/>
          <w:color w:val="2E74B5"/>
          <w:sz w:val="22"/>
          <w:szCs w:val="22"/>
        </w:rPr>
        <w:t xml:space="preserve">Plot 2.2 — Crime Rate per 100k by Month (Bar)</w:t>
      </w:r>
    </w:p>
    <w:p>
      <w:pPr>
        <w:spacing w:after="100" w:before="60"/>
      </w:pPr>
      <w:r>
        <w:rPr>
          <w:rFonts w:ascii="Arial" w:cs="Arial" w:eastAsia="Arial" w:hAnsi="Arial"/>
          <w:sz w:val="22"/>
          <w:szCs w:val="22"/>
        </w:rPr>
        <w:t xml:space="preserve">January remains the peak month on a per-capita basis, confirming the finding is not an artefact of population size differences. The per-capita rate is computed as total offences for the month divided by the sum of all regional populations for that year, multiplied by 100,000.</w:t>
      </w:r>
    </w:p>
    <w:p>
      <w:pPr>
        <w:spacing w:after="80" w:before="180"/>
      </w:pPr>
      <w:r>
        <w:rPr>
          <w:rFonts w:ascii="Arial" w:cs="Arial" w:eastAsia="Arial" w:hAnsi="Arial"/>
          <w:b/>
          <w:bCs/>
          <w:color w:val="2E74B5"/>
          <w:sz w:val="22"/>
          <w:szCs w:val="22"/>
        </w:rPr>
        <w:t xml:space="preserve">Plot 2.3 — Monthly Trend: 2024 vs 2025 (Line)</w:t>
      </w:r>
    </w:p>
    <w:p>
      <w:pPr>
        <w:spacing w:after="100" w:before="60"/>
      </w:pPr>
      <w:r>
        <w:rPr>
          <w:rFonts w:ascii="Arial" w:cs="Arial" w:eastAsia="Arial" w:hAnsi="Arial"/>
          <w:sz w:val="22"/>
          <w:szCs w:val="22"/>
        </w:rPr>
        <w:t xml:space="preserve">The seasonal pattern is consistent across both years, with peaks in January and troughs in February–March. 2025 shows lower overall counts than 2024 across most months, consistent with the overall 9.3% decline in total offences.</w:t>
      </w:r>
    </w:p>
    <w:p>
      <w:pPr>
        <w:spacing w:after="80" w:before="180"/>
      </w:pPr>
      <w:r>
        <w:rPr>
          <w:rFonts w:ascii="Arial" w:cs="Arial" w:eastAsia="Arial" w:hAnsi="Arial"/>
          <w:b/>
          <w:bCs/>
          <w:color w:val="2E74B5"/>
          <w:sz w:val="22"/>
          <w:szCs w:val="22"/>
        </w:rPr>
        <w:t xml:space="preserve">Plot 2.4 — Heatmap: Month × Offence Category</w:t>
      </w:r>
    </w:p>
    <w:p>
      <w:pPr>
        <w:spacing w:after="100" w:before="60"/>
      </w:pPr>
      <w:r>
        <w:rPr>
          <w:rFonts w:ascii="Arial" w:cs="Arial" w:eastAsia="Arial" w:hAnsi="Arial"/>
          <w:sz w:val="22"/>
          <w:szCs w:val="22"/>
        </w:rPr>
        <w:t xml:space="preserve">Assault and Theft dominate across all months. Assault peaks strongly in January. Property Damage is more evenly distributed year-round. The heatmap confirms that Assault drives the monthly seasonality pattern.</w:t>
      </w:r>
    </w:p>
    <w:p>
      <w:pPr>
        <w:spacing w:after="80" w:before="80"/>
      </w:pPr>
      <w:r>
        <w:t xml:space="preserve"/>
      </w:r>
    </w:p>
    <w:p>
      <w:pPr>
        <w:spacing w:after="100" w:before="60"/>
      </w:pPr>
      <w:r>
        <w:rPr>
          <w:rFonts w:ascii="Arial" w:cs="Arial" w:eastAsia="Arial" w:hAnsi="Arial"/>
          <w:b/>
          <w:bCs/>
          <w:sz w:val="22"/>
          <w:szCs w:val="22"/>
        </w:rPr>
        <w:t xml:space="preserve">Answer to RQ1:</w:t>
      </w:r>
    </w:p>
    <w:p>
      <w:pPr>
        <w:spacing w:after="100" w:before="60"/>
      </w:pPr>
      <w:r>
        <w:rPr>
          <w:rFonts w:ascii="Arial" w:cs="Arial" w:eastAsia="Arial" w:hAnsi="Arial"/>
          <w:sz w:val="22"/>
          <w:szCs w:val="22"/>
        </w:rPr>
        <w:t xml:space="preserve">January is the month with the highest crime rate in the NT, both in absolute counts and on a per-capita basis. This is consistent across 2024 and 2025. NT Police and government agencies should plan for increased resource deployment in the December–January period each year.</w:t>
      </w:r>
    </w:p>
    <w:p>
      <w:pPr>
        <w:spacing w:after="80" w:before="80"/>
      </w:pPr>
      <w:r>
        <w:t xml:space="preserve"/>
      </w:r>
    </w:p>
    <w:p>
      <w:pPr>
        <w:pStyle w:val="Heading2"/>
        <w:spacing w:after="100" w:before="240"/>
      </w:pPr>
      <w:r>
        <w:rPr>
          <w:rFonts w:ascii="Arial" w:cs="Arial" w:eastAsia="Arial" w:hAnsi="Arial"/>
          <w:b/>
          <w:bCs/>
          <w:color w:val="2E74B5"/>
          <w:sz w:val="24"/>
          <w:szCs w:val="24"/>
        </w:rPr>
        <w:t xml:space="preserve">Section 3: RQ2 — Assault Analysis &amp; Predictors</w:t>
      </w:r>
    </w:p>
    <w:p>
      <w:pPr>
        <w:spacing w:after="100" w:before="60"/>
      </w:pPr>
      <w:r>
        <w:rPr>
          <w:rFonts w:ascii="Arial" w:cs="Arial" w:eastAsia="Arial" w:hAnsi="Arial"/>
          <w:sz w:val="22"/>
          <w:szCs w:val="22"/>
        </w:rPr>
        <w:t xml:space="preserve">Research Question 2: Can monthly assault rates for each NT region be predicted using past crime data, population characteristics, and alcohol supply volumes?</w:t>
      </w:r>
    </w:p>
    <w:p>
      <w:pPr>
        <w:spacing w:after="80" w:before="80"/>
      </w:pPr>
      <w:r>
        <w:t xml:space="preserve"/>
      </w:r>
    </w:p>
    <w:p>
      <w:pPr>
        <w:spacing w:after="80" w:before="180"/>
      </w:pPr>
      <w:r>
        <w:rPr>
          <w:rFonts w:ascii="Arial" w:cs="Arial" w:eastAsia="Arial" w:hAnsi="Arial"/>
          <w:b/>
          <w:bCs/>
          <w:color w:val="2E74B5"/>
          <w:sz w:val="22"/>
          <w:szCs w:val="22"/>
        </w:rPr>
        <w:t xml:space="preserve">Plot 3.1 — Assault by Region: 2024 vs 2025 (Side-by-Side Bar)</w:t>
      </w:r>
    </w:p>
    <w:p>
      <w:pPr>
        <w:spacing w:after="100" w:before="60"/>
      </w:pPr>
      <w:r>
        <w:rPr>
          <w:rFonts w:ascii="Arial" w:cs="Arial" w:eastAsia="Arial" w:hAnsi="Arial"/>
          <w:sz w:val="22"/>
          <w:szCs w:val="22"/>
        </w:rPr>
        <w:t xml:space="preserve">Two panels are shown: raw assault counts and average quarterly assault rate per 100,000 population, both split by year.</w:t>
      </w:r>
    </w:p>
    <w:p>
      <w:pPr>
        <w:spacing w:after="80" w:before="80"/>
      </w:pPr>
      <w:r>
        <w:t xml:space="preserve"/>
      </w:r>
    </w:p>
    <w:p>
      <w:pPr>
        <w:spacing w:after="100" w:before="60"/>
      </w:pPr>
      <w:r>
        <w:rPr>
          <w:rFonts w:ascii="Arial" w:cs="Arial" w:eastAsia="Arial" w:hAnsi="Arial"/>
          <w:sz w:val="22"/>
          <w:szCs w:val="22"/>
        </w:rPr>
        <w:t xml:space="preserve">Raw counts — Greater Darwin has the most assaults in absolute terms (4,020 in 2024; 3,915 in 2025) due to its large population. Most regions show a modest decline from 2024 to 2025.</w:t>
      </w:r>
    </w:p>
    <w:p>
      <w:pPr>
        <w:spacing w:after="100" w:before="60"/>
      </w:pPr>
      <w:r>
        <w:rPr>
          <w:rFonts w:ascii="Arial" w:cs="Arial" w:eastAsia="Arial" w:hAnsi="Arial"/>
          <w:sz w:val="22"/>
          <w:szCs w:val="22"/>
        </w:rPr>
        <w:t xml:space="preserve">Quarterly rate per 100k — Barkly has the highest assault rate by far (avg. 2,707 per 100k in 2024; 2,595 in 2025), reflecting its small population and high crime concentration. Greater Darwin has the lowest rate (645 in 2024; 619 in 2025).</w:t>
      </w:r>
    </w:p>
    <w:p>
      <w:pPr>
        <w:spacing w:after="80" w:before="80"/>
      </w:pPr>
      <w:r>
        <w:t xml:space="preserve"/>
      </w:r>
    </w:p>
    <w:p>
      <w:pPr>
        <w:spacing w:after="100" w:before="60"/>
      </w:pPr>
      <w:r>
        <w:rPr>
          <w:rFonts w:ascii="Arial" w:cs="Arial" w:eastAsia="Arial" w:hAnsi="Arial"/>
          <w:b/>
          <w:bCs/>
          <w:sz w:val="22"/>
          <w:szCs w:val="22"/>
        </w:rPr>
        <w:t xml:space="preserve">How the quarterly rate is calculated:</w:t>
      </w:r>
    </w:p>
    <w:p>
      <w:pPr>
        <w:spacing w:after="100" w:before="60"/>
      </w:pPr>
      <w:r>
        <w:rPr>
          <w:rFonts w:ascii="Arial" w:cs="Arial" w:eastAsia="Arial" w:hAnsi="Arial"/>
          <w:sz w:val="22"/>
          <w:szCs w:val="22"/>
        </w:rPr>
        <w:t xml:space="preserve">For each region and quarter, the assault rate = (assault offences in that quarter / total population) × 100,000. The average quarterly rate for a year = mean of the four quarterly rates. Example for Barkly 2024:</w:t>
      </w:r>
    </w:p>
    <w:p>
      <w:pPr>
        <w:spacing w:after="80" w:before="80"/>
      </w:pPr>
      <w:r>
        <w:t xml:space="preserve"/>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800"/>
        <w:gridCol w:w="2900"/>
      </w:tblGrid>
      <w:t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Quarter</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Assault Offences</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Population</w:t>
            </w:r>
          </w:p>
        </w:tc>
        <w:tc>
          <w:tcPr>
            <w:tcW w:type="dxa" w:w="29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Rate per 100k</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Q1 2024</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163</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7,471</w:t>
            </w:r>
          </w:p>
        </w:tc>
        <w:tc>
          <w:tcPr>
            <w:tcW w:type="dxa" w:w="2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2,181.8</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Q2 2024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7,471</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2,690.4</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Q3 2024</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207</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7,471</w:t>
            </w:r>
          </w:p>
        </w:tc>
        <w:tc>
          <w:tcPr>
            <w:tcW w:type="dxa" w:w="2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2,770.7</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Q4 2024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238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7,471</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3,185.7</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Average 2024</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t>
            </w:r>
          </w:p>
        </w:tc>
        <w:tc>
          <w:tcPr>
            <w:tcW w:type="dxa" w:w="2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2,707.2</w:t>
            </w:r>
          </w:p>
        </w:tc>
      </w:tr>
    </w:tbl>
    <w:p>
      <w:pPr>
        <w:spacing w:after="80" w:before="80"/>
      </w:pPr>
      <w:r>
        <w:t xml:space="preserve"/>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200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Region</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Avg Rate 2024 (per 100k)</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Avg Rate 2025 (per 100k)</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Change</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Barkly</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2,707</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2,595</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-4.1%</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Big Rivers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1,826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1,759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-3.7%</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Top End</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1,756</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1,721</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Central Australia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1,698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1,372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-19.2%</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East Arnhem</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842</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873</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+3.7%</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Greater Darwin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645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619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w:t>
            </w:r>
          </w:p>
        </w:tc>
      </w:tr>
    </w:tbl>
    <w:p>
      <w:pPr>
        <w:spacing w:after="80" w:before="80"/>
      </w:pPr>
      <w:r>
        <w:t xml:space="preserve"/>
      </w:r>
    </w:p>
    <w:p>
      <w:pPr>
        <w:spacing w:after="80" w:before="180"/>
      </w:pPr>
      <w:r>
        <w:rPr>
          <w:rFonts w:ascii="Arial" w:cs="Arial" w:eastAsia="Arial" w:hAnsi="Arial"/>
          <w:b/>
          <w:bCs/>
          <w:color w:val="2E74B5"/>
          <w:sz w:val="22"/>
          <w:szCs w:val="22"/>
        </w:rPr>
        <w:t xml:space="preserve">Plot 3.2 — Assault Trend by Month × Region (Line)</w:t>
      </w:r>
    </w:p>
    <w:p>
      <w:pPr>
        <w:spacing w:after="100" w:before="60"/>
      </w:pPr>
      <w:r>
        <w:rPr>
          <w:rFonts w:ascii="Arial" w:cs="Arial" w:eastAsia="Arial" w:hAnsi="Arial"/>
          <w:sz w:val="22"/>
          <w:szCs w:val="22"/>
        </w:rPr>
        <w:t xml:space="preserve">All regions show a January peak. Barkly and Big Rivers show the most pronounced seasonality. Greater Darwin shows a flatter profile due to its larger, more diverse population. The consistent seasonal pattern across regions supports including Month or Quarter as a predictor in the regression model.</w:t>
      </w:r>
    </w:p>
    <w:p>
      <w:pPr>
        <w:spacing w:after="80" w:before="180"/>
      </w:pPr>
      <w:r>
        <w:rPr>
          <w:rFonts w:ascii="Arial" w:cs="Arial" w:eastAsia="Arial" w:hAnsi="Arial"/>
          <w:b/>
          <w:bCs/>
          <w:color w:val="2E74B5"/>
          <w:sz w:val="22"/>
          <w:szCs w:val="22"/>
        </w:rPr>
        <w:t xml:space="preserve">Plot 3.3 — Distribution: Original vs Log Transform</w:t>
      </w:r>
    </w:p>
    <w:p>
      <w:pPr>
        <w:spacing w:after="100" w:before="60"/>
      </w:pPr>
      <w:r>
        <w:rPr>
          <w:rFonts w:ascii="Arial" w:cs="Arial" w:eastAsia="Arial" w:hAnsi="Arial"/>
          <w:sz w:val="22"/>
          <w:szCs w:val="22"/>
        </w:rPr>
        <w:t xml:space="preserve">This plot answers the question: does the target variable (assault offences) need to be transformed before regression? Linear regression assumes that residuals are approximately normally distributed. If the target variable is heavily skewed, this assumption is violated.</w:t>
      </w:r>
    </w:p>
    <w:p>
      <w:pPr>
        <w:spacing w:after="80" w:before="80"/>
      </w:pPr>
      <w:r>
        <w:t xml:space="preserve"/>
      </w:r>
    </w:p>
    <w:p>
      <w:pPr>
        <w:spacing w:after="100" w:before="60"/>
      </w:pPr>
      <w:r>
        <w:rPr>
          <w:rFonts w:ascii="Arial" w:cs="Arial" w:eastAsia="Arial" w:hAnsi="Arial"/>
          <w:sz w:val="22"/>
          <w:szCs w:val="22"/>
        </w:rPr>
        <w:t xml:space="preserve">Original distribution (skewness = 0.82): most rows have low assault counts, but a small number of rows — typically Greater Darwin in high-crime months — have very high counts (200–500+). This creates a right-skewed distribution with a long tail.</w:t>
      </w:r>
    </w:p>
    <w:p>
      <w:pPr>
        <w:spacing w:after="100" w:before="60"/>
      </w:pPr>
      <w:r>
        <w:rPr>
          <w:rFonts w:ascii="Arial" w:cs="Arial" w:eastAsia="Arial" w:hAnsi="Arial"/>
          <w:sz w:val="22"/>
          <w:szCs w:val="22"/>
        </w:rPr>
        <w:t xml:space="preserve">Log-transformed distribution (skewness = 0.01): applying log(1 + x) compresses large values and stretches small values, producing a near-perfectly symmetric distribution. Example: log(1+300) = 5.71, log(1+50) = 3.93, log(1+5) = 1.79 — the gaps between values become more even.</w:t>
      </w:r>
    </w:p>
    <w:p>
      <w:pPr>
        <w:spacing w:after="100" w:before="60"/>
      </w:pPr>
      <w:r>
        <w:rPr>
          <w:rFonts w:ascii="Arial" w:cs="Arial" w:eastAsia="Arial" w:hAnsi="Arial"/>
          <w:sz w:val="22"/>
          <w:szCs w:val="22"/>
        </w:rPr>
        <w:t xml:space="preserve">Conclusion: log transformation is strongly recommended. The target variable for regression will be log(1 + assault offences), and predictions will be back-transformed using exp(prediction) - 1.</w:t>
      </w:r>
    </w:p>
    <w:p>
      <w:pPr>
        <w:spacing w:after="80" w:before="80"/>
      </w:pPr>
      <w:r>
        <w:t xml:space="preserve"/>
      </w:r>
    </w:p>
    <w:p>
      <w:pPr>
        <w:spacing w:after="80" w:before="180"/>
      </w:pPr>
      <w:r>
        <w:rPr>
          <w:rFonts w:ascii="Arial" w:cs="Arial" w:eastAsia="Arial" w:hAnsi="Arial"/>
          <w:b/>
          <w:bCs/>
          <w:color w:val="2E74B5"/>
          <w:sz w:val="22"/>
          <w:szCs w:val="22"/>
        </w:rPr>
        <w:t xml:space="preserve">Plot 3.4 — PAC Trend by Quarter × Region (Line)</w:t>
      </w:r>
    </w:p>
    <w:p>
      <w:pPr>
        <w:spacing w:after="100" w:before="60"/>
      </w:pPr>
      <w:r>
        <w:rPr>
          <w:rFonts w:ascii="Arial" w:cs="Arial" w:eastAsia="Arial" w:hAnsi="Arial"/>
          <w:sz w:val="22"/>
          <w:szCs w:val="22"/>
        </w:rPr>
        <w:t xml:space="preserve">Total PAC (Pure Alcohol Content, litres) shows clear seasonal patterns — higher in Q2 (Dry Season, more outdoor and social activity) and Q4 (end-of-year festivities). Greater Darwin dominates in absolute PAC volume. The trend is stable and consistent across 2024 and the available 2025 quarters (Q1–Q2), validating the use of PAC as a predictor. Q3–Q4 2025 were imputed from prior-year same-quarter averages.</w:t>
      </w:r>
    </w:p>
    <w:p>
      <w:pPr>
        <w:spacing w:after="80" w:before="180"/>
      </w:pPr>
      <w:r>
        <w:rPr>
          <w:rFonts w:ascii="Arial" w:cs="Arial" w:eastAsia="Arial" w:hAnsi="Arial"/>
          <w:b/>
          <w:bCs/>
          <w:color w:val="2E74B5"/>
          <w:sz w:val="22"/>
          <w:szCs w:val="22"/>
        </w:rPr>
        <w:t xml:space="preserve">Plot 3.5 — PAC vs Assault Offences (Scatter + Trend Line)</w:t>
      </w:r>
    </w:p>
    <w:p>
      <w:pPr>
        <w:spacing w:after="100" w:before="60"/>
      </w:pPr>
      <w:r>
        <w:rPr>
          <w:rFonts w:ascii="Arial" w:cs="Arial" w:eastAsia="Arial" w:hAnsi="Arial"/>
          <w:sz w:val="22"/>
          <w:szCs w:val="22"/>
        </w:rPr>
        <w:t xml:space="preserve">Each point represents one region in one quarter. The x-axis shows Total PAC (thousands of litres) and the y-axis shows assault offences. A dashed overall trend line is fitted across all regions and quarters.</w:t>
      </w:r>
    </w:p>
    <w:p>
      <w:pPr>
        <w:spacing w:after="80" w:before="80"/>
      </w:pPr>
      <w:r>
        <w:t xml:space="preserve"/>
      </w:r>
    </w:p>
    <w:p>
      <w:pPr>
        <w:spacing w:after="100" w:before="60"/>
      </w:pPr>
      <w:r>
        <w:rPr>
          <w:rFonts w:ascii="Arial" w:cs="Arial" w:eastAsia="Arial" w:hAnsi="Arial"/>
          <w:b/>
          <w:bCs/>
          <w:sz w:val="22"/>
          <w:szCs w:val="22"/>
        </w:rPr>
        <w:t xml:space="preserve">Pearson r = 0.828 — interpretation:</w:t>
      </w:r>
    </w:p>
    <w:p>
      <w:pPr>
        <w:spacing w:after="100" w:before="60"/>
      </w:pPr>
      <w:r>
        <w:rPr>
          <w:rFonts w:ascii="Arial" w:cs="Arial" w:eastAsia="Arial" w:hAnsi="Arial"/>
          <w:sz w:val="22"/>
          <w:szCs w:val="22"/>
        </w:rPr>
        <w:t xml:space="preserve">Pearson r measures the strength of the linear relationship between two variables, ranging from -1 (perfect negative) to +1 (perfect positive). r = 0.828 means a strong positive correlation: when alcohol supply is higher, assault offences tend to be higher. Approximately 68.5% of the variance in assault offences (r² = 0.828² = 0.685) can be explained by PAC alone.</w:t>
      </w:r>
    </w:p>
    <w:p>
      <w:pPr>
        <w:spacing w:after="80" w:before="80"/>
      </w:pPr>
      <w:r>
        <w:t xml:space="preserve"/>
      </w:r>
    </w:p>
    <w:p>
      <w:pPr>
        <w:spacing w:after="100" w:before="60"/>
      </w:pPr>
      <w:r>
        <w:rPr>
          <w:rFonts w:ascii="Arial" w:cs="Arial" w:eastAsia="Arial" w:hAnsi="Arial"/>
          <w:sz w:val="22"/>
          <w:szCs w:val="22"/>
        </w:rPr>
        <w:t xml:space="preserve">Example from the data:</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000"/>
      </w:tblGrid>
      <w:t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Region</w:t>
            </w:r>
          </w:p>
        </w:tc>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Avg Quarterly PAC (litres)</w:t>
            </w:r>
          </w:p>
        </w:tc>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Avg Quarterly Assaults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Greater Darwin</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~250,000</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~500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Central Australia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~60,000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~175</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Big Rivers</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~25,000</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Barkly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~15,000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w:t>
            </w:r>
          </w:p>
        </w:tc>
      </w:tr>
    </w:tbl>
    <w:p>
      <w:pPr>
        <w:spacing w:after="80" w:before="80"/>
      </w:pPr>
      <w:r>
        <w:t xml:space="preserve"/>
      </w:r>
    </w:p>
    <w:p>
      <w:pPr>
        <w:spacing w:after="100" w:before="60"/>
      </w:pPr>
      <w:r>
        <w:rPr>
          <w:rFonts w:ascii="Arial" w:cs="Arial" w:eastAsia="Arial" w:hAnsi="Arial"/>
          <w:b/>
          <w:bCs/>
          <w:i/>
          <w:iCs/>
          <w:color w:val="C00000"/>
          <w:sz w:val="22"/>
          <w:szCs w:val="22"/>
        </w:rPr>
        <w:t xml:space="preserve">Note: </w:t>
      </w:r>
      <w:r>
        <w:rPr>
          <w:rFonts w:ascii="Arial" w:cs="Arial" w:eastAsia="Arial" w:hAnsi="Arial"/>
          <w:i/>
          <w:iCs/>
          <w:color w:val="595959"/>
          <w:sz w:val="22"/>
          <w:szCs w:val="22"/>
        </w:rPr>
        <w:t xml:space="preserve">Correlation does not imply causation. Greater Darwin has both high PAC and high assaults largely because it has the largest population. Multivariate regression is needed to isolate the independent effect of PAC after controlling for population size.</w:t>
      </w:r>
    </w:p>
    <w:p>
      <w:pPr>
        <w:spacing w:after="80" w:before="180"/>
      </w:pPr>
      <w:r>
        <w:rPr>
          <w:rFonts w:ascii="Arial" w:cs="Arial" w:eastAsia="Arial" w:hAnsi="Arial"/>
          <w:b/>
          <w:bCs/>
          <w:color w:val="2E74B5"/>
          <w:sz w:val="22"/>
          <w:szCs w:val="22"/>
        </w:rPr>
        <w:t xml:space="preserve">Plot 3.6 — Correlation Heatmap — Assault Predictors</w:t>
      </w:r>
    </w:p>
    <w:p>
      <w:pPr>
        <w:spacing w:after="100" w:before="60"/>
      </w:pPr>
      <w:r>
        <w:rPr>
          <w:rFonts w:ascii="Arial" w:cs="Arial" w:eastAsia="Arial" w:hAnsi="Arial"/>
          <w:sz w:val="22"/>
          <w:szCs w:val="22"/>
        </w:rPr>
        <w:t xml:space="preserve">The heatmap shows Pearson correlation coefficients between all pairs of candidate predictors and the target variable (Assault Offences). Values range from -1 (dark blue, strong negative) to +1 (dark red, strong positive).</w:t>
      </w:r>
    </w:p>
    <w:p>
      <w:pPr>
        <w:spacing w:after="80" w:before="80"/>
      </w:pPr>
      <w:r>
        <w:t xml:space="preserve"/>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4700"/>
      </w:tblGrid>
      <w:t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Predictor</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Correlation with Assault</w:t>
            </w:r>
          </w:p>
        </w:tc>
        <w:tc>
          <w:tcPr>
            <w:tcW w:type="dxa" w:w="47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Interpretation</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Total Population</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 = 0.906</w:t>
            </w:r>
          </w:p>
        </w:tc>
        <w:tc>
          <w:tcPr>
            <w:tcW w:type="dxa" w:w="4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Very strong — larger regions have more assaults. Risk of multicollinearity with Aboriginal population.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Aboriginal Population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 = 0.876</w:t>
            </w:r>
          </w:p>
        </w:tc>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Strong — regions with higher Aboriginal populations have more assaults. Reflects geographic concentration, not racial causation.</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Total PAC</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 = 0.836</w:t>
            </w:r>
          </w:p>
        </w:tc>
        <w:tc>
          <w:tcPr>
            <w:tcW w:type="dxa" w:w="4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Strong — alcohol supply is a key predictor, confirming EDA finding from plot 3.5.</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Alcohol Involved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 = 0.777</w:t>
            </w:r>
          </w:p>
        </w:tc>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Strong — offences flagged as alcohol-involved correlate strongly with total assault counts.</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DV Involved</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 = 0.736</w:t>
            </w:r>
          </w:p>
        </w:tc>
        <w:tc>
          <w:tcPr>
            <w:tcW w:type="dxa" w:w="4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Moderate-strong — domestic violence involvement is also a meaningful predictor.</w:t>
            </w:r>
          </w:p>
        </w:tc>
      </w:tr>
    </w:tbl>
    <w:p>
      <w:pPr>
        <w:spacing w:after="80" w:before="80"/>
      </w:pPr>
      <w:r>
        <w:t xml:space="preserve"/>
      </w:r>
    </w:p>
    <w:p>
      <w:pPr>
        <w:spacing w:after="100" w:before="60"/>
      </w:pPr>
      <w:r>
        <w:rPr>
          <w:rFonts w:ascii="Arial" w:cs="Arial" w:eastAsia="Arial" w:hAnsi="Arial"/>
          <w:b/>
          <w:bCs/>
          <w:sz w:val="22"/>
          <w:szCs w:val="22"/>
        </w:rPr>
        <w:t xml:space="preserve">Multicollinearity warning:</w:t>
      </w:r>
    </w:p>
    <w:p>
      <w:pPr>
        <w:spacing w:after="100" w:before="60"/>
      </w:pPr>
      <w:r>
        <w:rPr>
          <w:rFonts w:ascii="Arial" w:cs="Arial" w:eastAsia="Arial" w:hAnsi="Arial"/>
          <w:sz w:val="22"/>
          <w:szCs w:val="22"/>
        </w:rPr>
        <w:t xml:space="preserve">Total Population and Aboriginal Population are highly correlated with each other (r &gt; 0.95). Including both in the same regression model makes it difficult for the model to separate their individual effects. In the regression step, this will be addressed by either using only one of these variables, computing a derived feature (e.g. proportion Aboriginal), or applying regularisation (Ridge or Lasso regression).</w:t>
      </w:r>
    </w:p>
    <w:p>
      <w:pPr>
        <w:spacing w:after="80" w:before="80"/>
      </w:pPr>
      <w:r>
        <w:t xml:space="preserve"/>
      </w:r>
    </w:p>
    <w:p>
      <w:pPr>
        <w:spacing w:after="100" w:before="60"/>
      </w:pPr>
      <w:r>
        <w:rPr>
          <w:rFonts w:ascii="Arial" w:cs="Arial" w:eastAsia="Arial" w:hAnsi="Arial"/>
          <w:b/>
          <w:bCs/>
          <w:sz w:val="22"/>
          <w:szCs w:val="22"/>
        </w:rPr>
        <w:t xml:space="preserve">Key modelling implications:</w:t>
      </w:r>
    </w:p>
    <w:p>
      <w:pPr>
        <w:pStyle w:val="ListParagraph"/>
        <w:numPr>
          <w:ilvl w:val="0"/>
          <w:numId w:val="2"/>
        </w:numPr>
        <w:spacing w:after="40" w:before="40"/>
      </w:pPr>
      <w:r>
        <w:rPr>
          <w:rFonts w:ascii="Arial" w:cs="Arial" w:eastAsia="Arial" w:hAnsi="Arial"/>
          <w:sz w:val="22"/>
          <w:szCs w:val="22"/>
        </w:rPr>
        <w:t xml:space="preserve">Log-transform assault offences before regression (skewness 0.82 → 0.01).</w:t>
      </w:r>
    </w:p>
    <w:p>
      <w:pPr>
        <w:pStyle w:val="ListParagraph"/>
        <w:numPr>
          <w:ilvl w:val="0"/>
          <w:numId w:val="2"/>
        </w:numPr>
        <w:spacing w:after="40" w:before="40"/>
      </w:pPr>
      <w:r>
        <w:rPr>
          <w:rFonts w:ascii="Arial" w:cs="Arial" w:eastAsia="Arial" w:hAnsi="Arial"/>
          <w:sz w:val="22"/>
          <w:szCs w:val="22"/>
        </w:rPr>
        <w:t xml:space="preserve">Total PAC is a strong predictor (r = 0.828) and should be included.</w:t>
      </w:r>
    </w:p>
    <w:p>
      <w:pPr>
        <w:pStyle w:val="ListParagraph"/>
        <w:numPr>
          <w:ilvl w:val="0"/>
          <w:numId w:val="2"/>
        </w:numPr>
        <w:spacing w:after="40" w:before="40"/>
      </w:pPr>
      <w:r>
        <w:rPr>
          <w:rFonts w:ascii="Arial" w:cs="Arial" w:eastAsia="Arial" w:hAnsi="Arial"/>
          <w:sz w:val="22"/>
          <w:szCs w:val="22"/>
        </w:rPr>
        <w:t xml:space="preserve">Address multicollinearity between Total Population and Aboriginal Population.</w:t>
      </w:r>
    </w:p>
    <w:p>
      <w:pPr>
        <w:pStyle w:val="ListParagraph"/>
        <w:numPr>
          <w:ilvl w:val="0"/>
          <w:numId w:val="2"/>
        </w:numPr>
        <w:spacing w:after="40" w:before="40"/>
      </w:pPr>
      <w:r>
        <w:rPr>
          <w:rFonts w:ascii="Arial" w:cs="Arial" w:eastAsia="Arial" w:hAnsi="Arial"/>
          <w:sz w:val="22"/>
          <w:szCs w:val="22"/>
        </w:rPr>
        <w:t xml:space="preserve">Include Region dummy variables to capture fixed regional effects.</w:t>
      </w:r>
    </w:p>
    <w:p>
      <w:pPr>
        <w:pStyle w:val="ListParagraph"/>
        <w:numPr>
          <w:ilvl w:val="0"/>
          <w:numId w:val="2"/>
        </w:numPr>
        <w:spacing w:after="40" w:before="40"/>
      </w:pPr>
      <w:r>
        <w:rPr>
          <w:rFonts w:ascii="Arial" w:cs="Arial" w:eastAsia="Arial" w:hAnsi="Arial"/>
          <w:sz w:val="22"/>
          <w:szCs w:val="22"/>
        </w:rPr>
        <w:t xml:space="preserve">Include Month or Quarter to capture the strong seasonal pattern.</w:t>
      </w:r>
    </w:p>
    <w:p>
      <w:pPr>
        <w:spacing w:after="80" w:before="80"/>
      </w:pPr>
      <w:r>
        <w:t xml:space="preserve"/>
      </w:r>
    </w:p>
    <w:p>
      <w:pPr>
        <w:pStyle w:val="Heading2"/>
        <w:spacing w:after="100" w:before="240"/>
      </w:pPr>
      <w:r>
        <w:rPr>
          <w:rFonts w:ascii="Arial" w:cs="Arial" w:eastAsia="Arial" w:hAnsi="Arial"/>
          <w:b/>
          <w:bCs/>
          <w:color w:val="2E74B5"/>
          <w:sz w:val="24"/>
          <w:szCs w:val="24"/>
        </w:rPr>
        <w:t xml:space="preserve">Summary Statistics — Key Findings</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380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3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Interpretation</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Peak crime month</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January (6,168 total offences)</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Consistent across 2024 and 2025</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Overall crime trend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−9.3% (2024→2025)</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Most categories declined; Property Damage increased</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Highest assault rate/100k</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Barkly (avg 2,707 in 2024)</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Small population, high crime concentration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Lowest assault rate/100k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Greater Darwin (avg 645 in 2024)</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Large, diverse urban population</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PAC vs Assault r</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0.828</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Strong positive — PAC is a key regression predictor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Assault skewness (original)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0.82</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Moderate right skew</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Assault skewness (log-transformed)</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0.01</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Near-normal — log transform recommended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Alcohol involvement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 of all offences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Significant predictor for regression</w:t>
            </w:r>
          </w:p>
        </w:tc>
      </w:tr>
    </w:tbl>
    <w:p>
      <w:pPr>
        <w:spacing w:after="80" w:before="80"/>
      </w:pPr>
      <w:r>
        <w:t xml:space="preserve"/>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4" w:space="4"/>
      </w:pBdr>
    </w:pPr>
    <w:r>
      <w:rPr>
        <w:rFonts w:ascii="Arial" w:cs="Arial" w:eastAsia="Arial" w:hAnsi="Arial"/>
        <w:color w:val="595959"/>
        <w:sz w:val="18"/>
        <w:szCs w:val="18"/>
      </w:rPr>
      <w:t xml:space="preserve">PRT564 Group 1  |  Data Preprocessing &amp; EDA Documentation  |  April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28"/>
      <w:szCs w:val="28"/>
    </w:rPr>
  </w:style>
  <w:style w:type="paragraph" w:styleId="Heading2">
    <w:name w:val="Heading 2"/>
    <w:basedOn w:val="Normal"/>
    <w:next w:val="Normal"/>
    <w:qFormat/>
    <w:pPr>
      <w:spacing w:after="100" w:before="240"/>
      <w:outlineLvl w:val="1"/>
    </w:pPr>
    <w:rPr>
      <w:rFonts w:ascii="Arial" w:cs="Arial" w:eastAsia="Arial" w:hAnsi="Arial"/>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2026-04-12T03:36:09.355Z</dcterms:created>
  <dcterms:modified xsi:type="dcterms:W3CDTF">2026-04-12T03:36:09.356Z</dcterms:modified>
</cp:coreProperties>
</file>

<file path=docProps/custom.xml><?xml version="1.0" encoding="utf-8"?>
<Properties xmlns="http://schemas.openxmlformats.org/officeDocument/2006/custom-properties" xmlns:vt="http://schemas.openxmlformats.org/officeDocument/2006/docPropsVTypes"/>
</file>