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33A19FAB"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0A024460"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 xml:space="preserve">R2 recommends that I integrate Hertel-Fernandez policy as weapon concept. I find this concept </w:t>
      </w:r>
      <w:proofErr w:type="gramStart"/>
      <w:r>
        <w:rPr>
          <w:rFonts w:ascii="Times New Roman" w:hAnsi="Times New Roman" w:cs="Times New Roman"/>
        </w:rPr>
        <w:t>useful, and</w:t>
      </w:r>
      <w:proofErr w:type="gramEnd"/>
      <w:r>
        <w:rPr>
          <w:rFonts w:ascii="Times New Roman" w:hAnsi="Times New Roman" w:cs="Times New Roman"/>
        </w:rPr>
        <w:t xml:space="preserve"> have incorporated into the argument section. I think </w:t>
      </w:r>
      <w:proofErr w:type="gramStart"/>
      <w:r>
        <w:rPr>
          <w:rFonts w:ascii="Times New Roman" w:hAnsi="Times New Roman" w:cs="Times New Roman"/>
        </w:rPr>
        <w:t>this resolves</w:t>
      </w:r>
      <w:proofErr w:type="gramEnd"/>
      <w:r>
        <w:rPr>
          <w:rFonts w:ascii="Times New Roman" w:hAnsi="Times New Roman" w:cs="Times New Roman"/>
        </w:rPr>
        <w:t xml:space="preserve"> some of R1’s concerns regarding concept development regarding electoral strategy.</w:t>
      </w: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6C0BEA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R1 suggests a conceptual beefing up of the article. I have redrawn the theoretical section to focus on actors and incentive</w:t>
      </w:r>
      <w:r w:rsidR="00E45B85">
        <w:rPr>
          <w:rFonts w:ascii="Times New Roman" w:hAnsi="Times New Roman" w:cs="Times New Roman"/>
        </w:rPr>
        <w:t>s.</w:t>
      </w:r>
      <w:r>
        <w:rPr>
          <w:rFonts w:ascii="Times New Roman" w:hAnsi="Times New Roman" w:cs="Times New Roman"/>
        </w:rPr>
        <w:t xml:space="preser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7A52E84" w:rsidR="00406FC9"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6C1911D3" w:rsidR="00980EAB" w:rsidRDefault="007A1FC3" w:rsidP="007D49DC">
      <w:pPr>
        <w:rPr>
          <w:rFonts w:ascii="Times New Roman" w:hAnsi="Times New Roman" w:cs="Times New Roman"/>
        </w:rPr>
      </w:pPr>
      <w:proofErr w:type="spellStart"/>
      <w:r>
        <w:rPr>
          <w:rFonts w:ascii="Times New Roman" w:hAnsi="Times New Roman" w:cs="Times New Roman"/>
        </w:rPr>
        <w:t>Falleti’s</w:t>
      </w:r>
      <w:proofErr w:type="spellEnd"/>
      <w:r>
        <w:rPr>
          <w:rFonts w:ascii="Times New Roman" w:hAnsi="Times New Roman" w:cs="Times New Roman"/>
        </w:rPr>
        <w:t xml:space="preserve"> stance</w:t>
      </w:r>
      <w:r w:rsidR="00B0522B">
        <w:rPr>
          <w:rFonts w:ascii="Times New Roman" w:hAnsi="Times New Roman" w:cs="Times New Roman"/>
        </w:rPr>
        <w:t xml:space="preserve"> springs from her analytical focus on “big countries”, w</w:t>
      </w:r>
      <w:r w:rsidR="0093277A">
        <w:rPr>
          <w:rFonts w:ascii="Times New Roman" w:hAnsi="Times New Roman" w:cs="Times New Roman"/>
        </w:rPr>
        <w:t>hereas</w:t>
      </w:r>
      <w:r w:rsidR="00B0522B">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Pr>
          <w:rFonts w:ascii="Times New Roman" w:hAnsi="Times New Roman" w:cs="Times New Roman"/>
        </w:rPr>
        <w:t xml:space="preserve">. </w:t>
      </w:r>
      <w:proofErr w:type="spellStart"/>
      <w:r>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work now features more prominently in </w:t>
      </w:r>
      <w:r>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087267EB"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w:t>
      </w:r>
      <w:r w:rsidR="00C760C2">
        <w:rPr>
          <w:rFonts w:ascii="Times New Roman" w:hAnsi="Times New Roman" w:cs="Times New Roman"/>
        </w:rPr>
        <w:t>mechanism</w:t>
      </w:r>
      <w:r>
        <w:rPr>
          <w:rFonts w:ascii="Times New Roman" w:hAnsi="Times New Roman" w:cs="Times New Roman"/>
        </w:rPr>
        <w:t xml:space="preserv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585C2DA2" w:rsidR="007C34B9" w:rsidRDefault="007C34B9" w:rsidP="007C34B9">
      <w:pPr>
        <w:rPr>
          <w:rFonts w:ascii="Times New Roman" w:hAnsi="Times New Roman" w:cs="Times New Roman"/>
        </w:rPr>
      </w:pPr>
      <w:r>
        <w:rPr>
          <w:rFonts w:ascii="Times New Roman" w:hAnsi="Times New Roman" w:cs="Times New Roman"/>
        </w:rPr>
        <w:lastRenderedPageBreak/>
        <w:t xml:space="preserve">I thank the reviews for this point. I do not assume that party union ties are permanent. As Chambers-Ju has shown, union makeup has shifted the organizations partisan affiliations over </w:t>
      </w:r>
      <w:proofErr w:type="gramStart"/>
      <w:r>
        <w:rPr>
          <w:rFonts w:ascii="Times New Roman" w:hAnsi="Times New Roman" w:cs="Times New Roman"/>
        </w:rPr>
        <w:t>time;</w:t>
      </w:r>
      <w:proofErr w:type="gramEnd"/>
      <w:r>
        <w:rPr>
          <w:rFonts w:ascii="Times New Roman" w:hAnsi="Times New Roman" w:cs="Times New Roman"/>
        </w:rPr>
        <w:t xml:space="preserve"> although </w:t>
      </w:r>
      <w:proofErr w:type="spellStart"/>
      <w:r>
        <w:rPr>
          <w:rFonts w:ascii="Times New Roman" w:hAnsi="Times New Roman" w:cs="Times New Roman"/>
        </w:rPr>
        <w:t>Larreguy</w:t>
      </w:r>
      <w:proofErr w:type="spellEnd"/>
      <w:r>
        <w:rPr>
          <w:rFonts w:ascii="Times New Roman" w:hAnsi="Times New Roman" w:cs="Times New Roman"/>
        </w:rPr>
        <w:t xml:space="preserve"> et al argue convincingly that</w:t>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4ABDFAC"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they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 xml:space="preserve">(Jimenez and Sawada 1998; Meza, Guzman, and De Varela </w:t>
      </w:r>
      <w:r w:rsidR="009D0E58">
        <w:rPr>
          <w:rFonts w:ascii="Times New Roman" w:hAnsi="Times New Roman" w:cs="Times New Roman"/>
          <w:noProof/>
        </w:rPr>
        <w:lastRenderedPageBreak/>
        <w:t>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5429F363"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 xml:space="preserve">incumbents advanced </w:t>
      </w:r>
      <w:r w:rsidR="00B830E9">
        <w:rPr>
          <w:rFonts w:ascii="Times New Roman" w:hAnsi="Times New Roman" w:cs="Times New Roman"/>
        </w:rPr>
        <w:lastRenderedPageBreak/>
        <w:t xml:space="preserve">decentralization as a political 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incumbents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to my knowledge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07E7DCCC" w:rsidR="008B35D9" w:rsidRPr="008B35D9" w:rsidRDefault="004947F3" w:rsidP="008B35D9">
      <w:pPr>
        <w:pStyle w:val="ListParagraph"/>
        <w:numPr>
          <w:ilvl w:val="0"/>
          <w:numId w:val="2"/>
        </w:numPr>
        <w:rPr>
          <w:rFonts w:ascii="Times New Roman" w:hAnsi="Times New Roman" w:cs="Times New Roman"/>
        </w:rPr>
      </w:pPr>
      <w:r>
        <w:rPr>
          <w:rFonts w:ascii="Times New Roman" w:hAnsi="Times New Roman" w:cs="Times New Roman"/>
        </w:rPr>
        <w:t>Expanding/reframing the</w:t>
      </w:r>
      <w:r w:rsidR="00050B62">
        <w:rPr>
          <w:rFonts w:ascii="Times New Roman" w:hAnsi="Times New Roman" w:cs="Times New Roman"/>
        </w:rPr>
        <w:t xml:space="preserve">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23B25E3B" w:rsidR="000A4186" w:rsidRDefault="008B35D9" w:rsidP="000A4186">
      <w:pPr>
        <w:rPr>
          <w:rFonts w:ascii="Times New Roman" w:hAnsi="Times New Roman" w:cs="Times New Roman"/>
        </w:rPr>
      </w:pPr>
      <w:r>
        <w:rPr>
          <w:rFonts w:ascii="Times New Roman" w:hAnsi="Times New Roman" w:cs="Times New Roman"/>
        </w:rPr>
        <w:t>I thank the author for this point. I may have leaned too hard on the idea that things were getting better. I think the stronger point is</w:t>
      </w:r>
      <w:r w:rsidR="00376C57">
        <w:rPr>
          <w:rFonts w:ascii="Times New Roman" w:hAnsi="Times New Roman" w:cs="Times New Roman"/>
        </w:rPr>
        <w:t xml:space="preserve"> that the picture was</w:t>
      </w:r>
      <w:r w:rsidR="005C522E">
        <w:rPr>
          <w:rFonts w:ascii="Times New Roman" w:hAnsi="Times New Roman" w:cs="Times New Roman"/>
        </w:rPr>
        <w:t xml:space="preserve"> actually</w:t>
      </w:r>
      <w:r w:rsidR="00376C57">
        <w:rPr>
          <w:rFonts w:ascii="Times New Roman" w:hAnsi="Times New Roman" w:cs="Times New Roman"/>
        </w:rPr>
        <w:t xml:space="preserve">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w:t>
      </w:r>
      <w:r w:rsidR="005C522E">
        <w:rPr>
          <w:rFonts w:ascii="Times New Roman" w:hAnsi="Times New Roman" w:cs="Times New Roman"/>
        </w:rPr>
        <w:t>critical</w:t>
      </w:r>
      <w:r w:rsidR="000A4186">
        <w:rPr>
          <w:rFonts w:ascii="Times New Roman" w:hAnsi="Times New Roman" w:cs="Times New Roman"/>
        </w:rPr>
        <w:t xml:space="preserve">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5C522E">
        <w:rPr>
          <w:rFonts w:ascii="Times New Roman" w:hAnsi="Times New Roman" w:cs="Times New Roman"/>
        </w:rPr>
        <w:t>In addition</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5C522E">
        <w:rPr>
          <w:rFonts w:ascii="Times New Roman" w:hAnsi="Times New Roman" w:cs="Times New Roman"/>
        </w:rPr>
        <w:t xml:space="preserve"> or</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w:t>
      </w:r>
      <w:r w:rsidR="000A4186">
        <w:rPr>
          <w:rFonts w:ascii="Times New Roman" w:hAnsi="Times New Roman" w:cs="Times New Roman"/>
        </w:rPr>
        <w:t>there was</w:t>
      </w:r>
      <w:r w:rsidR="005C522E">
        <w:rPr>
          <w:rFonts w:ascii="Times New Roman" w:hAnsi="Times New Roman" w:cs="Times New Roman"/>
        </w:rPr>
        <w:t xml:space="preserve"> literally</w:t>
      </w:r>
      <w:r w:rsidR="000A4186">
        <w:rPr>
          <w:rFonts w:ascii="Times New Roman" w:hAnsi="Times New Roman" w:cs="Times New Roman"/>
        </w:rPr>
        <w:t xml:space="preserve"> no evidence regarding the comparative achievement of Latin American students</w:t>
      </w:r>
      <w:r w:rsidR="005C522E">
        <w:rPr>
          <w:rFonts w:ascii="Times New Roman" w:hAnsi="Times New Roman" w:cs="Times New Roman"/>
        </w:rPr>
        <w:t xml:space="preserve"> prior to 1993</w:t>
      </w:r>
      <w:r w:rsidR="000A4186" w:rsidRPr="000A4186">
        <w:rPr>
          <w:rFonts w:ascii="Times New Roman" w:hAnsi="Times New Roman" w:cs="Times New Roman"/>
        </w:rPr>
        <w:t>.</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w:t>
      </w:r>
      <w:r w:rsidR="005C522E">
        <w:rPr>
          <w:rFonts w:ascii="Times New Roman" w:hAnsi="Times New Roman" w:cs="Times New Roman"/>
        </w:rPr>
        <w:t>which used data from</w:t>
      </w:r>
      <w:r w:rsidR="000A4186" w:rsidRPr="000A4186">
        <w:rPr>
          <w:rFonts w:ascii="Times New Roman" w:hAnsi="Times New Roman" w:cs="Times New Roman"/>
        </w:rPr>
        <w:t xml:space="preserve"> 1992. </w:t>
      </w:r>
      <w:r w:rsidR="000A4186">
        <w:rPr>
          <w:rFonts w:ascii="Times New Roman" w:hAnsi="Times New Roman" w:cs="Times New Roman"/>
        </w:rPr>
        <w:t xml:space="preserve">But TIMSS included only 5 Latin American countries and the study used a </w:t>
      </w:r>
      <w:r w:rsidR="000A4186" w:rsidRPr="000A4186">
        <w:rPr>
          <w:rFonts w:ascii="Times New Roman" w:hAnsi="Times New Roman" w:cs="Times New Roman"/>
        </w:rPr>
        <w:t xml:space="preserve">convenience rather than a representative sample, limiting any inferences we can make about </w:t>
      </w:r>
      <w:r w:rsidR="005C522E">
        <w:rPr>
          <w:rFonts w:ascii="Times New Roman" w:hAnsi="Times New Roman" w:cs="Times New Roman"/>
        </w:rPr>
        <w:t xml:space="preserve">the </w:t>
      </w:r>
      <w:r w:rsidR="000A4186" w:rsidRPr="000A4186">
        <w:rPr>
          <w:rFonts w:ascii="Times New Roman" w:hAnsi="Times New Roman" w:cs="Times New Roman"/>
        </w:rPr>
        <w:t>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4F650590"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lastRenderedPageBreak/>
        <w:t>And “</w:t>
      </w:r>
      <w:r w:rsidR="001570D1" w:rsidRPr="001570D1">
        <w:rPr>
          <w:rFonts w:ascii="Times New Roman" w:hAnsi="Times New Roman" w:cs="Times New Roman"/>
        </w:rPr>
        <w:t xml:space="preserve">The author mentions </w:t>
      </w:r>
      <w:r w:rsidR="00A415F5">
        <w:rPr>
          <w:rFonts w:ascii="Times New Roman" w:hAnsi="Times New Roman" w:cs="Times New Roman"/>
        </w:rPr>
        <w:t>[that financial motivations might exist]</w:t>
      </w:r>
      <w:r w:rsidR="001570D1" w:rsidRPr="001570D1">
        <w:rPr>
          <w:rFonts w:ascii="Times New Roman" w:hAnsi="Times New Roman" w:cs="Times New Roman"/>
        </w:rPr>
        <w:t>, but it seems to me important that the author addresses head-on why the desire to cut government spending in and of itself is not a viable motivation for education decentralization</w:t>
      </w:r>
      <w:r>
        <w:rPr>
          <w:rFonts w:ascii="Times New Roman" w:hAnsi="Times New Roman" w:cs="Times New Roman"/>
        </w:rPr>
        <w:t>”</w:t>
      </w:r>
    </w:p>
    <w:p w14:paraId="7761E849" w14:textId="63ACC7FB" w:rsidR="008B35D9" w:rsidRDefault="008B35D9" w:rsidP="008B35D9">
      <w:pPr>
        <w:rPr>
          <w:rFonts w:ascii="Times New Roman" w:hAnsi="Times New Roman" w:cs="Times New Roman"/>
        </w:rPr>
      </w:pPr>
    </w:p>
    <w:p w14:paraId="7680D74D" w14:textId="2D3028BC" w:rsidR="007D7C18" w:rsidRDefault="007D7C18" w:rsidP="008B35D9">
      <w:pPr>
        <w:rPr>
          <w:rFonts w:ascii="Times New Roman" w:hAnsi="Times New Roman" w:cs="Times New Roman"/>
        </w:rPr>
      </w:pPr>
      <w:r>
        <w:rPr>
          <w:rFonts w:ascii="Times New Roman" w:hAnsi="Times New Roman" w:cs="Times New Roman"/>
        </w:rPr>
        <w:t xml:space="preserve">Thanks for this point. </w:t>
      </w:r>
      <w:r w:rsidR="000C34B8">
        <w:rPr>
          <w:rFonts w:ascii="Times New Roman" w:hAnsi="Times New Roman" w:cs="Times New Roman"/>
        </w:rPr>
        <w:t xml:space="preserve">I agree that financial motivations could be seen as a technocratic incentive. </w:t>
      </w:r>
      <w:r>
        <w:rPr>
          <w:rFonts w:ascii="Times New Roman" w:hAnsi="Times New Roman" w:cs="Times New Roman"/>
        </w:rPr>
        <w:t xml:space="preserve">I choose to tackle this in the section on ideology because I don’t know that we can divorce cost-cutting measure from neoliberal logics. </w:t>
      </w:r>
      <w:r w:rsidR="000C34B8">
        <w:rPr>
          <w:rFonts w:ascii="Times New Roman" w:hAnsi="Times New Roman" w:cs="Times New Roman"/>
        </w:rPr>
        <w:t xml:space="preserve">To address this point, I’ve gone back to the data to see how I could show that this doesn’t matter as much as politics. In terms of debt service, both countries have similar levels of external debt in the 1970s, this shoots up considerable in the mid 1980s before falling in the early 1990s. Interestingly, it is Paraguay and not El Salvador that reaches the higher levels of debt. Yet this wasn’t enough to compel the government to decentralize education. Second, I’ve looked at education spending as a share of GDP over time. By 1989, Paraguay was spending more than half a percentage point on education than El Salvador, with similar populations sizes and challenges in access. El Salvador steadily raises spending to match Paraguay throughout the 1990s, the time during which EDUCO was in full gear. In short, the case studies suggest that financial motivations may have been another cover for the political incentives that govern when countries advanced social sector reform. For questions of space, I’ve included only the first point in the narrative. </w:t>
      </w:r>
    </w:p>
    <w:p w14:paraId="042807BA" w14:textId="77777777" w:rsidR="007D7C18" w:rsidRPr="008B35D9" w:rsidRDefault="007D7C18" w:rsidP="008B35D9">
      <w:pPr>
        <w:rPr>
          <w:rFonts w:ascii="Times New Roman" w:hAnsi="Times New Roman" w:cs="Times New Roman"/>
        </w:rPr>
      </w:pPr>
    </w:p>
    <w:p w14:paraId="093457C6" w14:textId="6C82A4EE"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6AFE4182" w14:textId="7ADFC408"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3B48560F" w:rsidR="001570D1" w:rsidRDefault="001570D1" w:rsidP="001570D1">
      <w:pPr>
        <w:rPr>
          <w:rFonts w:ascii="Times New Roman" w:hAnsi="Times New Roman" w:cs="Times New Roman"/>
        </w:rPr>
      </w:pPr>
      <w:r>
        <w:rPr>
          <w:rFonts w:ascii="Times New Roman" w:hAnsi="Times New Roman" w:cs="Times New Roman"/>
        </w:rPr>
        <w:t xml:space="preserve">Thanks for this important point, I’ve now deleted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09B0E7E6" w14:textId="334DD7B1" w:rsidR="003139F6" w:rsidRDefault="001570D1" w:rsidP="001570D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lastRenderedPageBreak/>
        <w:t xml:space="preserve">directly into the </w:t>
      </w:r>
      <w:r w:rsidR="003139F6">
        <w:rPr>
          <w:rFonts w:ascii="Times New Roman" w:hAnsi="Times New Roman" w:cs="Times New Roman"/>
        </w:rPr>
        <w:t xml:space="preserve">national fold. It is difficult to suggest that this was not also a motivation for the incumbent government. </w:t>
      </w:r>
    </w:p>
    <w:p w14:paraId="4C587C0A" w14:textId="799B6432" w:rsidR="003139F6" w:rsidRDefault="003139F6" w:rsidP="001570D1">
      <w:pPr>
        <w:rPr>
          <w:rFonts w:ascii="Times New Roman" w:hAnsi="Times New Roman" w:cs="Times New Roman"/>
        </w:rPr>
      </w:pPr>
    </w:p>
    <w:p w14:paraId="595FC6D4" w14:textId="6BA19627" w:rsidR="003139F6" w:rsidRDefault="003139F6" w:rsidP="001570D1">
      <w:pPr>
        <w:rPr>
          <w:rFonts w:ascii="Times New Roman" w:hAnsi="Times New Roman" w:cs="Times New Roman"/>
        </w:rPr>
      </w:pPr>
      <w:r>
        <w:rPr>
          <w:rFonts w:ascii="Times New Roman" w:hAnsi="Times New Roman" w:cs="Times New Roman"/>
        </w:rPr>
        <w:t xml:space="preserve">Still,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It was not ready to </w:t>
      </w:r>
      <w:r>
        <w:rPr>
          <w:rFonts w:ascii="Times New Roman" w:hAnsi="Times New Roman" w:cs="Times New Roman"/>
        </w:rPr>
        <w:t xml:space="preserve"> </w:t>
      </w:r>
    </w:p>
    <w:p w14:paraId="148EFA7B" w14:textId="4C2BFCED" w:rsidR="003139F6" w:rsidRDefault="003139F6" w:rsidP="001570D1">
      <w:pPr>
        <w:rPr>
          <w:rFonts w:ascii="Times New Roman" w:hAnsi="Times New Roman" w:cs="Times New Roman"/>
        </w:rPr>
      </w:pPr>
    </w:p>
    <w:p w14:paraId="4E92EB6F" w14:textId="0C3EAD6C" w:rsidR="003139F6" w:rsidRDefault="003139F6" w:rsidP="001570D1">
      <w:pPr>
        <w:rPr>
          <w:rFonts w:ascii="Times New Roman" w:hAnsi="Times New Roman" w:cs="Times New Roman"/>
        </w:rPr>
      </w:pPr>
      <w:r>
        <w:rPr>
          <w:rFonts w:ascii="Times New Roman" w:hAnsi="Times New Roman" w:cs="Times New Roman"/>
        </w:rPr>
        <w:t xml:space="preserve">It does not explain why the government chose decentralization as the strategy to reach these areas. </w:t>
      </w:r>
      <w:r w:rsidR="007D6B58">
        <w:rPr>
          <w:rFonts w:ascii="Times New Roman" w:hAnsi="Times New Roman" w:cs="Times New Roman"/>
        </w:rPr>
        <w:t xml:space="preserve">Extending schools to the rural areas could have been achieved using the existing system. </w:t>
      </w:r>
    </w:p>
    <w:p w14:paraId="790F4C62" w14:textId="5AF25325" w:rsidR="007D6B58" w:rsidRDefault="007D6B58" w:rsidP="001570D1">
      <w:pPr>
        <w:rPr>
          <w:rFonts w:ascii="Times New Roman" w:hAnsi="Times New Roman" w:cs="Times New Roman"/>
        </w:rPr>
      </w:pPr>
    </w:p>
    <w:p w14:paraId="1D6CA2E9" w14:textId="77777777" w:rsidR="007D6B58" w:rsidRDefault="007D6B58" w:rsidP="001570D1">
      <w:pPr>
        <w:rPr>
          <w:rFonts w:ascii="Times New Roman" w:hAnsi="Times New Roman" w:cs="Times New Roman"/>
        </w:rPr>
      </w:pPr>
    </w:p>
    <w:p w14:paraId="0C61B2CE" w14:textId="77777777" w:rsidR="003139F6" w:rsidRDefault="003139F6"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7D4D6D4" w14:textId="525AB367" w:rsidR="001570D1" w:rsidRPr="001570D1" w:rsidRDefault="001570D1" w:rsidP="001570D1">
      <w:pPr>
        <w:rPr>
          <w:rFonts w:ascii="Times New Roman" w:hAnsi="Times New Roman" w:cs="Times New Roman"/>
        </w:rPr>
      </w:pPr>
      <w:r>
        <w:rPr>
          <w:rFonts w:ascii="Times New Roman" w:hAnsi="Times New Roman" w:cs="Times New Roman"/>
        </w:rPr>
        <w:t xml:space="preserve">Yes, exactly. </w:t>
      </w:r>
      <w:proofErr w:type="spellStart"/>
      <w:r>
        <w:rPr>
          <w:rFonts w:ascii="Times New Roman" w:hAnsi="Times New Roman" w:cs="Times New Roman"/>
        </w:rPr>
        <w:t>Escuelas</w:t>
      </w:r>
      <w:proofErr w:type="spellEnd"/>
      <w:r>
        <w:rPr>
          <w:rFonts w:ascii="Times New Roman" w:hAnsi="Times New Roman" w:cs="Times New Roman"/>
        </w:rPr>
        <w:t xml:space="preserve"> </w:t>
      </w:r>
      <w:proofErr w:type="spellStart"/>
      <w:r>
        <w:rPr>
          <w:rFonts w:ascii="Times New Roman" w:hAnsi="Times New Roman" w:cs="Times New Roman"/>
        </w:rPr>
        <w:t>populares</w:t>
      </w:r>
      <w:proofErr w:type="spellEnd"/>
      <w:r>
        <w:rPr>
          <w:rFonts w:ascii="Times New Roman" w:hAnsi="Times New Roman" w:cs="Times New Roman"/>
        </w:rPr>
        <w:t xml:space="preserve"> were entirely replaced the end effect being that the only way for ANDES affiliated teachers to teach in rural areas previously under guerrilla control was to </w:t>
      </w:r>
    </w:p>
    <w:p w14:paraId="07591296" w14:textId="77777777" w:rsidR="00150D15" w:rsidRDefault="00150D15" w:rsidP="00050B62">
      <w:pPr>
        <w:pStyle w:val="ListParagraph"/>
        <w:numPr>
          <w:ilvl w:val="0"/>
          <w:numId w:val="2"/>
        </w:numPr>
        <w:rPr>
          <w:rFonts w:ascii="Times New Roman" w:hAnsi="Times New Roman" w:cs="Times New Roman"/>
        </w:rPr>
      </w:pPr>
    </w:p>
    <w:p w14:paraId="5C297A1E" w14:textId="69FF484C" w:rsidR="00150D15" w:rsidRDefault="00150D15" w:rsidP="00150D15">
      <w:pPr>
        <w:rPr>
          <w:rFonts w:ascii="Times New Roman" w:hAnsi="Times New Roman" w:cs="Times New Roman"/>
        </w:rPr>
      </w:pPr>
    </w:p>
    <w:p w14:paraId="0185848C" w14:textId="567E5693" w:rsidR="00150D15" w:rsidRPr="00150D15" w:rsidRDefault="00150D15" w:rsidP="00150D15">
      <w:pPr>
        <w:rPr>
          <w:rFonts w:ascii="Times New Roman" w:hAnsi="Times New Roman" w:cs="Times New Roman"/>
        </w:rPr>
      </w:pPr>
      <w:r>
        <w:rPr>
          <w:rFonts w:ascii="Times New Roman" w:hAnsi="Times New Roman" w:cs="Times New Roman"/>
        </w:rPr>
        <w:t xml:space="preserve">I mostly agree. I </w:t>
      </w:r>
      <w:proofErr w:type="spellStart"/>
      <w:r>
        <w:rPr>
          <w:rFonts w:ascii="Times New Roman" w:hAnsi="Times New Roman" w:cs="Times New Roman"/>
        </w:rPr>
        <w:t>thnk</w:t>
      </w:r>
      <w:proofErr w:type="spellEnd"/>
      <w:r>
        <w:rPr>
          <w:rFonts w:ascii="Times New Roman" w:hAnsi="Times New Roman" w:cs="Times New Roman"/>
        </w:rPr>
        <w:t xml:space="preserve"> the focus should stay on the </w:t>
      </w:r>
    </w:p>
    <w:p w14:paraId="772C74A5" w14:textId="4BC08331" w:rsidR="00050B62" w:rsidRDefault="00050B62" w:rsidP="00050B62">
      <w:pPr>
        <w:rPr>
          <w:rFonts w:ascii="Times New Roman" w:hAnsi="Times New Roman" w:cs="Times New Roman"/>
        </w:rPr>
      </w:pP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0A4186" w:rsidRPr="000A4186">
        <w:rPr>
          <w:rFonts w:ascii="Times New Roman" w:hAnsi="Times New Roman" w:cs="Times New Roman"/>
        </w:rPr>
        <w:t xml:space="preserve">Arcia,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Bohlken,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Falleti,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Gershberg,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Yasuyuki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Kubal,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Meza, Darlyn, José L. Guzman, and Lorena De Varela. 2004. </w:t>
      </w:r>
      <w:r w:rsidRPr="000A4186">
        <w:rPr>
          <w:rFonts w:ascii="Times New Roman" w:hAnsi="Times New Roman" w:cs="Times New Roman"/>
          <w:i/>
          <w:iCs/>
        </w:rPr>
        <w:t>EDUCO: Un Programa de Eduación Administrado Por La Comunidad En Las Zonas Rurales de El Salvador (1991-2003)</w:t>
      </w:r>
      <w:r w:rsidRPr="000A4186">
        <w:rPr>
          <w:rFonts w:ascii="Times New Roman" w:hAnsi="Times New Roman" w:cs="Times New Roman"/>
        </w:rPr>
        <w:t>. Washington, DC: World Bank.</w:t>
      </w:r>
    </w:p>
    <w:p w14:paraId="4D452283"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Niedzwiecki,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eds. James Lynch, Celia Modgil, and Sohan Mogdil.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Yasuyuki,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ed. Emiliana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157B" w14:textId="77777777" w:rsidR="008452E2" w:rsidRDefault="008452E2" w:rsidP="003A366D">
      <w:r>
        <w:separator/>
      </w:r>
    </w:p>
  </w:endnote>
  <w:endnote w:type="continuationSeparator" w:id="0">
    <w:p w14:paraId="2EA1C25B" w14:textId="77777777" w:rsidR="008452E2" w:rsidRDefault="008452E2"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4F019" w14:textId="77777777" w:rsidR="008452E2" w:rsidRDefault="008452E2" w:rsidP="003A366D">
      <w:r>
        <w:separator/>
      </w:r>
    </w:p>
  </w:footnote>
  <w:footnote w:type="continuationSeparator" w:id="0">
    <w:p w14:paraId="2DB04743" w14:textId="77777777" w:rsidR="008452E2" w:rsidRDefault="008452E2"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50B62"/>
    <w:rsid w:val="000A4186"/>
    <w:rsid w:val="000C34B8"/>
    <w:rsid w:val="000D4CCD"/>
    <w:rsid w:val="00127987"/>
    <w:rsid w:val="00150D15"/>
    <w:rsid w:val="001570D1"/>
    <w:rsid w:val="001A5999"/>
    <w:rsid w:val="001C4E18"/>
    <w:rsid w:val="001D147E"/>
    <w:rsid w:val="00270BB5"/>
    <w:rsid w:val="002A6E67"/>
    <w:rsid w:val="002C11FD"/>
    <w:rsid w:val="002E62AC"/>
    <w:rsid w:val="003139F6"/>
    <w:rsid w:val="00326D44"/>
    <w:rsid w:val="00337C58"/>
    <w:rsid w:val="0036086C"/>
    <w:rsid w:val="00376C57"/>
    <w:rsid w:val="00391746"/>
    <w:rsid w:val="003A366D"/>
    <w:rsid w:val="003B1B5F"/>
    <w:rsid w:val="00406FC9"/>
    <w:rsid w:val="00415950"/>
    <w:rsid w:val="00430F2A"/>
    <w:rsid w:val="004739FF"/>
    <w:rsid w:val="004947F3"/>
    <w:rsid w:val="004B2CF1"/>
    <w:rsid w:val="00546663"/>
    <w:rsid w:val="00571063"/>
    <w:rsid w:val="005815DA"/>
    <w:rsid w:val="005A0B86"/>
    <w:rsid w:val="005A25A5"/>
    <w:rsid w:val="005C522E"/>
    <w:rsid w:val="005D1EE0"/>
    <w:rsid w:val="005E1A01"/>
    <w:rsid w:val="00607C07"/>
    <w:rsid w:val="00643CF0"/>
    <w:rsid w:val="00651A20"/>
    <w:rsid w:val="006653C7"/>
    <w:rsid w:val="0067743E"/>
    <w:rsid w:val="00684AD0"/>
    <w:rsid w:val="0072429A"/>
    <w:rsid w:val="00725A79"/>
    <w:rsid w:val="00741520"/>
    <w:rsid w:val="0074167D"/>
    <w:rsid w:val="0076191C"/>
    <w:rsid w:val="00771A11"/>
    <w:rsid w:val="00787A18"/>
    <w:rsid w:val="007A1FC3"/>
    <w:rsid w:val="007C2E6E"/>
    <w:rsid w:val="007C34B9"/>
    <w:rsid w:val="007D49DC"/>
    <w:rsid w:val="007D6B58"/>
    <w:rsid w:val="007D7C18"/>
    <w:rsid w:val="0081743A"/>
    <w:rsid w:val="008452E2"/>
    <w:rsid w:val="00871041"/>
    <w:rsid w:val="00894F17"/>
    <w:rsid w:val="008B35D9"/>
    <w:rsid w:val="008D3FEE"/>
    <w:rsid w:val="0093277A"/>
    <w:rsid w:val="0095088F"/>
    <w:rsid w:val="00980EAB"/>
    <w:rsid w:val="009C0734"/>
    <w:rsid w:val="009C6330"/>
    <w:rsid w:val="009D0E58"/>
    <w:rsid w:val="009E589A"/>
    <w:rsid w:val="009E6910"/>
    <w:rsid w:val="009F1CAC"/>
    <w:rsid w:val="00A210BE"/>
    <w:rsid w:val="00A415F5"/>
    <w:rsid w:val="00A733C1"/>
    <w:rsid w:val="00B0522B"/>
    <w:rsid w:val="00B67823"/>
    <w:rsid w:val="00B830E9"/>
    <w:rsid w:val="00B87075"/>
    <w:rsid w:val="00B9377A"/>
    <w:rsid w:val="00C038D0"/>
    <w:rsid w:val="00C23A9F"/>
    <w:rsid w:val="00C31BCD"/>
    <w:rsid w:val="00C760C2"/>
    <w:rsid w:val="00C80018"/>
    <w:rsid w:val="00D22D72"/>
    <w:rsid w:val="00D44FAF"/>
    <w:rsid w:val="00E01C45"/>
    <w:rsid w:val="00E066BB"/>
    <w:rsid w:val="00E45B85"/>
    <w:rsid w:val="00E8217D"/>
    <w:rsid w:val="00EA7F1B"/>
    <w:rsid w:val="00F15882"/>
    <w:rsid w:val="00F20316"/>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42</cp:revision>
  <dcterms:created xsi:type="dcterms:W3CDTF">2021-03-09T15:37:00Z</dcterms:created>
  <dcterms:modified xsi:type="dcterms:W3CDTF">2021-07-13T16:28:00Z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