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DECISION BRIEF · 2 AUGUST 2026</w:t>
      </w:r>
    </w:p>
    <w:p>
      <w:pPr>
        <w:spacing w:after="180"/>
      </w:pPr>
      <w:r>
        <w:rPr>
          <w:rFonts w:ascii="Calibri" w:hAnsi="Calibri"/>
          <w:b/>
          <w:color w:val="17365D"/>
          <w:sz w:val="64"/>
        </w:rPr>
        <w:t>Code Review Harness</w:t>
      </w:r>
    </w:p>
    <w:p>
      <w:pPr>
        <w:spacing w:after="400"/>
      </w:pPr>
      <w:r>
        <w:rPr>
          <w:rFonts w:ascii="Calibri" w:hAnsi="Calibri"/>
          <w:color w:val="2E74B5"/>
          <w:sz w:val="36"/>
        </w:rPr>
        <w:t>Progress, Evidence, Maturity, and Next Authorization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EF5F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Purpose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Provide senior leadership with an evidence-based account of what the project has planned, built, and proven; disclose performance and maturity limits; and request authorization for the next bounded tranche of work.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528"/>
        <w:gridCol w:w="3456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Audience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Reporting basis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Environment 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Senior leadership and project sponsors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Repository state and retained evidence through ADR-0038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Testing: DGX Spark or approved equivalent (GX-10)</w:t>
              <w:br/>
              <w:t>Production target: A100 large cluster</w:t>
            </w:r>
          </w:p>
        </w:tc>
      </w:tr>
    </w:tbl>
    <w:p>
      <w:pPr>
        <w:spacing w:after="0"/>
      </w:pPr>
    </w:p>
    <w:p>
      <w:pPr>
        <w:spacing w:after="960"/>
      </w:pPr>
    </w:p>
    <w:p>
      <w:pPr>
        <w:jc w:val="center"/>
      </w:pPr>
      <w:r>
        <w:rPr>
          <w:i/>
          <w:color w:val="5E6872"/>
          <w:sz w:val="20"/>
        </w:rPr>
        <w:t>Prepared for authorization of continued engineering, integration, and production-readiness work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EXECUTIVE DECISION BRIEF</w:t>
      </w:r>
    </w:p>
    <w:p>
      <w:pPr>
        <w:pStyle w:val="Heading1"/>
      </w:pPr>
      <w:r>
        <w:t>The project has crossed from architecture into controlled execution</w:t>
      </w:r>
    </w:p>
    <w:p>
      <w:r>
        <w:t>The Code Review Harness now demonstrates a complete, bounded review path from specialist evidence through product, capability, and enterprise synthesis, with deterministic validation, immutable lineage, fail-closed gates, human semantic acceptance, and explicit rollback. The latest enterprise synthesis candidate ran successfully on the GX-10 test rig and was accepted as semantically faithful by the project owner.</w:t>
      </w:r>
    </w:p>
    <w:p>
      <w:r>
        <w:t>This is not yet a production claim. The accepted baseline remains ENT-EVIDENCE → ENT-SYSRISK; enterprise synthesis is eligible only for a later bounded shadow-integration evaluation. No report, distribution, deployment, scheduling, or A100 production state has been changed.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8F3E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D32"/>
                <w:sz w:val="21"/>
              </w:rPr>
              <w:t>Recommended leadership decision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Authorize the next tranche: bounded end-to-end shadow integration, A100 deployment and benchmark, broader corpus validation, and operational hardening. Preserve the current human-decision and rollback boundaries while evidence is accumulated.</w:t>
            </w:r>
          </w:p>
        </w:tc>
      </w:tr>
    </w:tbl>
    <w:p>
      <w:pPr>
        <w:spacing w:after="0"/>
      </w:pPr>
    </w:p>
    <w:p>
      <w:pPr>
        <w:pStyle w:val="Heading2"/>
      </w:pPr>
      <w:r>
        <w:t>At a glance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528"/>
        <w:gridCol w:w="3744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Current evidence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Leadership interpretation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Architecture &amp; governance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38 formal ADRs; 23 contracts; 6 agent-framework documents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Coherent and unusually well controlled for this stage</w:t>
            </w:r>
          </w:p>
        </w:tc>
      </w:tr>
      <w:tr>
        <w:trPr>
          <w:cantSplit/>
        </w:trPr>
        <w:tc>
          <w:tcPr>
            <w:tcW w:type="dxa" w:w="20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Executable control plane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Immutable ledger, adapters, schema gates, orchestration state machines, rollback paths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Repeatable reference implementation; not yet a scaled service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Agent chain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Live Qwen3-32B results from specialist through enterprise synthesis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Vertical capability proven; breadth remains limited</w:t>
            </w:r>
          </w:p>
        </w:tc>
      </w:tr>
      <w:tr>
        <w:trPr>
          <w:cantSplit/>
        </w:trPr>
        <w:tc>
          <w:tcPr>
            <w:tcW w:type="dxa" w:w="20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Validation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184-test full regression; final scoped GX-10 conformance passed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Strong deterministic assurance on the reference path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Performance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Final ENT-SYNTH: 7,696 input + 5,104 output tokens in 775 seconds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Functional on GX-10; latency requires A100 benchmarking</w:t>
            </w:r>
          </w:p>
        </w:tc>
      </w:tr>
      <w:tr>
        <w:trPr>
          <w:cantSplit/>
        </w:trPr>
        <w:tc>
          <w:tcPr>
            <w:tcW w:type="dxa" w:w="20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Human authority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Technical validity, semantic acceptance, owner finalization, and eligibility are separate records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Leadership and expert authority are preserved</w:t>
            </w:r>
          </w:p>
        </w:tc>
      </w:tr>
    </w:tbl>
    <w:p>
      <w:pPr>
        <w:spacing w:after="0"/>
      </w:pPr>
    </w:p>
    <w:p>
      <w:pPr>
        <w:pStyle w:val="Heading2"/>
      </w:pPr>
      <w:r>
        <w:t>What leadership can safely conclude</w:t>
      </w:r>
    </w:p>
    <w:p>
      <w:pPr>
        <w:pStyle w:val="ListBullet"/>
      </w:pPr>
      <w:r>
        <w:t>The core contracts and state transitions work as designed on retained evidence and model-backed runs.</w:t>
      </w:r>
    </w:p>
    <w:p>
      <w:pPr>
        <w:pStyle w:val="ListBullet"/>
      </w:pPr>
      <w:r>
        <w:t>The model can produce semantically faithful strict-JSON artifacts when prompts, schemas, and harness projections are co-designed.</w:t>
      </w:r>
    </w:p>
    <w:p>
      <w:pPr>
        <w:pStyle w:val="ListBullet"/>
      </w:pPr>
      <w:r>
        <w:t>Failures are useful and contained: invalid lineage, authority confusion, stale limitations, and identity collisions failed closed or were caught during semantic review.</w:t>
      </w:r>
    </w:p>
    <w:p>
      <w:pPr>
        <w:pStyle w:val="ListBullet"/>
      </w:pPr>
      <w:r>
        <w:t>The next risk is integration and operational scale—not whether the architectural control model is technically plausible.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PLAN AND DELIVERY</w:t>
      </w:r>
    </w:p>
    <w:p>
      <w:pPr>
        <w:pStyle w:val="Heading1"/>
      </w:pPr>
      <w:r>
        <w:t>What we planned—and what we made</w:t>
      </w:r>
    </w:p>
    <w:p>
      <w:r>
        <w:t>The plan deliberately completed one vertical before broadening the architecture. Each increment added a governed capability without silently changing the accepted route.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4176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Increment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Planned outcome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Delivered result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1. Ledger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Persist, hash, index, replay, supersede, and audit artifacts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Complete; deterministic replay and fail-closed integrity/access controls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2. Workers &amp; adapters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Bounded model/tool execution with pinned prompts, schemas, telemetry, retry, and rollback</w:t>
            </w:r>
          </w:p>
        </w:tc>
        <w:tc>
          <w:tcPr>
            <w:tcW w:type="dxa" w:w="41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Complete for the reference vertical; four live model stages linked end to end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3. Report governance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Immutable leadership package, controlled distribution, and external decision reconciliation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Complete for the reference vertical; owner finalization now replaces mandatory second verification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4. Evidence localization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Exact repository/revision/path/line/fingerprint locators and expert review packets</w:t>
            </w:r>
          </w:p>
        </w:tc>
        <w:tc>
          <w:tcPr>
            <w:tcW w:type="dxa" w:w="41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Complete; actionable items resolve to reproducible source locations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5. Agent expansion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Move from one direct risk path to product, capability, and enterprise candidates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Advanced through accepted CAP-SYNTH, ENT-ARCH, ENT-GOV, corrected ENT-STRAT, and ENT-SYNTH evaluations</w:t>
            </w:r>
          </w:p>
        </w:tc>
      </w:tr>
    </w:tbl>
    <w:p>
      <w:pPr>
        <w:spacing w:after="0"/>
      </w:pPr>
    </w:p>
    <w:p>
      <w:pPr>
        <w:pStyle w:val="Heading2"/>
      </w:pPr>
      <w:r>
        <w:t>Concrete architecture produced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936"/>
        <w:gridCol w:w="6048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Repository asset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Count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Formal ADRs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38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Decision history, authority, alternatives, rollback, and acceptance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Agent frameworks</w:t>
            </w:r>
          </w:p>
        </w:tc>
        <w:tc>
          <w:tcPr>
            <w:tcW w:type="dxa" w:w="9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60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Integrated plus specialist, product, capability, enterprise, and orchestration layers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Contracts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Universal, layer, role, evidence, lifecycle, human-decision, and synthesis boundaries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JSON schemas</w:t>
            </w:r>
          </w:p>
        </w:tc>
        <w:tc>
          <w:tcPr>
            <w:tcW w:type="dxa" w:w="9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82</w:t>
            </w:r>
          </w:p>
        </w:tc>
        <w:tc>
          <w:tcPr>
            <w:tcW w:type="dxa" w:w="60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Executable validation of inputs, outputs, state, authority, and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State machines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Orchestration, fan-out/fan-in, requirements, semantic, report, and shadow readiness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Candidate workflows</w:t>
            </w:r>
          </w:p>
        </w:tc>
        <w:tc>
          <w:tcPr>
            <w:tcW w:type="dxa" w:w="9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  <w:tc>
          <w:tcPr>
            <w:tcW w:type="dxa" w:w="60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Versioned calibration and accepted-live execution definitions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Python test modules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Positive, negative, replay, rollback, and governance conformance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Retained evidence summaries</w:t>
            </w:r>
          </w:p>
        </w:tc>
        <w:tc>
          <w:tcPr>
            <w:tcW w:type="dxa" w:w="9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51</w:t>
            </w:r>
          </w:p>
        </w:tc>
        <w:tc>
          <w:tcPr>
            <w:tcW w:type="dxa" w:w="60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Immutable records of passes, failures, corrections, and disposition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FF1D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A35A00"/>
                <w:sz w:val="21"/>
              </w:rPr>
              <w:t>Important baseline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The accepted production-like route is still ENT-EVIDENCE → ENT-SYSRISK. Candidate expansion has been isolated, reversible, and non-authoritative by design.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EVIDENCE BOUNDARY</w:t>
      </w:r>
    </w:p>
    <w:p>
      <w:pPr>
        <w:pStyle w:val="Heading1"/>
      </w:pPr>
      <w:r>
        <w:t>What has been proven</w:t>
      </w:r>
    </w:p>
    <w:p>
      <w:pPr>
        <w:pStyle w:val="Heading2"/>
      </w:pPr>
      <w:r>
        <w:t>Proven on the reference vertical and accepted-live candidate path</w:t>
      </w:r>
    </w:p>
    <w:p>
      <w:pPr>
        <w:pStyle w:val="ListBullet"/>
      </w:pPr>
      <w:r>
        <w:t>Immutable artifacts can be persisted, content-addressed, reloaded, validated, replayed, superseded, and audited without changing their meaning.</w:t>
      </w:r>
    </w:p>
    <w:p>
      <w:pPr>
        <w:pStyle w:val="ListBullet"/>
      </w:pPr>
      <w:r>
        <w:t>Signed identity, contract, prompt, rubric, schema, model, toolchain, and environment pins can follow each execution and handoff.</w:t>
      </w:r>
    </w:p>
    <w:p>
      <w:pPr>
        <w:pStyle w:val="ListBullet"/>
      </w:pPr>
      <w:r>
        <w:t>Model output cannot bypass deterministic fan-in validation; invalid identities, invented references, stale limitations, duplicate IDs, and unauthorized effects fail closed.</w:t>
      </w:r>
    </w:p>
    <w:p>
      <w:pPr>
        <w:pStyle w:val="ListBullet"/>
      </w:pPr>
      <w:r>
        <w:t>Specialist evidence can flow through product and capability reasoning into enterprise-domain and enterprise-synthesis artifacts while preserving child lineage and avoiding double counting.</w:t>
      </w:r>
    </w:p>
    <w:p>
      <w:pPr>
        <w:pStyle w:val="ListBullet"/>
      </w:pPr>
      <w:r>
        <w:t>Missing inputs remain missing or insufficient evidence. They do not become satisfaction, compliance, readiness, safety, or no-findings claims.</w:t>
      </w:r>
    </w:p>
    <w:p>
      <w:pPr>
        <w:pStyle w:val="ListBullet"/>
      </w:pPr>
      <w:r>
        <w:t>Technical validation, human semantic judgment, administrative recording, project-owner finalization, and machine-derived eligibility remain separate immutable events.</w:t>
      </w:r>
    </w:p>
    <w:p>
      <w:pPr>
        <w:pStyle w:val="ListBullet"/>
      </w:pPr>
      <w:r>
        <w:t>Every actionable report item can carry a reproducible locator to repository, immutable revision, file path, line or section, fingerprint, and access/reproduction instructions.</w:t>
      </w:r>
    </w:p>
    <w:p>
      <w:pPr>
        <w:pStyle w:val="ListBullet"/>
      </w:pPr>
      <w:r>
        <w:t>Report assembly and distribution governance can remain separate from technical synthesis and expert decisions.</w:t>
      </w:r>
    </w:p>
    <w:p>
      <w:pPr>
        <w:pStyle w:val="ListBullet"/>
      </w:pPr>
      <w:r>
        <w:t>Rollback can disable candidate discovery or eligibility while retaining the complete evidence and decision history.</w:t>
      </w:r>
    </w:p>
    <w:p>
      <w:pPr>
        <w:pStyle w:val="Heading2"/>
      </w:pPr>
      <w:r>
        <w:t>Not yet proven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528"/>
        <w:gridCol w:w="3600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Open claim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Why it remains open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Production readiness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Candidates remain unscheduled; operational service behavior is not exercised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Bounded shadow integration, security, SRE, failure-recovery, and release evidence</w:t>
            </w:r>
          </w:p>
        </w:tc>
      </w:tr>
      <w:tr>
        <w:trPr>
          <w:cantSplit/>
        </w:trPr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A100 latency/capacity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No A100 run has been measured</w:t>
            </w:r>
          </w:p>
        </w:tc>
        <w:tc>
          <w:tcPr>
            <w:tcW w:type="dxa" w:w="3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Pinned single- and multi-GPU benchmarks using the accepted workload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Broad semantic generalization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Evidence is concentrated on one repository and a bounded domain set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Larger, stratified corpus with expert adjudication and error analysis</w:t>
            </w:r>
          </w:p>
        </w:tc>
      </w:tr>
      <w:tr>
        <w:trPr>
          <w:cantSplit/>
        </w:trPr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Multi-capability enterprise fitness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The accepted-live enterprise set represents one bounded capability</w:t>
            </w:r>
          </w:p>
        </w:tc>
        <w:tc>
          <w:tcPr>
            <w:tcW w:type="dxa" w:w="3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Multiple real capabilities, cross-capability dependencies, and system-of-systems review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Operational leadership workflow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Contracts are proven; organization-scale distribution and decision handling are not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Pilot report distribution, expert decisions, admin recording, revocation, and audit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MATURITY ASSESSMENT</w:t>
      </w:r>
    </w:p>
    <w:p>
      <w:pPr>
        <w:pStyle w:val="Heading1"/>
      </w:pPr>
      <w:r>
        <w:t>Mature controls; bounded operational evidence</w:t>
      </w:r>
    </w:p>
    <w:p>
      <w:r>
        <w:t>Maturity is rated on a five-level scale: 1 = concept, 2 = executable fixture, 3 = repeatable live candidate, 4 = bounded shadow integration, 5 = production-operated. Scores are engineering judgments based on retained evidence, not certifications.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Workflows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Versioned, repeatable, and rollback-qualified on the reference path; broader policy-driven execution remains unscheduled.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State machines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Explicit fail-closed transitions and authority separation are implemented and repeatedly tested; operational scale is pending.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Coordinator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CAP-COORD exact-set validation, manifest binding, and dispatch gating are proven; dynamic multi-capability operation is not.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Harness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Ledger, adapters, validators, projections, telemetry, and governance paths work; packaging as a resilient service is unfinished.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Specialist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SPEC-SECRETS live vertical with exact evidence and downstream acceptance is proven.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Product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PROD-SEC baseline and PROD-SYNTH shadow candidate are live; broader product-domain synthesis is planned.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Capability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CAP-RISK baseline plus accepted-live CAP-REQ/CAP-SYNTH evidence and owner finalization are demonstrated.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Enterprise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ENT-SYSRISK baseline and accepted ENT-ARCH/GOV/STRAT/SYNTH candidates exist; shadow integration is next.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024"/>
        <w:gridCol w:w="4608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17365D"/>
                <w:sz w:val="18"/>
              </w:rPr>
              <w:t>Orchestration</w:t>
            </w:r>
          </w:p>
        </w:tc>
        <w:tc>
          <w:tcPr>
            <w:tcW w:type="dxa" w:w="3312"/>
            <w:shd w:fill="FFFFFF"/>
          </w:tcPr>
          <w:p>
            <w:r/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187A7A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  <w:r>
              <w:rPr>
                <w:color w:val="D7DCE2"/>
                <w:sz w:val="22"/>
              </w:rPr>
              <w:t xml:space="preserve">■ 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Control-plane contracts and state machines are detailed; ORCH-SCHED/FANOUT/FANIN remain planned as full agents.</w:t>
            </w:r>
          </w:p>
        </w:tc>
      </w:tr>
    </w:tbl>
    <w:p>
      <w:pPr>
        <w:pStyle w:val="Heading2"/>
      </w:pPr>
      <w:r>
        <w:t>Overall interpretation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EF5F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Current level: repeatable engineering prototype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The project is beyond a paper design and beyond a one-off demo. It has not yet reached integrated shadow operation or production service maturity. The highest-confidence assets are the contracts, validation gates, lineage model, human-authority boundaries, and rollback discipline.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HARNESS AND STATE</w:t>
      </w:r>
    </w:p>
    <w:p>
      <w:pPr>
        <w:pStyle w:val="Heading1"/>
      </w:pPr>
      <w:r>
        <w:t>How the system works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1 · Ingest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2 · Dispatch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3 · Validate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4 · Synthesize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5 · Human control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Immutable revision and bounded evidence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Pinned agent, prompt, model, tools, policy, and environment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Schema, identity, integrity, lineage, scope, completeness, and authority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Preserve source meaning; derive only traceable assertions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Issue review packet; record response; owner finalizes; system derives eligibility</w:t>
            </w:r>
          </w:p>
        </w:tc>
      </w:tr>
    </w:tbl>
    <w:p>
      <w:pPr>
        <w:spacing w:after="0"/>
      </w:pPr>
    </w:p>
    <w:p>
      <w:pPr>
        <w:pStyle w:val="Heading2"/>
      </w:pPr>
      <w:r>
        <w:t>State-machine discipline</w:t>
      </w:r>
    </w:p>
    <w:p>
      <w:r>
        <w:t>The state model is intentionally conservative. A model-generated artifact is not accepted because it parses; a human response is not an implementation authorization; eligibility is not scheduling; scheduling is not report release; and report release is not deployment approval.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312"/>
        <w:gridCol w:w="4104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State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 not mean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Candidate generated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 pinned model produced an artifact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Correct, accepted, or usable</w:t>
            </w:r>
          </w:p>
        </w:tc>
      </w:tr>
      <w:tr>
        <w:trPr>
          <w:cantSplit/>
        </w:trPr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Technically validated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Schema, lineage, policy, and integrity passed</w:t>
            </w:r>
          </w:p>
        </w:tc>
        <w:tc>
          <w:tcPr>
            <w:tcW w:type="dxa" w:w="41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Semantically faithful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Review packet issued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Exact artifact and evidence are ready for human judgment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Approved for distribution</w:t>
            </w:r>
          </w:p>
        </w:tc>
      </w:tr>
      <w:tr>
        <w:trPr>
          <w:cantSplit/>
        </w:trPr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Human response recorded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Named authority made a bounded judgment</w:t>
            </w:r>
          </w:p>
        </w:tc>
        <w:tc>
          <w:tcPr>
            <w:tcW w:type="dxa" w:w="41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System state may change automatically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Owner finalized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Project owner authorized the stated bounded effect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Release, risk acceptance, or production promotion</w:t>
            </w:r>
          </w:p>
        </w:tc>
      </w:tr>
      <w:tr>
        <w:trPr>
          <w:cantSplit/>
        </w:trPr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Eligible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Artifact may be used for the exact declared next evaluation</w:t>
            </w:r>
          </w:p>
        </w:tc>
        <w:tc>
          <w:tcPr>
            <w:tcW w:type="dxa" w:w="41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Agent is scheduled or baseline is changed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Revoked / superseded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Future use is disabled; history remains immutable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Evidence is deleted or rewritten</w:t>
            </w:r>
          </w:p>
        </w:tc>
      </w:tr>
    </w:tbl>
    <w:p>
      <w:pPr>
        <w:spacing w:after="0"/>
      </w:pPr>
    </w:p>
    <w:p>
      <w:pPr>
        <w:pStyle w:val="Heading2"/>
      </w:pPr>
      <w:r>
        <w:t>Coordinator and orchestration</w:t>
      </w:r>
    </w:p>
    <w:p>
      <w:r>
        <w:t>CAP-COORD is a proven data-plane coordinator: it validates the exact expected set, binds immutable inputs, preserves conflicts and partial-input state, and gates CAP-SYNTH dispatch. The broader orchestration control plane is specified through ORCH-SCHED, ORCH-FANOUT, and ORCH-FANIN, but those roles are still planned as fully operational agents. Current execution uses reference runtimes and workflow definitions rather than a horizontally scaled scheduler service.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AGENT ARCHITECTURE</w:t>
      </w:r>
    </w:p>
    <w:p>
      <w:pPr>
        <w:pStyle w:val="Heading1"/>
      </w:pPr>
      <w:r>
        <w:t>The vertical is complete; the horizontal catalog is not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088"/>
        <w:gridCol w:w="3240"/>
        <w:gridCol w:w="2592"/>
      </w:tblGrid>
      <w:tr>
        <w:trPr>
          <w:tblHeader w:val="true"/>
        </w:trPr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Proven path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Mature behavior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Remaining breadth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Specialist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SPEC-SECRETS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Bounded inspection, safe evidence, exact findings and uncertainty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Calibrate the wider specialist catalog</w:t>
            </w:r>
          </w:p>
        </w:tc>
      </w:tr>
      <w:tr>
        <w:trPr>
          <w:cantSplit/>
        </w:trPr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Product</w:t>
            </w:r>
          </w:p>
        </w:tc>
        <w:tc>
          <w:tcPr>
            <w:tcW w:type="dxa" w:w="20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PROD-SEC; PROD-SYNTH candidate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Preserves specialist meaning; correlates product-scoped evidence</w:t>
            </w:r>
          </w:p>
        </w:tc>
        <w:tc>
          <w:tcPr>
            <w:tcW w:type="dxa" w:w="25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Architecture, quality, and additional synthesis domains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Capability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CAP-RISK, CAP-REQ, CAP-COORD, CAP-SYNTH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Exact-set coordination, multi-domain synthesis, requirements missingness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Multiple products and mission threads</w:t>
            </w:r>
          </w:p>
        </w:tc>
      </w:tr>
      <w:tr>
        <w:trPr>
          <w:cantSplit/>
        </w:trPr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Enterprise</w:t>
            </w:r>
          </w:p>
        </w:tc>
        <w:tc>
          <w:tcPr>
            <w:tcW w:type="dxa" w:w="20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ENT-EVIDENCE, ENT-SYSRISK, ENT-ARCH, ENT-GOV, ENT-STRAT, ENT-SYNTH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Domain independence, eligibility binding, bounded synthesis</w:t>
            </w:r>
          </w:p>
        </w:tc>
        <w:tc>
          <w:tcPr>
            <w:tcW w:type="dxa" w:w="25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Multiple capabilities, portfolio, modernization, maturity, learning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Orchestration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Reference workers and gates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Pinned dispatch, validation, retry, timeout, cancellation, audit, rollback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Production scheduler, fan-out/fan-in services, resource governance</w:t>
            </w:r>
          </w:p>
        </w:tc>
      </w:tr>
    </w:tbl>
    <w:p>
      <w:pPr>
        <w:spacing w:after="0"/>
      </w:pPr>
    </w:p>
    <w:p>
      <w:pPr>
        <w:pStyle w:val="Heading2"/>
      </w:pPr>
      <w:r>
        <w:t>What the agents are allowed to do</w:t>
      </w:r>
    </w:p>
    <w:p>
      <w:pPr>
        <w:pStyle w:val="ListBullet"/>
      </w:pPr>
      <w:r>
        <w:t>Observe and assess only the evidence they were explicitly given.</w:t>
      </w:r>
    </w:p>
    <w:p>
      <w:pPr>
        <w:pStyle w:val="ListBullet"/>
      </w:pPr>
      <w:r>
        <w:t>Create traceable findings, patterns, uncertainties, recommendations, and decision requests.</w:t>
      </w:r>
    </w:p>
    <w:p>
      <w:pPr>
        <w:pStyle w:val="ListBullet"/>
      </w:pPr>
      <w:r>
        <w:t>Preserve source IDs, evidence tiers, limitations, conflicts, and confidence provenance across layers.</w:t>
      </w:r>
    </w:p>
    <w:p>
      <w:pPr>
        <w:pStyle w:val="ListBullet"/>
      </w:pPr>
      <w:r>
        <w:t>Request human decisions without impersonating the decision-maker.</w:t>
      </w:r>
    </w:p>
    <w:p>
      <w:pPr>
        <w:pStyle w:val="Heading2"/>
      </w:pPr>
      <w:r>
        <w:t>What they are never allowed to do</w:t>
      </w:r>
    </w:p>
    <w:p>
      <w:pPr>
        <w:pStyle w:val="ListBullet"/>
      </w:pPr>
      <w:r>
        <w:t>Accept risk, approve release, approve strategy, declare compliance, authorize distribution, or deploy.</w:t>
      </w:r>
    </w:p>
    <w:p>
      <w:pPr>
        <w:pStyle w:val="ListBullet"/>
      </w:pPr>
      <w:r>
        <w:t>Treat absent evidence as success, average away disagreement, invent a source, or silently repair a model response.</w:t>
      </w:r>
    </w:p>
    <w:p>
      <w:pPr>
        <w:pStyle w:val="ListBullet"/>
      </w:pPr>
      <w:r>
        <w:t>Change an accepted baseline or schedule a candidate without a separate, explicit decision.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8F3E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D32"/>
                <w:sz w:val="21"/>
              </w:rPr>
              <w:t>Leadership relevance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The system is designed to increase the quality and traceability of human decisions—not replace leadership, expert, requirements, risk, compliance, or administrative authority.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ENGINEERING LESSONS</w:t>
      </w:r>
    </w:p>
    <w:p>
      <w:pPr>
        <w:pStyle w:val="Heading1"/>
      </w:pPr>
      <w:r>
        <w:t>What we learned about prompts, contracts, and models</w:t>
      </w:r>
    </w:p>
    <w:p>
      <w:pPr>
        <w:pStyle w:val="Heading2"/>
      </w:pPr>
      <w:r>
        <w:t>Prompts</w:t>
      </w:r>
    </w:p>
    <w:p>
      <w:pPr>
        <w:pStyle w:val="ListBullet"/>
      </w:pPr>
      <w:r>
        <w:t>A prompt must be written as an executable role specification: mission, exact inputs, allowed derivations, prohibited claims, evidence obligations, output schema, and lifecycle effect.</w:t>
      </w:r>
    </w:p>
    <w:p>
      <w:pPr>
        <w:pStyle w:val="ListBullet"/>
      </w:pPr>
      <w:r>
        <w:t>Prompt quality depends on topology. Requiring the model to repeat complete child artifacts caused a 900-second timeout; compact hash- and ID-based projections preserved meaning and allowed completion.</w:t>
      </w:r>
    </w:p>
    <w:p>
      <w:pPr>
        <w:pStyle w:val="ListBullet"/>
      </w:pPr>
      <w:r>
        <w:t>The most reliable pattern is model reasoning inside a narrow role payload, followed by a deterministic harness projection that owns identity, exact bindings, state, and prohibited effects.</w:t>
      </w:r>
    </w:p>
    <w:p>
      <w:pPr>
        <w:pStyle w:val="ListBullet"/>
      </w:pPr>
      <w:r>
        <w:t>Explicit output limits, child-qualified IDs, field locators, and limitation propagation prevent ambiguity that prose-only instructions do not reliably prevent.</w:t>
      </w:r>
    </w:p>
    <w:p>
      <w:pPr>
        <w:pStyle w:val="Heading2"/>
      </w:pPr>
      <w:r>
        <w:t>Contracts</w:t>
      </w:r>
    </w:p>
    <w:p>
      <w:pPr>
        <w:pStyle w:val="ListBullet"/>
      </w:pPr>
      <w:r>
        <w:t>Contracts are the system's real control surface. They make authority, lineage, partial input, evidence tiers, and lifecycle effects machine-checkable.</w:t>
      </w:r>
    </w:p>
    <w:p>
      <w:pPr>
        <w:pStyle w:val="ListBullet"/>
      </w:pPr>
      <w:r>
        <w:t>Identity must include content and projection version. The ledger correctly rejected an altered projection that reused an immutable artifact ID.</w:t>
      </w:r>
    </w:p>
    <w:p>
      <w:pPr>
        <w:pStyle w:val="ListBullet"/>
      </w:pPr>
      <w:r>
        <w:t>Historical authority registries must be retained by exact snapshot; newer authority cannot retroactively validate an older decision path.</w:t>
      </w:r>
    </w:p>
    <w:p>
      <w:pPr>
        <w:pStyle w:val="ListBullet"/>
      </w:pPr>
      <w:r>
        <w:t>Human-readable summaries must carry the same limitations that are hash-bound in machine records. Hidden-but-bound limitations are technically intact but operationally weak.</w:t>
      </w:r>
    </w:p>
    <w:p>
      <w:pPr>
        <w:pStyle w:val="ListBullet"/>
      </w:pPr>
      <w:r>
        <w:t>Decision IDs must remain child-qualified across synthesis so leadership and reviewers can trace each request to its exact origin.</w:t>
      </w:r>
    </w:p>
    <w:p>
      <w:pPr>
        <w:pStyle w:val="Heading2"/>
      </w:pPr>
      <w:r>
        <w:t>Models</w:t>
      </w:r>
    </w:p>
    <w:p>
      <w:pPr>
        <w:pStyle w:val="ListBullet"/>
      </w:pPr>
      <w:r>
        <w:t>The pinned Qwen3-32B FP8 model can generate strict, semantically faithful artifacts across the demonstrated layers at temperature zero with thinking disabled.</w:t>
      </w:r>
    </w:p>
    <w:p>
      <w:pPr>
        <w:pStyle w:val="ListBullet"/>
      </w:pPr>
      <w:r>
        <w:t>A passing schema is necessary but not sufficient. Human semantic review found important traceability and presentation defects after structural validation passed.</w:t>
      </w:r>
    </w:p>
    <w:p>
      <w:pPr>
        <w:pStyle w:val="ListBullet"/>
      </w:pPr>
      <w:r>
        <w:t>Deterministic reprojection is valuable for harness-owned corrections, but semantic changes require a new model run rather than silently patching the response.</w:t>
      </w:r>
    </w:p>
    <w:p>
      <w:pPr>
        <w:pStyle w:val="ListBullet"/>
      </w:pPr>
      <w:r>
        <w:t>The GX-10 is adequate for calibration and conformance, but enterprise synthesis latency is too high for an interactive production expectation without acceleration or workflow parallelism.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MEASURED PERFORMANCE</w:t>
      </w:r>
    </w:p>
    <w:p>
      <w:pPr>
        <w:pStyle w:val="Heading1"/>
      </w:pPr>
      <w:r>
        <w:t>Token volume and GX-10 runtime</w:t>
      </w:r>
    </w:p>
    <w:p>
      <w:r>
        <w:t>The numbers below are retained measurements for Qwen3-32B FP8 through the vLLM-compatible adapter. Token counts are model-serving usage, not a monetary bill; the local test endpoint reported $0.00 cost. Wall time includes generation and serving overhead.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152"/>
        <w:gridCol w:w="1152"/>
        <w:gridCol w:w="1152"/>
        <w:gridCol w:w="3312"/>
      </w:tblGrid>
      <w:tr>
        <w:trPr>
          <w:tblHeader w:val="true"/>
        </w:trPr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Measured workload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Input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Total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GX-10 wall time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SPEC-SECRETS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7,694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8,566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132.8 s (2.2 min)</w:t>
            </w:r>
          </w:p>
        </w:tc>
      </w:tr>
      <w:tr>
        <w:trPr>
          <w:cantSplit/>
        </w:trPr>
        <w:tc>
          <w:tcPr>
            <w:tcW w:type="dxa" w:w="25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PROD-SEC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9,016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1,230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10,246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187.5 s (3.1 min)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CAP-RISK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8,973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1,790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10,763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272.5 s (4.5 min)</w:t>
            </w:r>
          </w:p>
        </w:tc>
      </w:tr>
      <w:tr>
        <w:trPr>
          <w:cantSplit/>
        </w:trPr>
        <w:tc>
          <w:tcPr>
            <w:tcW w:type="dxa" w:w="25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ENT-SYSRISK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11,562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1,633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13,195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256.6 s (4.3 min)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Reference vertical total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37,245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5,525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42,770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849.4 s (14.2 min)</w:t>
            </w:r>
          </w:p>
        </w:tc>
      </w:tr>
      <w:tr>
        <w:trPr>
          <w:cantSplit/>
        </w:trPr>
        <w:tc>
          <w:tcPr>
            <w:tcW w:type="dxa" w:w="25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Final ENT-SYNTH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7,696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5,104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12,800</w:t>
            </w:r>
          </w:p>
        </w:tc>
        <w:tc>
          <w:tcPr>
            <w:tcW w:type="dxa" w:w="33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775 s (12.9 min)</w:t>
            </w:r>
          </w:p>
        </w:tc>
      </w:tr>
    </w:tbl>
    <w:p>
      <w:pPr>
        <w:spacing w:after="0"/>
      </w:pPr>
    </w:p>
    <w:p>
      <w:pPr>
        <w:pStyle w:val="Heading2"/>
      </w:pPr>
      <w:r>
        <w:t>Accepted-live expansion token profile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1152"/>
        <w:gridCol w:w="1152"/>
        <w:gridCol w:w="4680"/>
      </w:tblGrid>
      <w:tr>
        <w:trPr>
          <w:tblHeader w:val="true"/>
        </w:trPr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Stage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Input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24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CAP-SYNTH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9,106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1,546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Accepted two-domain capability synthesis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ENT-ARCH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4,986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1,522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Accepted bounded architecture evaluation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ENT-GOV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6,299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1,011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Originating live invocation; final artifact was deterministically reprojected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ENT-STRAT (corrected)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6,028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1,855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Corrected limitations and rerun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ENT-SYNTH (final)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7,696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5,104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Accepted bounded enterprise synthesis</w:t>
            </w:r>
          </w:p>
        </w:tc>
      </w:tr>
      <w:tr>
        <w:trPr>
          <w:cantSplit/>
        </w:trPr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Expansion total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34,115</w:t>
            </w:r>
          </w:p>
        </w:tc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11,038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45,153 tokens across five model invocations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EF5F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Performance interpretation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Output length is the dominant latency signal in the latest runs. ENT-SYNTH produced roughly 6.6 output tokens/second on GX-10 (5,104 ÷ 775). A near-prior run produced a similar rate, suggesting repeatable serving behavior. End-to-end workflow latency can be reduced substantially by parallelizing independent enterprise domains even before changing hardware.</w:t>
            </w:r>
          </w:p>
        </w:tc>
      </w:tr>
    </w:tbl>
    <w:p>
      <w:pPr>
        <w:spacing w:after="0"/>
      </w:pPr>
    </w:p>
    <w:p>
      <w:pPr>
        <w:pStyle w:val="Heading2"/>
      </w:pPr>
      <w:r>
        <w:t>Validation speed</w:t>
      </w:r>
    </w:p>
    <w:p>
      <w:r>
        <w:t>Deterministic validation is not the bottleneck: the full regression completed 184 tests in 20.384 seconds, and the final scoped ENT-SYNTH GX-10 conformance completed eight tests in 0.080 seconds. Model inference dominates elapsed time.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PRODUCTION PERFORMANCE OUTLOOK</w:t>
      </w:r>
    </w:p>
    <w:p>
      <w:pPr>
        <w:pStyle w:val="Heading1"/>
      </w:pPr>
      <w:r>
        <w:t>A100 timing is a planning estimate—not a measurement</w:t>
      </w:r>
    </w:p>
    <w:p>
      <w:r>
        <w:t>No accepted workload has yet been run on the target A100 large cluster. The only defensible current answer is a bounded planning range followed by a benchmark gate.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3960"/>
        <w:gridCol w:w="3096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Platform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Relevant published characteristic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Observed / planning implication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GX-10 / DGX Spark equivalent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128 GB unified LPDDR5x; 273 GB/s memory bandwidth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Observed ENT-SYNTH: 775 s; 6.6 output tok/s</w:t>
            </w:r>
          </w:p>
        </w:tc>
      </w:tr>
      <w:tr>
        <w:trPr>
          <w:cantSplit/>
        </w:trPr>
        <w:tc>
          <w:tcPr>
            <w:tcW w:type="dxa" w:w="23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A100 80 GB PCIe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1,935 GB/s HBM2e bandwidth</w:t>
            </w:r>
          </w:p>
        </w:tc>
        <w:tc>
          <w:tcPr>
            <w:tcW w:type="dxa" w:w="30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~7.1× raw memory-bandwidth ratio; not a direct latency multiplier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A100 80 GB SXM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2,039 GB/s HBM2e bandwidth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~7.5× raw memory-bandwidth ratio; serving architecture and parallelism still matter</w:t>
            </w:r>
          </w:p>
        </w:tc>
      </w:tr>
    </w:tbl>
    <w:p>
      <w:pPr>
        <w:spacing w:after="0"/>
      </w:pPr>
    </w:p>
    <w:p>
      <w:pPr>
        <w:pStyle w:val="Heading2"/>
      </w:pPr>
      <w:r>
        <w:t>Leadership planning range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240"/>
        <w:gridCol w:w="3096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Deployment assumption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Comparable ENT-SYNTH latency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Confidence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One A100 80 GB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Budget 3–7 minutes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Low-to-moderate; inferred, not measured</w:t>
            </w:r>
          </w:p>
        </w:tc>
      </w:tr>
      <w:tr>
        <w:trPr>
          <w:cantSplit/>
        </w:trPr>
        <w:tc>
          <w:tcPr>
            <w:tcW w:type="dxa" w:w="30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4–8 A100 tensor-parallel serving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Budget 2–5 minutes for one request</w:t>
            </w:r>
          </w:p>
        </w:tc>
        <w:tc>
          <w:tcPr>
            <w:tcW w:type="dxa" w:w="30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Low; highly dependent on vLLM, interconnect, quantization, and model partitioning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4–8 A100 concurrent agent serving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Expect materially higher aggregate throughput than single-request speedup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Moderate directionally; benchmark required for capacity numbers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FF1D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A35A00"/>
                <w:sz w:val="21"/>
              </w:rPr>
              <w:t>Do not convert bandwidth into a promise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A100 bandwidth is approximately seven times the GX-10 published bandwidth, but kernels, prefill, decoding, interconnect, batching, model fit, and serving overhead prevent a defensible seven-times latency claim. The report uses a conservative 2–5× single-request planning improvement and requires measurement before any service-level objective is approved.</w:t>
            </w:r>
          </w:p>
        </w:tc>
      </w:tr>
    </w:tbl>
    <w:p>
      <w:pPr>
        <w:spacing w:after="0"/>
      </w:pPr>
    </w:p>
    <w:p>
      <w:pPr>
        <w:pStyle w:val="Heading2"/>
      </w:pPr>
      <w:r>
        <w:t>Required A100 benchmark</w:t>
      </w:r>
    </w:p>
    <w:p>
      <w:pPr>
        <w:pStyle w:val="ListNumber"/>
      </w:pPr>
      <w:r>
        <w:t>Deploy the exact pinned Qwen3-32B FP8 container and accepted ENT-SYNTH workload.</w:t>
      </w:r>
    </w:p>
    <w:p>
      <w:pPr>
        <w:pStyle w:val="ListNumber"/>
      </w:pPr>
      <w:r>
        <w:t>Measure single-request latency, time to first token, output tokens/second, peak memory, and power.</w:t>
      </w:r>
    </w:p>
    <w:p>
      <w:pPr>
        <w:pStyle w:val="ListNumber"/>
      </w:pPr>
      <w:r>
        <w:t>Repeat at 1, 2, 4, and 8 concurrent requests; then test tensor-parallel configurations supported by the cluster.</w:t>
      </w:r>
    </w:p>
    <w:p>
      <w:pPr>
        <w:pStyle w:val="ListNumber"/>
      </w:pPr>
      <w:r>
        <w:t>Publish p50/p95/p99 results, error/timeout behavior, and cost per completed report; retain the evidence package.</w:t>
      </w:r>
    </w:p>
    <w:p>
      <w:pPr>
        <w:spacing w:before="120"/>
      </w:pPr>
      <w:r>
        <w:rPr>
          <w:b/>
        </w:rPr>
        <w:t xml:space="preserve">Hardware sources: </w:t>
      </w:r>
      <w:hyperlink r:id="rId11">
        <w:r>
          <w:rPr>
            <w:color w:val="2E74B5"/>
            <w:u w:val="single"/>
          </w:rPr>
          <w:t>NVIDIA DGX Spark Hardware Overview</w:t>
        </w:r>
      </w:hyperlink>
      <w:r>
        <w:t xml:space="preserve">; </w:t>
      </w:r>
      <w:hyperlink r:id="rId12">
        <w:r>
          <w:rPr>
            <w:color w:val="2E74B5"/>
            <w:u w:val="single"/>
          </w:rPr>
          <w:t>NVIDIA A100 Tensor Core GPU Datasheet</w:t>
        </w:r>
      </w:hyperlink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FORWARD PLAN</w:t>
      </w:r>
    </w:p>
    <w:p>
      <w:pPr>
        <w:pStyle w:val="Heading1"/>
      </w:pPr>
      <w:r>
        <w:t>What remains to do</w:t>
      </w:r>
    </w:p>
    <w:p>
      <w:r>
        <w:t>The next tranche should turn the accepted candidate evidence into measured, reversible shadow operation. The sequence below avoids prematurely scaling an unintegrated workflow.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744"/>
        <w:gridCol w:w="3384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Work package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Scope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Exit criteria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1. Bounded enterprise shadow integration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Integrate eligible ENT-SYNTH beside the accepted baseline; no report mutation or scheduling promotion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Same inputs produce traceable baseline/shadow comparison; failures isolate cleanly; rollback rehearsed</w:t>
            </w:r>
          </w:p>
        </w:tc>
      </w:tr>
      <w:tr>
        <w:trPr>
          <w:cantSplit/>
        </w:trPr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2. End-to-end report assembly pilot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Generate leadership report, evidence annex, export approval packet, and admin reconciliation from the shadow run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Every item resolves to source evidence; distribution and expert decisions remain human-controlled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3. A100 deployment and benchmark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Reproduce the accepted container/model/configuration on 1–8 A100 GPUs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Measured latency, throughput, capacity, reliability, and cost envelope; no inferred performance claims</w:t>
            </w:r>
          </w:p>
        </w:tc>
      </w:tr>
      <w:tr>
        <w:trPr>
          <w:cantSplit/>
        </w:trPr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4. Corpus expansion and QA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Stratified repositories, languages, risk types, negative controls, and expert adjudication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Precision/recall-style quality profile, semantic defect taxonomy, prompt/model comparison, regression gold set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5. Production control plane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Operational ORCH-SCHED/FANOUT/FANIN, queueing, observability, access control, secret handling, backup/recovery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Load, resilience, security, incident, audit, rollback, and disaster-recovery evidence</w:t>
            </w:r>
          </w:p>
        </w:tc>
      </w:tr>
      <w:tr>
        <w:trPr>
          <w:cantSplit/>
        </w:trPr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6. Promotion decision</w:t>
            </w:r>
          </w:p>
        </w:tc>
        <w:tc>
          <w:tcPr>
            <w:tcW w:type="dxa" w:w="37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Review all evidence and decide whether any candidate becomes scheduled or baseline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New ADR states exact scope, SLOs, authority, rollback, and residual risks</w:t>
            </w:r>
          </w:p>
        </w:tc>
      </w:tr>
    </w:tbl>
    <w:p>
      <w:pPr>
        <w:spacing w:after="0"/>
      </w:pPr>
    </w:p>
    <w:p>
      <w:pPr>
        <w:pStyle w:val="Heading2"/>
      </w:pPr>
      <w:r>
        <w:t>Architecture-package work still open</w:t>
      </w:r>
    </w:p>
    <w:p>
      <w:r>
        <w:t>The repository roadmap also shows incomplete written volumes: Executive Architecture Overview, Requirements Traceability, GitLab CI/CD Integration, Implementation Roadmap, and finalization of the Reference Architecture, Agent Catalog, Orchestration Engine, Risk/Human Review, A100 Deployment Guide, and appendices. These should be assembled from the controlled source artifacts after the next integration evidence is available.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DECISION AND RISK</w:t>
      </w:r>
    </w:p>
    <w:p>
      <w:pPr>
        <w:pStyle w:val="Heading1"/>
      </w:pPr>
      <w:r>
        <w:t>Recommended authorization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8F3E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D32"/>
                <w:sz w:val="21"/>
              </w:rPr>
              <w:t>Authorize a bounded continuation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Fund and authorize work packages 1–4 immediately, with work package 5 designed in parallel and implemented after the shadow and A100 evidence confirm the operating envelope. Preserve separate approval for any candidate scheduling, baseline change, report distribution, or production promotion.</w:t>
            </w:r>
          </w:p>
        </w:tc>
      </w:tr>
    </w:tbl>
    <w:p>
      <w:pPr>
        <w:spacing w:after="0"/>
      </w:pPr>
    </w:p>
    <w:p>
      <w:pPr>
        <w:pStyle w:val="Heading2"/>
      </w:pPr>
      <w:r>
        <w:t>Top risks and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384"/>
        <w:gridCol w:w="3528"/>
      </w:tblGrid>
      <w:tr>
        <w:trPr>
          <w:tblHeader w:val="true"/>
        </w:trPr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Risk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Current control</w:t>
            </w:r>
          </w:p>
        </w:tc>
        <w:tc>
          <w:tcPr>
            <w:tcW w:type="dxa" w:w="331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Next mitigation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Semantic correctness does not generalize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Human semantic review and immutable packets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Broader expert-adjudicated corpus and model comparison</w:t>
            </w:r>
          </w:p>
        </w:tc>
      </w:tr>
      <w:tr>
        <w:trPr>
          <w:cantSplit/>
        </w:trPr>
        <w:tc>
          <w:tcPr>
            <w:tcW w:type="dxa" w:w="24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Inference latency constrains workflow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Bounded output, compact projection, parallelizable domain roles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A100 benchmark, batching, concurrency, and token-budget tuning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Candidate state is mistaken for authority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Separate validity, disposition, finalization, eligibility, scheduling, report, and deployment states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UI/API policy enforcement and operator training</w:t>
            </w:r>
          </w:p>
        </w:tc>
      </w:tr>
      <w:tr>
        <w:trPr>
          <w:cantSplit/>
        </w:trPr>
        <w:tc>
          <w:tcPr>
            <w:tcW w:type="dxa" w:w="24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Lineage becomes unreadable at scale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Content hashes, exact IDs, child qualification, source locators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Graph-backed navigation and automated evidence annexes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Historical decisions become unverifiable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Immutable registry snapshots and ledger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Retention, backup, access-control, and restoration exercises</w:t>
            </w:r>
          </w:p>
        </w:tc>
      </w:tr>
      <w:tr>
        <w:trPr>
          <w:cantSplit/>
        </w:trPr>
        <w:tc>
          <w:tcPr>
            <w:tcW w:type="dxa" w:w="24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Single-repository bias</w:t>
            </w:r>
          </w:p>
        </w:tc>
        <w:tc>
          <w:tcPr>
            <w:tcW w:type="dxa" w:w="338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Claims are explicitly bounded</w:t>
            </w:r>
          </w:p>
        </w:tc>
        <w:tc>
          <w:tcPr>
            <w:tcW w:type="dxa" w:w="352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6"/>
              </w:rPr>
              <w:t>Diversified test portfolio with severity and domain stratification</w:t>
            </w:r>
          </w:p>
        </w:tc>
      </w:tr>
    </w:tbl>
    <w:p>
      <w:pPr>
        <w:spacing w:after="0"/>
      </w:pPr>
    </w:p>
    <w:p>
      <w:pPr>
        <w:pStyle w:val="Heading2"/>
      </w:pPr>
      <w:r>
        <w:t>Requested leadership guardrails</w:t>
      </w:r>
    </w:p>
    <w:p>
      <w:pPr>
        <w:pStyle w:val="ListBullet"/>
      </w:pPr>
      <w:r>
        <w:t>Continue to treat agent outputs as advisory evidence and recommendations, never self-executing decisions.</w:t>
      </w:r>
    </w:p>
    <w:p>
      <w:pPr>
        <w:pStyle w:val="ListBullet"/>
      </w:pPr>
      <w:r>
        <w:t>Require measured A100 evidence before approving performance commitments or production capacity.</w:t>
      </w:r>
    </w:p>
    <w:p>
      <w:pPr>
        <w:pStyle w:val="ListBullet"/>
      </w:pPr>
      <w:r>
        <w:t>Require a new ADR for scheduling, accepted-route cutover, report distribution changes, or production promotion.</w:t>
      </w:r>
    </w:p>
    <w:p>
      <w:pPr>
        <w:pStyle w:val="ListBullet"/>
      </w:pPr>
      <w:r>
        <w:t>Keep the read-only external test-repository policy: no commits or pull requests to defenseunicorns/uds-core.</w:t>
      </w: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RETROSPECTIVE</w:t>
      </w:r>
    </w:p>
    <w:p>
      <w:pPr>
        <w:pStyle w:val="Heading1"/>
      </w:pPr>
      <w:r>
        <w:t>What we learned from the work</w:t>
      </w:r>
    </w:p>
    <w:p>
      <w:pPr>
        <w:pStyle w:val="Heading2"/>
      </w:pPr>
      <w:r>
        <w:t>What went well</w:t>
      </w:r>
    </w:p>
    <w:p>
      <w:pPr>
        <w:pStyle w:val="ListBullet"/>
      </w:pPr>
      <w:r>
        <w:t>Completing one vertical first exposed the real interfaces between prompts, models, contracts, state, evidence, and human authority.</w:t>
      </w:r>
    </w:p>
    <w:p>
      <w:pPr>
        <w:pStyle w:val="ListBullet"/>
      </w:pPr>
      <w:r>
        <w:t>Fail-closed development converted mistakes into durable test assets. Timeouts, invented lineage, duplicate IDs, stale wording, and projection collisions now have explicit controls.</w:t>
      </w:r>
    </w:p>
    <w:p>
      <w:pPr>
        <w:pStyle w:val="ListBullet"/>
      </w:pPr>
      <w:r>
        <w:t>Human semantic review materially improved the system after structural tests passed, confirming that the governance layer is necessary rather than ceremonial.</w:t>
      </w:r>
    </w:p>
    <w:p>
      <w:pPr>
        <w:pStyle w:val="ListBullet"/>
      </w:pPr>
      <w:r>
        <w:t>Rollback was designed alongside each risky increment, so candidate exploration did not destabilize the accepted route.</w:t>
      </w:r>
    </w:p>
    <w:p>
      <w:pPr>
        <w:pStyle w:val="ListBullet"/>
      </w:pPr>
      <w:r>
        <w:t>Exact file and line locators made findings reviewable by experts and suitable for leadership reporting.</w:t>
      </w:r>
    </w:p>
    <w:p>
      <w:pPr>
        <w:pStyle w:val="Heading2"/>
      </w:pPr>
      <w:r>
        <w:t>What was harder than expected</w:t>
      </w:r>
    </w:p>
    <w:p>
      <w:pPr>
        <w:pStyle w:val="ListBullet"/>
      </w:pPr>
      <w:r>
        <w:t>Strict structured generation becomes expensive when schemas require verbose repeated child objects.</w:t>
      </w:r>
    </w:p>
    <w:p>
      <w:pPr>
        <w:pStyle w:val="ListBullet"/>
      </w:pPr>
      <w:r>
        <w:t>Traceability identifiers can lose meaning when synthesized across layers unless qualification rules are explicit.</w:t>
      </w:r>
    </w:p>
    <w:p>
      <w:pPr>
        <w:pStyle w:val="ListBullet"/>
      </w:pPr>
      <w:r>
        <w:t>Machine-bound limitations are not enough; reviewers need the same limitations rendered in the human-readable surface.</w:t>
      </w:r>
    </w:p>
    <w:p>
      <w:pPr>
        <w:pStyle w:val="ListBullet"/>
      </w:pPr>
      <w:r>
        <w:t>Authority evolution requires versioned snapshots, because using today's registry to validate yesterday's decision weakens auditability.</w:t>
      </w:r>
    </w:p>
    <w:p>
      <w:pPr>
        <w:pStyle w:val="ListBullet"/>
      </w:pPr>
      <w:r>
        <w:t>The distinction among schema validity, semantic faithfulness, eligibility, scheduling, report approval, and production authority must be repeatedly reinforced in code and documentation.</w:t>
      </w:r>
    </w:p>
    <w:p>
      <w:pPr>
        <w:pStyle w:val="Heading2"/>
      </w:pPr>
      <w:r>
        <w:t>What we changed</w:t>
      </w:r>
    </w:p>
    <w:p>
      <w:pPr>
        <w:pStyle w:val="ListBullet"/>
      </w:pPr>
      <w:r>
        <w:t>Replaced full child-object repetition with compact, hash-bound projections.</w:t>
      </w:r>
    </w:p>
    <w:p>
      <w:pPr>
        <w:pStyle w:val="ListBullet"/>
      </w:pPr>
      <w:r>
        <w:t>Bound artifact identity to exact role content and projection version.</w:t>
      </w:r>
    </w:p>
    <w:p>
      <w:pPr>
        <w:pStyle w:val="ListBullet"/>
      </w:pPr>
      <w:r>
        <w:t>Qualified inherited decision IDs and corrected stale artifact descriptions.</w:t>
      </w:r>
    </w:p>
    <w:p>
      <w:pPr>
        <w:pStyle w:val="ListBullet"/>
      </w:pPr>
      <w:r>
        <w:t>Combined artifact-declared and eligibility-carried limitations in human-readable summaries.</w:t>
      </w:r>
    </w:p>
    <w:p>
      <w:pPr>
        <w:pStyle w:val="ListBullet"/>
      </w:pPr>
      <w:r>
        <w:t>Removed mandatory second verification; the project owner may finalize the bounded effect, while human decision records remain separate.</w:t>
      </w:r>
    </w:p>
    <w:p>
      <w:pPr>
        <w:pStyle w:val="ListBullet"/>
      </w:pPr>
      <w:r>
        <w:t>Preserved superseded candidates and registry versions as immutable history instead of rewriting them.</w:t>
      </w:r>
    </w:p>
    <w:p>
      <w:pPr>
        <w:pStyle w:val="Heading2"/>
      </w:pPr>
      <w:r>
        <w:t>Retro conclusion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EF5F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The architecture is earning the next increment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The project has demonstrated that a highly governed agent harness can produce useful, traceable, reversible decision support. The next work should optimize integration, evidence breadth, and operating performance—not relax the controls that made the results credible.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80" w:after="120"/>
      </w:pPr>
      <w:r>
        <w:rPr>
          <w:rFonts w:ascii="Calibri" w:hAnsi="Calibri"/>
          <w:b/>
          <w:color w:val="187A7A"/>
          <w:sz w:val="17"/>
        </w:rPr>
        <w:t>APPENDIX</w:t>
      </w:r>
    </w:p>
    <w:p>
      <w:pPr>
        <w:pStyle w:val="Heading1"/>
      </w:pPr>
      <w:r>
        <w:t>Evidence basis and key artifacts</w:t>
      </w:r>
    </w:p>
    <w:p>
      <w:r>
        <w:t>This report is a management synthesis of retained repository evidence. The source artifacts remain authoritative for exact identifiers, hashes, tests, limitations, and decisions.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</w:trPr>
        <w:tc>
          <w:tcPr>
            <w:tcW w:type="dxa" w:w="496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496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Repository location /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Current state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status/current-state.md and status/current-state.json — enterprise shadow remains blocked_as_designed</w:t>
            </w:r>
          </w:p>
        </w:tc>
      </w:tr>
      <w:tr>
        <w:trPr>
          <w:cantSplit/>
        </w:trPr>
        <w:tc>
          <w:tcPr>
            <w:tcW w:type="dxa" w:w="25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Implementation sequence</w:t>
            </w:r>
          </w:p>
        </w:tc>
        <w:tc>
          <w:tcPr>
            <w:tcW w:type="dxa" w:w="68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planning/post-vertical-slice-sequence.md — increments 1–4 complete; agent/workflow expansion in progress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Integrated agent framework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agents/integrated-agent-framework.md — five layers, authorities, inputs, outputs, and handoffs</w:t>
            </w:r>
          </w:p>
        </w:tc>
      </w:tr>
      <w:tr>
        <w:trPr>
          <w:cantSplit/>
        </w:trPr>
        <w:tc>
          <w:tcPr>
            <w:tcW w:type="dxa" w:w="25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CAP-SYNTH acceptance</w:t>
            </w:r>
          </w:p>
        </w:tc>
        <w:tc>
          <w:tcPr>
            <w:tcW w:type="dxa" w:w="68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ADR-0034 and retained candidate/semantic disposition — owner-finalized for enterprise candidate evaluation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Enterprise domains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ADR-0035 through ADR-0037 — ENT-ARCH, ENT-GOV, corrected ENT-STRAT accepted and owner-finalized</w:t>
            </w:r>
          </w:p>
        </w:tc>
      </w:tr>
      <w:tr>
        <w:trPr>
          <w:cantSplit/>
        </w:trPr>
        <w:tc>
          <w:tcPr>
            <w:tcW w:type="dxa" w:w="25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Enterprise synthesis</w:t>
            </w:r>
          </w:p>
        </w:tc>
        <w:tc>
          <w:tcPr>
            <w:tcW w:type="dxa" w:w="68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ADR-0038 — final candidate ca22ea90-b911-565a-931f-9a6f39ca265c; 7,696 input, 5,104 output, 775 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Regression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Full suite: 184 tests passed in 20.384 s; final scoped GX-10 conformance: 8 tests in 0.080 s</w:t>
            </w:r>
          </w:p>
        </w:tc>
      </w:tr>
      <w:tr>
        <w:trPr>
          <w:cantSplit/>
        </w:trPr>
        <w:tc>
          <w:tcPr>
            <w:tcW w:type="dxa" w:w="25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Reference vertical performance</w:t>
            </w:r>
          </w:p>
        </w:tc>
        <w:tc>
          <w:tcPr>
            <w:tcW w:type="dxa" w:w="68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Retained GX-10 telemetry for SPEC-SECRETS, PROD-SEC, CAP-RISK, and ENT-SYSRISK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External test source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defenseunicorns/uds-core at immutable revision; read-only use, with exact source locators in review evidence</w:t>
            </w:r>
          </w:p>
        </w:tc>
      </w:tr>
    </w:tbl>
    <w:p>
      <w:pPr>
        <w:spacing w:after="0"/>
      </w:pPr>
    </w:p>
    <w:p>
      <w:pPr>
        <w:pStyle w:val="Heading2"/>
      </w:pPr>
      <w:r>
        <w:t>Measurement caveats</w:t>
      </w:r>
    </w:p>
    <w:p>
      <w:pPr>
        <w:pStyle w:val="ListBullet"/>
      </w:pPr>
      <w:r>
        <w:t>Later accepted-live stage summaries retain exact token counts, but not every stage retains wall duration in the summary artifact; the report does not invent missing timings.</w:t>
      </w:r>
    </w:p>
    <w:p>
      <w:pPr>
        <w:pStyle w:val="ListBullet"/>
      </w:pPr>
      <w:r>
        <w:t>ENT-GOV's final corrected artifacts were deterministic reprojections of a retained live response; the 6,299/1,011 count belongs to the originating live invocation.</w:t>
      </w:r>
    </w:p>
    <w:p>
      <w:pPr>
        <w:pStyle w:val="ListBullet"/>
      </w:pPr>
      <w:r>
        <w:t>A100 ranges are engineering estimates based on published hardware characteristics and observed GX-10 behavior. They are not benchmark results or service-level commitments.</w:t>
      </w:r>
    </w:p>
    <w:p>
      <w:pPr>
        <w:pStyle w:val="ListBullet"/>
      </w:pPr>
      <w:r>
        <w:t>Repository counts reflect the working tree on 2 August 2026, including the accepted but not yet committed ADR-0033 through ADR-0038 increment.</w:t>
      </w:r>
    </w:p>
    <w:p>
      <w:pPr>
        <w:pStyle w:val="Heading2"/>
      </w:pPr>
      <w:r>
        <w:t>Decision requested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8F3E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D32"/>
                <w:sz w:val="21"/>
              </w:rPr>
              <w:t>Approve continued work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Authorize bounded enterprise shadow integration, end-to-end report assembly, A100 benchmarking, and corpus/QA expansion. Require a subsequent evidence review before production scheduling, accepted-route cutover, or distribution changes.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936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E6872"/>
        <w:sz w:val="16"/>
      </w:rPr>
      <w:t xml:space="preserve">CODE HARNESS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E6872"/>
        <w:sz w:val="15"/>
      </w:rPr>
      <w:t>CODE HARNESS  /  LEADERSHIP PROGRESS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20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87A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b w:val="0"/>
      <w:i/>
      <w:iCs/>
      <w:color w:val="5E68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52" w:lineRule="auto"/>
      <w:contextualSpacing/>
    </w:pPr>
    <w:rPr>
      <w:rFonts w:ascii="Calibri" w:hAnsi="Calibr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2" w:lineRule="auto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nvidia.com/dgx/dgx-spark/hardware.html" TargetMode="External"/><Relationship Id="rId12" Type="http://schemas.openxmlformats.org/officeDocument/2006/relationships/hyperlink" Target="https://www.nvidia.com/content/dam/en-zz/Solutions/Data-Center/a100/pdf/nvidia-a100-datasheet-nvidia-us-2188504-web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Review Harness — Leadership Progress Report</dc:title>
  <dc:subject>Progress, evidence, maturity, performance, retrospective, and next authorization</dc:subject>
  <dc:creator>thomasverburgt</dc:creator>
  <cp:keywords>code review harness, agents, orchestration, DGX Spark, GX-10, A100, leadership</cp:keywords>
  <dc:description>Prepared from retained repository evidence through ADR-0038.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