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Workload Communication Security Reviewer</w:t>
      </w:r>
    </w:p>
    <w:p>
      <w:pPr>
        <w:spacing w:after="280"/>
      </w:pPr>
      <w:r>
        <w:rPr>
          <w:rFonts w:ascii="Calibri" w:hAnsi="Calibri"/>
          <w:b w:val="0"/>
          <w:i w:val="0"/>
          <w:color w:val="666666"/>
          <w:sz w:val="26"/>
        </w:rPr>
        <w:t>SPEC-COMMS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cfc774c6-bd77-5b66-a3ee-ae1ed8952433</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sha256:8597832c30dd912f0a9febccea0b1b65c7f46ea401f1b08ee58756658ca8b026</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f63b32bc-1a85-5c94-9412-c4740edb60fd</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FOCUS-SPEC-COMMS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Workload Communication Security Reviewer focus to determine: Are container-to-container and service-to-service boundaries protected against unauthorized access and lateral movement, using only exact eligible evidence and preserving uncertainty and human authority.</w:t>
      </w:r>
    </w:p>
    <w:p>
      <w:pPr>
        <w:pStyle w:val="Heading2"/>
      </w:pPr>
      <w:r>
        <w:t>Authoritative question</w:t>
      </w:r>
    </w:p>
    <w:p>
      <w:pPr>
        <w:pStyle w:val="ListBullet"/>
      </w:pPr>
      <w:r>
        <w:t>Are container-to-container and service-to-service boundaries protected against unauthorized access and lateral movement?</w:t>
      </w:r>
    </w:p>
    <w:p>
      <w:pPr>
        <w:pStyle w:val="Heading2"/>
      </w:pPr>
      <w:r>
        <w:t>Domain dimensions</w:t>
      </w:r>
    </w:p>
    <w:p>
      <w:pPr>
        <w:pStyle w:val="ListBullet"/>
      </w:pPr>
      <w:r>
        <w:t>service communication boundaries and trust paths</w:t>
      </w:r>
    </w:p>
    <w:p>
      <w:pPr>
        <w:pStyle w:val="ListBullet"/>
      </w:pPr>
      <w:r>
        <w:t>encryption, identity, authentication, and authorization in transit</w:t>
      </w:r>
    </w:p>
    <w:p>
      <w:pPr>
        <w:pStyle w:val="ListBullet"/>
      </w:pPr>
      <w:r>
        <w:t>network policy, exposure, routing, and failure behavior</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EVIDENCE-COMMS-MTLS-STRICT-001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src/metrics-server/chart/templates/peerauthentication/metrics-api.yaml | lines 12-12 | default mTLS posture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sha256:32a30cb171908615aef043e0b09fb18ed72b9145b85cedf726494fdde4a58613</w:t>
            </w:r>
          </w:p>
        </w:tc>
      </w:tr>
    </w:tbl>
    <w:p>
      <w:r>
        <w:rPr>
          <w:rFonts w:ascii="Calibri" w:hAnsi="Calibri"/>
          <w:b/>
          <w:i w:val="0"/>
          <w:color w:val="1F4D78"/>
          <w:sz w:val="19"/>
        </w:rPr>
        <w:t xml:space="preserve">Safe excerpt: </w:t>
      </w:r>
      <w:r>
        <w:rPr>
          <w:rFonts w:ascii="Calibri" w:hAnsi="Calibri"/>
          <w:b w:val="0"/>
          <w:i/>
          <w:color w:val="000000"/>
          <w:sz w:val="19"/>
        </w:rPr>
        <w:t xml:space="preserve">    mode: STRICT</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src/metrics-server/chart/templates/peerauthentication/metrics-api.yaml line 12. Compare the safe excerpt and fingerprint.</w:t>
      </w:r>
    </w:p>
    <w:p>
      <w:pPr>
        <w:pStyle w:val="Heading2"/>
      </w:pPr>
      <w:r>
        <w:t>Evidence 2: EVIDENCE-COMMS-MTLS-EXCEPTION-001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src/metrics-server/chart/templates/peerauthentication/metrics-api.yaml | lines 19-19 | port 10250 exception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sha256:095f2f041f8ea6262716e63a1f889efc8d2735b00f4ccab69ef109c46a1d9878</w:t>
            </w:r>
          </w:p>
        </w:tc>
      </w:tr>
    </w:tbl>
    <w:p>
      <w:r>
        <w:rPr>
          <w:rFonts w:ascii="Calibri" w:hAnsi="Calibri"/>
          <w:b/>
          <w:i w:val="0"/>
          <w:color w:val="1F4D78"/>
          <w:sz w:val="19"/>
        </w:rPr>
        <w:t xml:space="preserve">Safe excerpt: </w:t>
      </w:r>
      <w:r>
        <w:rPr>
          <w:rFonts w:ascii="Calibri" w:hAnsi="Calibri"/>
          <w:b w:val="0"/>
          <w:i/>
          <w:color w:val="000000"/>
          <w:sz w:val="19"/>
        </w:rPr>
        <w:t xml:space="preserve">      mode: PERMISSIVE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src/metrics-server/chart/templates/peerauthentication/metrics-api.yaml line 19. Compare the safe excerpt and fingerprint.</w:t>
      </w:r>
    </w:p>
    <w:p>
      <w:pPr>
        <w:pStyle w:val="Heading2"/>
      </w:pPr>
      <w:r>
        <w:t>Evidence 3: EVIDENCE-COMMS-UDP-BOUNDARY-001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src/pepr/operator/crd/sources/package/v1alpha1.ts | lines 185-185 | UDP protocol contract</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sha256:966dd90c3d608b1e9b703a68514117aafee394010f733676ba8ff0635d760294</w:t>
            </w:r>
          </w:p>
        </w:tc>
      </w:tr>
    </w:tbl>
    <w:p>
      <w:r>
        <w:rPr>
          <w:rFonts w:ascii="Calibri" w:hAnsi="Calibri"/>
          <w:b/>
          <w:i w:val="0"/>
          <w:color w:val="1F4D78"/>
          <w:sz w:val="19"/>
        </w:rPr>
        <w:t xml:space="preserve">Safe excerpt: </w:t>
      </w:r>
      <w:r>
        <w:rPr>
          <w:rFonts w:ascii="Calibri" w:hAnsi="Calibri"/>
          <w:b w:val="0"/>
          <w:i/>
          <w:color w:val="000000"/>
          <w:sz w:val="19"/>
        </w:rPr>
        <w:t>UDP traffic is not protected by Istio AuthorizationPolicy or mTLS.</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src/pepr/operator/crd/sources/package/v1alpha1.ts line 185. Compare the safe excerpt and fingerprint.</w:t>
      </w:r>
    </w:p>
    <w:p>
      <w:pPr>
        <w:pStyle w:val="Heading2"/>
      </w:pPr>
      <w:r>
        <w:t>Evidence 4: EVIDENCE-COMMS-TOPOLOGY-001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src/test/app-admin-package.yaml | lines 17-17 | bounded service topology</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sha256:baaa1e37062b85242a00f84e4886d9eb21a0a7fe643d1ca8883f1fe2aaae843d</w:t>
            </w:r>
          </w:p>
        </w:tc>
      </w:tr>
    </w:tbl>
    <w:p>
      <w:r>
        <w:rPr>
          <w:rFonts w:ascii="Calibri" w:hAnsi="Calibri"/>
          <w:b/>
          <w:i w:val="0"/>
          <w:color w:val="1F4D78"/>
          <w:sz w:val="19"/>
        </w:rPr>
        <w:t xml:space="preserve">Safe excerpt: </w:t>
      </w:r>
      <w:r>
        <w:rPr>
          <w:rFonts w:ascii="Calibri" w:hAnsi="Calibri"/>
          <w:b w:val="0"/>
          <w:i/>
          <w:color w:val="000000"/>
          <w:sz w:val="19"/>
        </w:rPr>
        <w:t xml:space="preserve">        - name: httpbin</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src/test/app-admin-package.yaml line 17.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OBS-COMMS-001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EVIDENCE-COMMS-MTLS-STRICT-001, EVIDENCE-COMMS-MTLS-EXCEPTION-001, EVIDENCE-COMMS-UDP-BOUNDARY-001, EVIDENCE-COMMS-TOPOLOGY-001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topology declares an exposed httpbin service and egress, while communication policy declares STRICT mTLS with a port-specific PERMISSIVE exception and documents that UDP bypasses Istio mTLS and AuthorizationPolicy.</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FINDING-COMMS-001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EVIDENCE-COMMS-MTLS-STRICT-001, EVIDENCE-COMMS-MTLS-EXCEPTION-001, EVIDENCE-COMMS-UDP-BOUNDARY-001, EVIDENCE-COMMS-TOPOLOGY-001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No rendered route set, identity binding, authorization result, traffic test, telemetry, or failure-path evidence is admitted.</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FINDING-COMMS-001:CAPA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EVIDENCE-COMMS-MTLS-STRICT-001, EVIDENCE-COMMS-MTLS-EXCEPTION-001, EVIDENCE-COMMS-UDP-BOUNDARY-001, EVIDENCE-COMMS-TOPOLOGY-001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the rendered topology plus authenticated positive and unauthorized negative traffic tests for every declared path and exception.</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UNKNOWN-COMMS-001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EVIDENCE-COMMS-MTLS-STRICT-001, EVIDENCE-COMMS-MTLS-EXCEPTION-001, EVIDENCE-COMMS-UDP-BOUNDARY-001, EVIDENCE-COMMS-TOPOLOGY-001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Effective identity, encryption, authorization, exposure, lateral-movement resistance, and failure behavior are not demonstrated without runtime traffic evidence.</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SPEC-COMMS</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SPEC-COMMS-CANDIDATE-PROMPT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appendices/prompt-templates/candidates/spec-comms/design-0.2.0.prompt.txt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sha256:ce0372d27381e71ba21e21c9b0bbd28d911e79a1970e7c287339d782150c2372</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SPEC-COMMS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SPEC-COMMS, the Code Review Harness Workload Communication Security Reviewer. Your immutable agent UUID is fca6f659-133a-4bd8-80d1-6bcc2d82b098. Your display name is Workload Communication Security Reviewer. Your layer is specialist. Use only the canonical designation SPEC-COMMS in new outputs; historical aliases (SPC-COMMS)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Workload Communication Security Reviewer focus to determine: Are container-to-container and service-to-service boundaries protected against unauthorized access and lateral movement,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Are container-to-container and service-to-service boundaries protected against unauthorized access and lateral movement?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workload communication security reviewer evidence and assessment for one declared product scope. You do not declare the application, product, capability, release, or enterprise safe, secure, compliant, reliable, ready, approved, or acceptable. Authority boundary: communication_trust_paths_only_no_platform_workload_release_or_product_approval.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SPEC-COMMS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SPEC-COMMS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service communication boundaries and trust paths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encryption, identity, authentication, and authorization in transit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network policy, exposure, routing, and failure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service maps, network policies, ingress, egress,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TLS, certificate, identity, and authorization configuration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protocol contracts, traffic tests, telemetry, and failure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service communication boundaries and trust paths, encryption, identity, authentication, and authorization in transit, network policy, exposure, routing, and failure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`communication_topology`, `source_workload`, `destination_workload`, `protocol`, `sync_or_async`, `identity_mechanism`, `authentication`, `authorization`, `mtls_state`, `network_enforcement`, `data_classification`, `lateral_movement_path`, `failure_mode`, and `blast_radius`. A topology artifact is mandatory.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service communication boundaries and trust paths, encryption, identity, authentication, and authorization in transit, network policy, exposure, routing, and failure behavior.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spec-comms-role.schema.json. Its required field vocabulary includes: artifact_ref, authority_boundary, authorization_coverage, completeness, coverage, designation, evidence_refs, missing_evidence, mtls_posture, path_id, protocol, routes_reviewed, runtime_effectiveness, statement, topology, topology_artifacts_reviewed, traffic_tests_reviewed, trust_paths,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service communication boundaries and trust paths, encryption, identity, authentication, and authorization in transit, network policy, exposure, routing, and failure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Authenticated path coverage; authorized-path coverage; encrypted-path coverage; unbounded lateral-path count; and critical communication-path review coverage.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spec-comms-role.schema.json.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service communication boundaries and trust paths, encryption, identity, authentication, and authorization in transit, network policy, exposure, routing, and failure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SPEC-COMMS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SPEC-COMMS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SPEC-COMMS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