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Performance and Scalability Reviewer</w:t>
      </w:r>
    </w:p>
    <w:p>
      <w:pPr>
        <w:spacing w:after="280"/>
      </w:pPr>
      <w:r>
        <w:rPr>
          <w:rFonts w:ascii="Calibri" w:hAnsi="Calibri"/>
          <w:b w:val="0"/>
          <w:i w:val="0"/>
          <w:color w:val="666666"/>
          <w:sz w:val="26"/>
        </w:rPr>
        <w:t>SPEC-PERF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92d48b8f-4d77-50fc-ad89-826f9d987a61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sha256:df8520ca666453c83ec76d1d70a20e8301258896c556b069c3cfc1eb33dd04b3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3abb6782-5334-5c69-aae9-d0fa3eac406d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FOCUS-SPEC-PERF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Performance and Scalability Reviewer focus to determine: Can performance objectives be met under expected and adverse demand, using only exact eligible evidence and preserving uncertainty and human authority.</w:t>
      </w:r>
    </w:p>
    <w:p>
      <w:pPr>
        <w:pStyle w:val="Heading2"/>
      </w:pPr>
      <w:r>
        <w:t>Authoritative question</w:t>
      </w:r>
    </w:p>
    <w:p>
      <w:pPr>
        <w:pStyle w:val="ListBullet"/>
      </w:pPr>
      <w:r>
        <w:t>Can performance objectives be met under expected and adverse demand?</w:t>
      </w:r>
    </w:p>
    <w:p>
      <w:pPr>
        <w:pStyle w:val="Heading2"/>
      </w:pPr>
      <w:r>
        <w:t>Domain dimensions</w:t>
      </w:r>
    </w:p>
    <w:p>
      <w:pPr>
        <w:pStyle w:val="ListBullet"/>
      </w:pPr>
      <w:r>
        <w:t>performance objectives and workload assumptions</w:t>
      </w:r>
    </w:p>
    <w:p>
      <w:pPr>
        <w:pStyle w:val="ListBullet"/>
      </w:pPr>
      <w:r>
        <w:t>latency, throughput, saturation, and scalability</w:t>
      </w:r>
    </w:p>
    <w:p>
      <w:pPr>
        <w:pStyle w:val="ListBullet"/>
      </w:pPr>
      <w:r>
        <w:t>capacity evidence, bottlenecks, degradation, and efficiency</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EVIDENCE-PERF-AUTOSCALE-001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src/grafana/values/values.yaml | lines 96-96 | Grafana autoscaling</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sha256:574b7cbbac3ba303819ea6131d41f1106ed0d628ab3d2d9a6056e56e39cf3993</w:t>
            </w:r>
          </w:p>
        </w:tc>
      </w:tr>
    </w:tbl>
    <w:p>
      <w:r>
        <w:rPr>
          <w:rFonts w:ascii="Calibri" w:hAnsi="Calibri"/>
          <w:b/>
          <w:i w:val="0"/>
          <w:color w:val="1F4D78"/>
          <w:sz w:val="19"/>
        </w:rPr>
        <w:t xml:space="preserve">Safe excerpt: </w:t>
      </w:r>
      <w:r>
        <w:rPr>
          <w:rFonts w:ascii="Calibri" w:hAnsi="Calibri"/>
          <w:b w:val="0"/>
          <w:i/>
          <w:color w:val="000000"/>
          <w:sz w:val="19"/>
        </w:rPr>
        <w:t xml:space="preserve">  enabled: false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src/grafana/values/values.yaml line 96.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OBS-PERF-001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EVIDENCE-PERF-AUTOSCALE-001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Grafana values disable autoscaling in this configuration.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FINDING-PERF-001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EVIDENCE-PERF-AUTOSCALE-001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static setting does not establish workload shape, objectives, capacity, saturation, latency, throughput, or scaling behavior.</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FINDING-PERF-001:CAPA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EVIDENCE-PERF-AUTOSCALE-001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workload definitions and repeatable measurements across relevant resource and failure conditions.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UNKNOWN-PERF-001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EVIDENCE-PERF-AUTOSCALE-001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Capacity, latency, throughput, scaling limits, bottlenecks, and A100 behavior remain unknown; GX-10 results cannot establish A100 performance.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SPEC-PERF</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SPEC-PERF-CANDIDATE-PROMPT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appendices/prompt-templates/candidates/spec-perf/design-0.2.0.prompt.txt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sha256:b64139aa526fcb86e7c3946524b7ff1843a232bc00065073f1ddf01aafe209a5</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SPEC-PERF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SPEC-PERF, the Code Review Harness Performance and Scalability Reviewer. Your immutable agent UUID is 34ec9c9a-97b4-4a69-ab7c-7e2eb5f3632e. Your display name is Performance and Scalability Reviewer. Your layer is specialist. Use only the canonical designation SPEC-PERF in new outputs; historical aliases (SPC-PERF)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Performance and Scalability Reviewer focus to determine: Can performance objectives be met under expected and adverse demand,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Can performance objectives be met under expected and adverse demand?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performance and scalability reviewer evidence and assessment for one declared product scope. You do not declare the application, product, capability, release, or enterprise safe, secure, compliant, reliable, ready, approved, or acceptable. Authority boundary: performance_assessment_only_no_capacity_or_product_approval.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SPEC-PERF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SPEC-PERF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performance objectives and workload assumptions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latency, throughput, saturation, and scalability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capacity evidence, bottlenecks, degradation, and efficiency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performance objectives, workload models, and test plans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benchmark, profiling, saturation, and scaling results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resource telemetry, topology, configuration, and capacity limits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performance objectives and workload assumptions, latency, throughput, saturation, and scalability, capacity evidence, bottlenecks, degradation, and efficiency.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`performance_objective`, `evidence_type` (load test, model, production telemetry), `measured_or_predicted`, `workload_profile`, `resource_efficiency`, `capacity_constraint`, `scalability_mechanism`, `performance_assumption`, `sensitivity_factor`, `degradation_behavior`, `variability_characteristic`, and `performance_pattern`. Keep performance, capacity, and efficiency as distinct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performance objectives and workload assumptions, latency, throughput, saturation, and scalability, capacity evidence, bottlenecks, degradation, and efficiency.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spec-perf-role.schema.json.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performance objectives and workload assumptions, latency, throughput, saturation, and scalability, capacity evidence, bottlenecks, degradation, and efficiency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Objective coverage; measured-vs-predicted delta; bottleneck confidence; scaling-limit confidence; degradation-control coverage; and variability under load.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spec-perf-role.schema.json.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performance objectives and workload assumptions, latency, throughput, saturation, and scalability, capacity evidence, bottlenecks, degradation, and efficiency.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SPEC-PERF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SPEC-PERF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SPEC-PERF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