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Calibri" w:hAnsi="Calibri"/>
          <w:b/>
          <w:i w:val="0"/>
          <w:color w:val="2E74B5"/>
          <w:sz w:val="20"/>
        </w:rPr>
        <w:t>ENTERPRISE RISK REVIEW</w:t>
      </w:r>
    </w:p>
    <w:p>
      <w:pPr>
        <w:spacing w:after="80"/>
      </w:pPr>
      <w:r>
        <w:rPr>
          <w:rFonts w:ascii="Calibri" w:hAnsi="Calibri"/>
          <w:b/>
          <w:i w:val="0"/>
          <w:color w:val="0B2545"/>
          <w:sz w:val="50"/>
        </w:rPr>
        <w:t>Code Review Harness Report</w:t>
      </w:r>
    </w:p>
    <w:p>
      <w:pPr>
        <w:spacing w:after="280"/>
      </w:pPr>
      <w:r>
        <w:rPr>
          <w:rFonts w:ascii="Calibri" w:hAnsi="Calibri"/>
          <w:b w:val="0"/>
          <w:i w:val="0"/>
          <w:color w:val="5B6573"/>
          <w:sz w:val="27"/>
        </w:rPr>
        <w:t>Credential-like value classification and systemic risk assessment</w:t>
      </w:r>
    </w:p>
    <w:tbl>
      <w:tblPr>
        <w:tblW w:type="dxa" w:w="9360"/>
        <w:jc w:val="left"/>
        <w:tblLayout w:type="fixed"/>
        <w:tblLook w:firstColumn="1" w:firstRow="1" w:lastColumn="0" w:lastRow="0" w:noHBand="0" w:noVBand="1" w:val="04A0"/>
        <w:tblInd w:type="dxa" w:w="140"/>
      </w:tblPr>
      <w:tblGrid>
        <w:gridCol w:w="9360"/>
      </w:tblGrid>
      <w:tr>
        <w:trPr>
          <w:tblHeader w:val="true"/>
        </w:trPr>
        <w:tc>
          <w:tcPr>
            <w:tcW w:type="dxa" w:w="9360"/>
            <w:vAlign w:val="center"/>
            <w:shd w:fill="FDE9E7"/>
            <w:tcMar>
              <w:top w:w="130" w:type="dxa"/>
              <w:bottom w:w="130" w:type="dxa"/>
              <w:start w:w="140" w:type="dxa"/>
              <w:end w:w="140" w:type="dxa"/>
            </w:tcMar>
          </w:tcPr>
          <w:p>
            <w:pPr>
              <w:spacing w:before="0" w:after="0" w:line="252" w:lineRule="auto"/>
              <w:jc w:val="center"/>
            </w:pPr>
            <w:r/>
            <w:r>
              <w:rPr>
                <w:rFonts w:ascii="Calibri" w:hAnsi="Calibri"/>
                <w:b/>
                <w:i w:val="0"/>
                <w:color w:val="9B1C1C"/>
                <w:sz w:val="21"/>
              </w:rPr>
              <w:t>NOT APPROVED FOR DISTRIBUTION</w:t>
            </w:r>
          </w:p>
        </w:tc>
      </w:tr>
    </w:tbl>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Control field</w:t>
            </w:r>
          </w:p>
        </w:tc>
        <w:tc>
          <w:tcPr>
            <w:tcW w:type="dxa" w:w="70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Value</w:t>
            </w:r>
          </w:p>
        </w:tc>
      </w:tr>
      <w:tr>
        <w:trPr/>
        <w:tc>
          <w:tcPr>
            <w:tcW w:type="dxa" w:w="2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Report package</w:t>
            </w:r>
          </w:p>
        </w:tc>
        <w:tc>
          <w:tcPr>
            <w:tcW w:type="dxa" w:w="70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43ac6c58-2d9f-5465-91a5-b7ac00e75e8f</w:t>
            </w:r>
          </w:p>
        </w:tc>
      </w:tr>
      <w:tr>
        <w:trPr/>
        <w:tc>
          <w:tcPr>
            <w:tcW w:type="dxa" w:w="2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Enterprise scope</w:t>
            </w:r>
          </w:p>
        </w:tc>
        <w:tc>
          <w:tcPr>
            <w:tcW w:type="dxa" w:w="70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ENTERPRISE-FIXTURE-001</w:t>
            </w:r>
          </w:p>
        </w:tc>
      </w:tr>
      <w:tr>
        <w:trPr/>
        <w:tc>
          <w:tcPr>
            <w:tcW w:type="dxa" w:w="2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Generated</w:t>
            </w:r>
          </w:p>
        </w:tc>
        <w:tc>
          <w:tcPr>
            <w:tcW w:type="dxa" w:w="70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2026-07-31T16:00:00Z</w:t>
            </w:r>
          </w:p>
        </w:tc>
      </w:tr>
      <w:tr>
        <w:trPr/>
        <w:tc>
          <w:tcPr>
            <w:tcW w:type="dxa" w:w="2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Technical state</w:t>
            </w:r>
          </w:p>
        </w:tc>
        <w:tc>
          <w:tcPr>
            <w:tcW w:type="dxa" w:w="70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Technically Validated</w:t>
            </w:r>
          </w:p>
        </w:tc>
      </w:tr>
      <w:tr>
        <w:trPr/>
        <w:tc>
          <w:tcPr>
            <w:tcW w:type="dxa" w:w="2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Package hash</w:t>
            </w:r>
          </w:p>
        </w:tc>
        <w:tc>
          <w:tcPr>
            <w:tcW w:type="dxa" w:w="70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sha256:430233c423d65642bdebde1d9217517d7023bc2ddcc5dbbf89ebe361d9ceeb4a</w:t>
            </w:r>
          </w:p>
        </w:tc>
      </w:tr>
    </w:tbl>
    <w:p>
      <w:pPr>
        <w:spacing w:before="40" w:after="40"/>
      </w:pPr>
    </w:p>
    <w:p>
      <w:pPr>
        <w:pStyle w:val="Heading1"/>
        <w:keepNext/>
      </w:pPr>
      <w:r>
        <w:t>Executive summary</w:t>
      </w:r>
    </w:p>
    <w:p>
      <w:pPr>
        <w:keepLines/>
      </w:pPr>
      <w:r>
        <w:rPr>
          <w:rFonts w:ascii="Calibri" w:hAnsi="Calibri"/>
          <w:b w:val="0"/>
          <w:i w:val="0"/>
          <w:color w:val="000000"/>
          <w:sz w:val="22"/>
        </w:rPr>
        <w:t>The review identified one credential-like value in a documentation file. Its content was redacted in the retained evidence, and the harness could not determine whether it represents a confirmed secret, a likely secret, or a benign nonsecret value.</w:t>
      </w:r>
    </w:p>
    <w:p>
      <w:pPr>
        <w:keepLines/>
      </w:pPr>
      <w:r>
        <w:rPr>
          <w:rFonts w:ascii="Calibri" w:hAnsi="Calibri"/>
          <w:b w:val="0"/>
          <w:i w:val="0"/>
          <w:color w:val="000000"/>
          <w:sz w:val="22"/>
        </w:rPr>
        <w:t>The same concern propagated through specialist, product, capability, and enterprise review layers. These are traceable views of one underlying concern, not four independent exposures.</w:t>
      </w:r>
    </w:p>
    <w:p>
      <w:pPr>
        <w:keepLines/>
      </w:pPr>
      <w:r>
        <w:rPr>
          <w:rFonts w:ascii="Calibri" w:hAnsi="Calibri"/>
          <w:b w:val="0"/>
          <w:i w:val="0"/>
          <w:color w:val="000000"/>
          <w:sz w:val="22"/>
        </w:rPr>
        <w:t>No automated disposition has been made. Classification and risk acceptance remain human decisions.</w:t>
      </w:r>
    </w:p>
    <w:p>
      <w:pPr>
        <w:pStyle w:val="Heading2"/>
        <w:keepNext/>
      </w:pPr>
      <w:r>
        <w:t>Leadership attention requested</w:t>
      </w:r>
    </w:p>
    <w:p>
      <w:pPr>
        <w:pStyle w:val="ListBullet"/>
        <w:spacing w:after="120" w:line="264" w:lineRule="auto"/>
        <w:ind w:left="720" w:hanging="360"/>
      </w:pPr>
      <w:r>
        <w:rPr>
          <w:rFonts w:ascii="Calibri" w:hAnsi="Calibri"/>
          <w:b w:val="0"/>
          <w:i w:val="0"/>
          <w:color w:val="000000"/>
          <w:sz w:val="22"/>
        </w:rPr>
        <w:t>Authorize distribution of this report only through the controlled approval process.</w:t>
      </w:r>
    </w:p>
    <w:p>
      <w:pPr>
        <w:pStyle w:val="ListBullet"/>
        <w:spacing w:after="120" w:line="264" w:lineRule="auto"/>
        <w:ind w:left="720" w:hanging="360"/>
      </w:pPr>
      <w:r>
        <w:rPr>
          <w:rFonts w:ascii="Calibri" w:hAnsi="Calibri"/>
          <w:b w:val="0"/>
          <w:i w:val="0"/>
          <w:color w:val="000000"/>
          <w:sz w:val="22"/>
        </w:rPr>
        <w:t>Direct the appropriate security experts to classify the credential-like value.</w:t>
      </w:r>
    </w:p>
    <w:p>
      <w:pPr>
        <w:pStyle w:val="ListBullet"/>
        <w:spacing w:after="120" w:line="264" w:lineRule="auto"/>
        <w:ind w:left="720" w:hanging="360"/>
      </w:pPr>
      <w:r>
        <w:rPr>
          <w:rFonts w:ascii="Calibri" w:hAnsi="Calibri"/>
          <w:b w:val="0"/>
          <w:i w:val="0"/>
          <w:color w:val="000000"/>
          <w:sz w:val="22"/>
        </w:rPr>
        <w:t>After expert review, record the decision and any conditions against the exact report item identifiers.</w:t>
      </w:r>
    </w:p>
    <w:p>
      <w:r>
        <w:br w:type="page"/>
      </w:r>
    </w:p>
    <w:p>
      <w:pPr>
        <w:pStyle w:val="Heading1"/>
        <w:keepNext/>
      </w:pPr>
      <w:r>
        <w:t>1. Principal finding and risk assessment</w:t>
      </w:r>
    </w:p>
    <w:p>
      <w:pPr>
        <w:pStyle w:val="Heading2"/>
        <w:keepNext/>
      </w:pPr>
      <w:r>
        <w:t>Principal finding</w:t>
      </w:r>
    </w:p>
    <w:p>
      <w:pPr>
        <w:keepLines/>
      </w:pPr>
      <w:r>
        <w:rPr>
          <w:rFonts w:ascii="Calibri" w:hAnsi="Calibri"/>
          <w:b w:val="0"/>
          <w:i w:val="0"/>
          <w:color w:val="000000"/>
          <w:sz w:val="22"/>
        </w:rPr>
        <w:t>A redacted credential-like value was detected in a documentation file, but its status as a confirmed secret is unresolved.</w:t>
      </w:r>
    </w:p>
    <w:tbl>
      <w:tblPr>
        <w:tblStyle w:val="TableGrid"/>
        <w:tblW w:type="dxa" w:w="9360"/>
        <w:jc w:val="left"/>
        <w:tblLayout w:type="fixed"/>
        <w:tblLook w:firstColumn="1" w:firstRow="1" w:lastColumn="0" w:lastRow="0" w:noHBand="0" w:noVBand="1" w:val="04A0"/>
        <w:tblInd w:type="dxa" w:w="120"/>
      </w:tblPr>
      <w:tblGrid>
        <w:gridCol w:w="2900"/>
        <w:gridCol w:w="6460"/>
      </w:tblGrid>
      <w:tr>
        <w:trPr>
          <w:tblHeader w:val="true"/>
        </w:trPr>
        <w:tc>
          <w:tcPr>
            <w:tcW w:type="dxa" w:w="29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Assessment dimension</w:t>
            </w:r>
          </w:p>
        </w:tc>
        <w:tc>
          <w:tcPr>
            <w:tcW w:type="dxa" w:w="64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Result</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Priority</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High</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Probability</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Medium</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Consequence</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High</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Risk category</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Secrets Exposure</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Origin</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Inherited</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Escalation state</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Pending</w:t>
            </w:r>
          </w:p>
        </w:tc>
      </w:tr>
      <w:tr>
        <w:trPr/>
        <w:tc>
          <w:tcPr>
            <w:tcW w:type="dxa" w:w="29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Decision authority</w:t>
            </w:r>
          </w:p>
        </w:tc>
        <w:tc>
          <w:tcPr>
            <w:tcW w:type="dxa" w:w="64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Human</w:t>
            </w:r>
          </w:p>
        </w:tc>
      </w:tr>
    </w:tbl>
    <w:p>
      <w:pPr>
        <w:spacing w:before="40" w:after="40"/>
      </w:pPr>
    </w:p>
    <w:p>
      <w:pPr>
        <w:pStyle w:val="Heading2"/>
        <w:keepNext/>
      </w:pPr>
      <w:r>
        <w:t>Assessment basis</w:t>
      </w:r>
    </w:p>
    <w:p>
      <w:pPr>
        <w:keepLines/>
      </w:pPr>
      <w:r>
        <w:rPr>
          <w:rFonts w:ascii="Calibri" w:hAnsi="Calibri"/>
          <w:b w:val="0"/>
          <w:i w:val="0"/>
          <w:color w:val="000000"/>
          <w:sz w:val="22"/>
        </w:rPr>
        <w:t>Probability basis: The presence of a redacted credential-like value in a documentation file suggests a potential exposure.</w:t>
      </w:r>
    </w:p>
    <w:p>
      <w:pPr>
        <w:keepLines/>
      </w:pPr>
      <w:r>
        <w:rPr>
          <w:rFonts w:ascii="Calibri" w:hAnsi="Calibri"/>
          <w:b w:val="0"/>
          <w:i w:val="0"/>
          <w:color w:val="000000"/>
          <w:sz w:val="22"/>
        </w:rPr>
        <w:t>Consequence basis: The unresolved credential-like value may represent a potential exposure if it is a real secret.</w:t>
      </w:r>
    </w:p>
    <w:p>
      <w:pPr>
        <w:pStyle w:val="Heading2"/>
        <w:keepNext/>
      </w:pPr>
      <w:r>
        <w:t>Unresolved uncertainty</w:t>
      </w:r>
    </w:p>
    <w:p>
      <w:pPr>
        <w:pStyle w:val="ListBullet"/>
        <w:spacing w:after="120" w:line="264" w:lineRule="auto"/>
        <w:ind w:left="720" w:hanging="360"/>
      </w:pPr>
      <w:r>
        <w:rPr>
          <w:rFonts w:ascii="Calibri" w:hAnsi="Calibri"/>
          <w:b w:val="0"/>
          <w:i w:val="0"/>
          <w:color w:val="000000"/>
          <w:sz w:val="22"/>
        </w:rPr>
        <w:t>The exact impact of the unresolved credential-like value is unknown without further classification.</w:t>
      </w:r>
    </w:p>
    <w:p>
      <w:r>
        <w:br w:type="page"/>
      </w:r>
    </w:p>
    <w:p>
      <w:pPr>
        <w:pStyle w:val="Heading2"/>
        <w:keepNext/>
      </w:pPr>
      <w:r>
        <w:t>Report item inventory</w:t>
      </w:r>
    </w:p>
    <w:tbl>
      <w:tblPr>
        <w:tblStyle w:val="TableGrid"/>
        <w:tblW w:type="dxa" w:w="9360"/>
        <w:jc w:val="left"/>
        <w:tblLayout w:type="fixed"/>
        <w:tblLook w:firstColumn="1" w:firstRow="1" w:lastColumn="0" w:lastRow="0" w:noHBand="0" w:noVBand="1" w:val="04A0"/>
        <w:tblInd w:type="dxa" w:w="120"/>
      </w:tblPr>
      <w:tblGrid>
        <w:gridCol w:w="1100"/>
        <w:gridCol w:w="3100"/>
        <w:gridCol w:w="5160"/>
      </w:tblGrid>
      <w:tr>
        <w:trPr>
          <w:tblHeader w:val="true"/>
        </w:trPr>
        <w:tc>
          <w:tcPr>
            <w:tcW w:type="dxa" w:w="11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Type</w:t>
            </w:r>
          </w:p>
        </w:tc>
        <w:tc>
          <w:tcPr>
            <w:tcW w:type="dxa" w:w="31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Stable report item ID</w:t>
            </w:r>
          </w:p>
        </w:tc>
        <w:tc>
          <w:tcPr>
            <w:tcW w:type="dxa" w:w="51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Advisory statement</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FINDING:SPEC-SECRETS:FINDING-001</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A redacted credential-like value was detected in a documentation file, but its status as a confirmed secret is unresolved.</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FINDING:PROD-SEC:FINDING-001</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A redacted credential-like value was detected in a documentation file, but its status as a confirmed secret is unresolved.</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FINDING:CAP-RISK:FINDING-001</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A redacted credential-like value was detected in a documentation file, but its status as a confirmed secret is unresolved.</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FINDING:ENT-SYSRISK:FINDING-001</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A redacted credential-like value was detected in a documentation file, but its status as a confirmed secret is unresolved.</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Risk</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RISK:RISK-001</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A redacted credential-like value was detected in a documentation file, but its status as a confirmed secret is unresolved.</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Capa</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CAPA:a5d58ea0-6ce4-5b93-967a-7de957ce0655</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Classify the redacted value as confirmed secret, likely secret, or benign/nonsecret. Implement a process to ensure that documentation files do not contain credential-like values.</w:t>
            </w:r>
          </w:p>
        </w:tc>
      </w:tr>
      <w:tr>
        <w:trPr/>
        <w:tc>
          <w:tcPr>
            <w:tcW w:type="dxa" w:w="1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Recommendation</w:t>
            </w:r>
          </w:p>
        </w:tc>
        <w:tc>
          <w:tcPr>
            <w:tcW w:type="dxa" w:w="31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RECOMMENDATION:487ad1d4-9f67-56aa-a0b6-91e41f9f3664</w:t>
            </w:r>
          </w:p>
        </w:tc>
        <w:tc>
          <w:tcPr>
            <w:tcW w:type="dxa" w:w="5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Classify the redacted value as confirmed secret, likely secret, or benign/nonsecret.</w:t>
            </w:r>
          </w:p>
        </w:tc>
      </w:tr>
    </w:tbl>
    <w:p>
      <w:pPr>
        <w:spacing w:before="40" w:after="40"/>
      </w:pPr>
    </w:p>
    <w:p>
      <w:r>
        <w:br w:type="page"/>
      </w:r>
    </w:p>
    <w:p>
      <w:pPr>
        <w:pStyle w:val="Heading1"/>
        <w:keepNext/>
      </w:pPr>
      <w:r>
        <w:t>2. Evidence and analytical lineage</w:t>
      </w:r>
    </w:p>
    <w:p>
      <w:pPr>
        <w:keepLines/>
      </w:pPr>
      <w:r>
        <w:rPr>
          <w:rFonts w:ascii="Calibri" w:hAnsi="Calibri"/>
          <w:b w:val="0"/>
          <w:i w:val="0"/>
          <w:color w:val="000000"/>
          <w:sz w:val="22"/>
        </w:rPr>
        <w:t>The evidence chain below shows how the same underlying observation was preserved and interpreted at each level of the review harness.</w:t>
      </w:r>
    </w:p>
    <w:tbl>
      <w:tblPr>
        <w:tblStyle w:val="TableGrid"/>
        <w:tblW w:type="dxa" w:w="9360"/>
        <w:jc w:val="left"/>
        <w:tblLayout w:type="fixed"/>
        <w:tblLook w:firstColumn="1" w:firstRow="1" w:lastColumn="0" w:lastRow="0" w:noHBand="0" w:noVBand="1" w:val="04A0"/>
        <w:tblInd w:type="dxa" w:w="120"/>
      </w:tblPr>
      <w:tblGrid>
        <w:gridCol w:w="1650"/>
        <w:gridCol w:w="2050"/>
        <w:gridCol w:w="5660"/>
      </w:tblGrid>
      <w:tr>
        <w:trPr>
          <w:tblHeader w:val="true"/>
        </w:trPr>
        <w:tc>
          <w:tcPr>
            <w:tcW w:type="dxa" w:w="165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Review level</w:t>
            </w:r>
          </w:p>
        </w:tc>
        <w:tc>
          <w:tcPr>
            <w:tcW w:type="dxa" w:w="205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Evidence record</w:t>
            </w:r>
          </w:p>
        </w:tc>
        <w:tc>
          <w:tcPr>
            <w:tcW w:type="dxa" w:w="56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Evidence statement</w:t>
            </w:r>
          </w:p>
        </w:tc>
      </w:tr>
      <w:tr>
        <w:trPr/>
        <w:tc>
          <w:tcPr>
            <w:tcW w:type="dxa" w:w="16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SPEC-SECRETS</w:t>
            </w:r>
          </w:p>
        </w:tc>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OBS-001</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unresolved_credential_like_value: credential-like value at docs/getting-started/local-demo/integrate-your-package.mdx.</w:t>
            </w:r>
          </w:p>
        </w:tc>
      </w:tr>
      <w:tr>
        <w:trPr/>
        <w:tc>
          <w:tcPr>
            <w:tcW w:type="dxa" w:w="16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PROD-SEC</w:t>
            </w:r>
          </w:p>
        </w:tc>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OBS-CORRELATION-001</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The unresolved credential-like value in the documentation file is a potential exposure that requires classification.</w:t>
            </w:r>
          </w:p>
        </w:tc>
      </w:tr>
      <w:tr>
        <w:trPr/>
        <w:tc>
          <w:tcPr>
            <w:tcW w:type="dxa" w:w="16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CAP-RISK</w:t>
            </w:r>
          </w:p>
        </w:tc>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OBS-RISK-001</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A redacted credential-like value was detected in a documentation file, but its status as a confirmed secret is unresolved.</w:t>
            </w:r>
          </w:p>
        </w:tc>
      </w:tr>
      <w:tr>
        <w:trPr/>
        <w:tc>
          <w:tcPr>
            <w:tcW w:type="dxa" w:w="16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ENT-EVIDENCE</w:t>
            </w:r>
          </w:p>
        </w:tc>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OBS-ENTEVID-LIVE-001</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The declared CAP-RISK artifact is complete, schema-valid, traceable, fresh, and compatible.</w:t>
            </w:r>
          </w:p>
        </w:tc>
      </w:tr>
      <w:tr>
        <w:trPr/>
        <w:tc>
          <w:tcPr>
            <w:tcW w:type="dxa" w:w="16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ENT-SYSRISK</w:t>
            </w:r>
          </w:p>
        </w:tc>
        <w:tc>
          <w:tcPr>
            <w:tcW w:type="dxa" w:w="205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OBS-RISK-001</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A redacted credential-like value was detected in a documentation file, but its status as a confirmed secret is unresolved.</w:t>
            </w:r>
          </w:p>
        </w:tc>
      </w:tr>
    </w:tbl>
    <w:p>
      <w:pPr>
        <w:spacing w:before="40" w:after="40"/>
      </w:pPr>
    </w:p>
    <w:p>
      <w:pPr>
        <w:pStyle w:val="Heading2"/>
        <w:keepNext/>
      </w:pPr>
      <w:r>
        <w:t>Evidence assessment</w:t>
      </w:r>
    </w:p>
    <w:tbl>
      <w:tblPr>
        <w:tblStyle w:val="TableGrid"/>
        <w:tblW w:type="dxa" w:w="9360"/>
        <w:jc w:val="left"/>
        <w:tblLayout w:type="fixed"/>
        <w:tblLook w:firstColumn="1" w:firstRow="1" w:lastColumn="0" w:lastRow="0" w:noHBand="0" w:noVBand="1" w:val="04A0"/>
        <w:tblInd w:type="dxa" w:w="120"/>
      </w:tblPr>
      <w:tblGrid>
        <w:gridCol w:w="2200"/>
        <w:gridCol w:w="1500"/>
        <w:gridCol w:w="5660"/>
      </w:tblGrid>
      <w:tr>
        <w:trPr>
          <w:tblHeader w:val="true"/>
        </w:trPr>
        <w:tc>
          <w:tcPr>
            <w:tcW w:type="dxa" w:w="22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Measure</w:t>
            </w:r>
          </w:p>
        </w:tc>
        <w:tc>
          <w:tcPr>
            <w:tcW w:type="dxa" w:w="15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Value</w:t>
            </w:r>
          </w:p>
        </w:tc>
        <w:tc>
          <w:tcPr>
            <w:tcW w:type="dxa" w:w="56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Interpretation</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Assessment confidence</w:t>
            </w:r>
          </w:p>
        </w:tc>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0.85</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Confidence in the risk assessment, not in a human disposition.</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Evidence confidence</w:t>
            </w:r>
          </w:p>
        </w:tc>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0.95</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Confidence that the retained observation is accurately represented.</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Review confidence</w:t>
            </w:r>
          </w:p>
        </w:tc>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0.80</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Confidence in the completed analytical review.</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Coverage</w:t>
            </w:r>
          </w:p>
        </w:tc>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1 of 1</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All eligible evidence in this declared slice was reviewed.</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Inaccessible / omitted</w:t>
            </w:r>
          </w:p>
        </w:tc>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0 / 0</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No declared evidence was inaccessible or omitted.</w:t>
            </w:r>
          </w:p>
        </w:tc>
      </w:tr>
      <w:tr>
        <w:trPr/>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Conflicts</w:t>
            </w:r>
          </w:p>
        </w:tc>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0</w:t>
            </w:r>
          </w:p>
        </w:tc>
        <w:tc>
          <w:tcPr>
            <w:tcW w:type="dxa" w:w="56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7"/>
              </w:rPr>
              <w:t>No conflicts were recorded in the accepted chain.</w:t>
            </w:r>
          </w:p>
        </w:tc>
      </w:tr>
    </w:tbl>
    <w:p>
      <w:pPr>
        <w:spacing w:before="40" w:after="40"/>
      </w:pPr>
    </w:p>
    <w:p>
      <w:r>
        <w:br w:type="page"/>
      </w:r>
    </w:p>
    <w:p>
      <w:pPr>
        <w:pStyle w:val="Heading1"/>
        <w:keepNext/>
      </w:pPr>
      <w:r>
        <w:t>3. Recommended treatment and CAPA</w:t>
      </w:r>
    </w:p>
    <w:p>
      <w:pPr>
        <w:pStyle w:val="Heading2"/>
        <w:keepNext/>
      </w:pPr>
      <w:r>
        <w:t>Advisory recommendation</w:t>
      </w:r>
    </w:p>
    <w:p>
      <w:pPr>
        <w:keepLines/>
      </w:pPr>
      <w:r>
        <w:rPr>
          <w:rFonts w:ascii="Calibri" w:hAnsi="Calibri"/>
          <w:b w:val="0"/>
          <w:i w:val="0"/>
          <w:color w:val="000000"/>
          <w:sz w:val="22"/>
        </w:rPr>
        <w:t>Classify the redacted value as confirmed secret, likely secret, or benign/nonsecret.</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Treatment element</w:t>
            </w:r>
          </w:p>
        </w:tc>
        <w:tc>
          <w:tcPr>
            <w:tcW w:type="dxa" w:w="68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Advisory detail</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Proposed control</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Manual classification by the security team.</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Target condition</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Classify the redacted value as confirmed secret, likely secret, or benign/nonsecret.</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Action owner</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Security Engineer</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Decision owner</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Security Engineer</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Expected evidence</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Manual classification of the redacted credential-like value.</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Verification method</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manual classification by security team</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Expected probability effect</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Medium</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Expected consequence effect</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High</w:t>
            </w:r>
          </w:p>
        </w:tc>
      </w:tr>
    </w:tbl>
    <w:p>
      <w:pPr>
        <w:spacing w:before="40" w:after="40"/>
      </w:pPr>
    </w:p>
    <w:p>
      <w:pPr>
        <w:pStyle w:val="Heading2"/>
        <w:keepNext/>
      </w:pPr>
      <w:r>
        <w:t>Corrective and preventive action</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CAPA field</w:t>
            </w:r>
          </w:p>
        </w:tc>
        <w:tc>
          <w:tcPr>
            <w:tcW w:type="dxa" w:w="68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Recorded advisory value</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Corrective action</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Classify the redacted value as confirmed secret, likely secret, or benign/nonsecret.</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Preventive action</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Implement a process to ensure that documentation files do not contain credential-like values.</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Owner role</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Security Engineer</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Target horizon</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Short Term</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Implementation level</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Code Level</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Validation method</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manual classification by security team</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Closure evidence</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Manual classification of the redacted credential-like value.</w:t>
            </w:r>
          </w:p>
        </w:tc>
      </w:tr>
      <w:tr>
        <w:trPr/>
        <w:tc>
          <w:tcPr>
            <w:tcW w:type="dxa" w:w="2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Root cause</w:t>
            </w:r>
          </w:p>
        </w:tc>
        <w:tc>
          <w:tcPr>
            <w:tcW w:type="dxa" w:w="6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8"/>
              </w:rPr>
              <w:t>Unknown</w:t>
            </w:r>
          </w:p>
        </w:tc>
      </w:tr>
    </w:tbl>
    <w:p>
      <w:pPr>
        <w:spacing w:before="40" w:after="40"/>
      </w:pPr>
    </w:p>
    <w:p>
      <w:pPr>
        <w:keepLines/>
      </w:pPr>
      <w:r>
        <w:rPr>
          <w:rFonts w:ascii="Calibri" w:hAnsi="Calibri"/>
          <w:b w:val="0"/>
          <w:i/>
          <w:color w:val="000000"/>
          <w:sz w:val="22"/>
        </w:rPr>
        <w:t>These actions are recommendations only. This report does not authorize implementation, accept risk, assign operational work, or alter deployment state.</w:t>
      </w:r>
    </w:p>
    <w:p>
      <w:r>
        <w:br w:type="page"/>
      </w:r>
    </w:p>
    <w:p>
      <w:pPr>
        <w:pStyle w:val="Heading1"/>
        <w:keepNext/>
      </w:pPr>
      <w:r>
        <w:t>4. Scope, methodology, and limitations</w:t>
      </w:r>
    </w:p>
    <w:p>
      <w:pPr>
        <w:pStyle w:val="Heading2"/>
        <w:keepNext/>
      </w:pPr>
      <w:r>
        <w:t>Declared scope</w:t>
      </w:r>
    </w:p>
    <w:p>
      <w:pPr>
        <w:keepLines/>
      </w:pPr>
      <w:r>
        <w:rPr>
          <w:rFonts w:ascii="Calibri" w:hAnsi="Calibri"/>
          <w:b w:val="0"/>
          <w:i w:val="0"/>
          <w:color w:val="000000"/>
          <w:sz w:val="22"/>
        </w:rPr>
        <w:t>This is a one-file calibration slice designed to validate the vertical review chain. It is not a repository-wide security conclusion.</w:t>
      </w:r>
    </w:p>
    <w:tbl>
      <w:tblPr>
        <w:tblStyle w:val="TableGrid"/>
        <w:tblW w:type="dxa" w:w="9360"/>
        <w:jc w:val="left"/>
        <w:tblLayout w:type="fixed"/>
        <w:tblLook w:firstColumn="1" w:firstRow="1" w:lastColumn="0" w:lastRow="0" w:noHBand="0" w:noVBand="1" w:val="04A0"/>
        <w:tblInd w:type="dxa" w:w="120"/>
      </w:tblPr>
      <w:tblGrid>
        <w:gridCol w:w="1500"/>
        <w:gridCol w:w="3000"/>
        <w:gridCol w:w="4860"/>
      </w:tblGrid>
      <w:tr>
        <w:trPr>
          <w:tblHeader w:val="true"/>
        </w:trPr>
        <w:tc>
          <w:tcPr>
            <w:tcW w:type="dxa" w:w="15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Review level</w:t>
            </w:r>
          </w:p>
        </w:tc>
        <w:tc>
          <w:tcPr>
            <w:tcW w:type="dxa" w:w="30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Method</w:t>
            </w:r>
          </w:p>
        </w:tc>
        <w:tc>
          <w:tcPr>
            <w:tcW w:type="dxa" w:w="48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Limitations</w:t>
            </w:r>
          </w:p>
        </w:tc>
      </w:tr>
      <w:tr>
        <w:trPr/>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SPEC-SECRETS</w:t>
            </w:r>
          </w:p>
        </w:tc>
        <w:tc>
          <w:tcPr>
            <w:tcW w:type="dxa" w:w="30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read-only shallow clone plus offline redacted heuristic scan</w:t>
            </w:r>
          </w:p>
        </w:tc>
        <w:tc>
          <w:tcPr>
            <w:tcW w:type="dxa" w:w="4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This is a declared one-file calibration slice, not a repository-wide security conclusion.; The redacted heuristic candidate requires classification and was not validated against a live service.; Repository history, runtime configuration, and external secret stores are outside this slice.</w:t>
            </w:r>
          </w:p>
        </w:tc>
      </w:tr>
      <w:tr>
        <w:trPr/>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PROD-SEC</w:t>
            </w:r>
          </w:p>
        </w:tc>
        <w:tc>
          <w:tcPr>
            <w:tcW w:type="dxa" w:w="30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read-only shallow clone plus offline redacted heuristic scan</w:t>
            </w:r>
          </w:p>
        </w:tc>
        <w:tc>
          <w:tcPr>
            <w:tcW w:type="dxa" w:w="4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This is a declared one-file calibration slice, not a repository-wide security conclusion.; The redacted heuristic candidate requires classification and was not validated against a live service.; Repository history, runtime configuration, and external secret stores are outside this slice.</w:t>
            </w:r>
          </w:p>
        </w:tc>
      </w:tr>
      <w:tr>
        <w:trPr/>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CAP-RISK</w:t>
            </w:r>
          </w:p>
        </w:tc>
        <w:tc>
          <w:tcPr>
            <w:tcW w:type="dxa" w:w="30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read-only shallow clone plus offline redacted heuristic scan</w:t>
            </w:r>
          </w:p>
        </w:tc>
        <w:tc>
          <w:tcPr>
            <w:tcW w:type="dxa" w:w="4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This is a declared one-file calibration slice, not a repository-wide security conclusion.; The redacted heuristic candidate requires classification and was not validated against a live service.; Repository history, runtime configuration, and external secret stores are outside this slice.</w:t>
            </w:r>
          </w:p>
        </w:tc>
      </w:tr>
      <w:tr>
        <w:trPr/>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ENT-EVIDENCE</w:t>
            </w:r>
          </w:p>
        </w:tc>
        <w:tc>
          <w:tcPr>
            <w:tcW w:type="dxa" w:w="30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deterministic contract, identity, integrity-reference, freshness, and completeness gate</w:t>
            </w:r>
          </w:p>
        </w:tc>
        <w:tc>
          <w:tcPr>
            <w:tcW w:type="dxa" w:w="4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Semantic enterprise risk review remains the responsibility of ENT-SYSRISK</w:t>
            </w:r>
          </w:p>
        </w:tc>
      </w:tr>
      <w:tr>
        <w:trPr/>
        <w:tc>
          <w:tcPr>
            <w:tcW w:type="dxa" w:w="15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ENT-SYSRISK</w:t>
            </w:r>
          </w:p>
        </w:tc>
        <w:tc>
          <w:tcPr>
            <w:tcW w:type="dxa" w:w="30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systemic-risk-analysis</w:t>
            </w:r>
          </w:p>
        </w:tc>
        <w:tc>
          <w:tcPr>
            <w:tcW w:type="dxa" w:w="48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6"/>
              </w:rPr>
              <w:t>This is a declared one-file calibration slice, not a repository-wide security conclusion.; The redacted heuristic candidate requires classification and was not validated against a live service.; Repository history, runtime configuration, and external secret stores are outside this slice.</w:t>
            </w:r>
          </w:p>
        </w:tc>
      </w:tr>
    </w:tbl>
    <w:p>
      <w:pPr>
        <w:spacing w:before="40" w:after="40"/>
      </w:pPr>
    </w:p>
    <w:p>
      <w:pPr>
        <w:pStyle w:val="Heading2"/>
        <w:keepNext/>
      </w:pPr>
      <w:r>
        <w:t>Material limitations</w:t>
      </w:r>
    </w:p>
    <w:p>
      <w:pPr>
        <w:pStyle w:val="ListBullet"/>
        <w:spacing w:after="120" w:line="264" w:lineRule="auto"/>
        <w:ind w:left="720" w:hanging="360"/>
      </w:pPr>
      <w:r>
        <w:rPr>
          <w:rFonts w:ascii="Calibri" w:hAnsi="Calibri"/>
          <w:b w:val="0"/>
          <w:i w:val="0"/>
          <w:color w:val="000000"/>
          <w:sz w:val="22"/>
        </w:rPr>
        <w:t>This is a declared one-file calibration slice, not a repository-wide security conclusion.</w:t>
      </w:r>
    </w:p>
    <w:p>
      <w:pPr>
        <w:pStyle w:val="ListBullet"/>
        <w:spacing w:after="120" w:line="264" w:lineRule="auto"/>
        <w:ind w:left="720" w:hanging="360"/>
      </w:pPr>
      <w:r>
        <w:rPr>
          <w:rFonts w:ascii="Calibri" w:hAnsi="Calibri"/>
          <w:b w:val="0"/>
          <w:i w:val="0"/>
          <w:color w:val="000000"/>
          <w:sz w:val="22"/>
        </w:rPr>
        <w:t>The redacted heuristic candidate requires classification and was not validated against a live service.</w:t>
      </w:r>
    </w:p>
    <w:p>
      <w:pPr>
        <w:pStyle w:val="ListBullet"/>
        <w:spacing w:after="120" w:line="264" w:lineRule="auto"/>
        <w:ind w:left="720" w:hanging="360"/>
      </w:pPr>
      <w:r>
        <w:rPr>
          <w:rFonts w:ascii="Calibri" w:hAnsi="Calibri"/>
          <w:b w:val="0"/>
          <w:i w:val="0"/>
          <w:color w:val="000000"/>
          <w:sz w:val="22"/>
        </w:rPr>
        <w:t>Repository history, runtime configuration, and external secret stores are outside this slice.</w:t>
      </w:r>
    </w:p>
    <w:p>
      <w:pPr>
        <w:pStyle w:val="ListBullet"/>
        <w:spacing w:after="120" w:line="264" w:lineRule="auto"/>
        <w:ind w:left="720" w:hanging="360"/>
      </w:pPr>
      <w:r>
        <w:rPr>
          <w:rFonts w:ascii="Calibri" w:hAnsi="Calibri"/>
          <w:b w:val="0"/>
          <w:i w:val="0"/>
          <w:color w:val="000000"/>
          <w:sz w:val="22"/>
        </w:rPr>
        <w:t>Semantic enterprise risk review remains the responsibility of ENT-SYSRISK</w:t>
      </w:r>
    </w:p>
    <w:p>
      <w:r>
        <w:br w:type="page"/>
      </w:r>
    </w:p>
    <w:p>
      <w:pPr>
        <w:pStyle w:val="Heading1"/>
        <w:keepNext/>
      </w:pPr>
      <w:r>
        <w:t>5. Integrity, sources, and distribution control</w:t>
      </w:r>
    </w:p>
    <w:tbl>
      <w:tblPr>
        <w:tblStyle w:val="TableGrid"/>
        <w:tblW w:type="dxa" w:w="9360"/>
        <w:jc w:val="left"/>
        <w:tblLayout w:type="fixed"/>
        <w:tblLook w:firstColumn="1" w:firstRow="1" w:lastColumn="0" w:lastRow="0" w:noHBand="0" w:noVBand="1" w:val="04A0"/>
        <w:tblInd w:type="dxa" w:w="120"/>
      </w:tblPr>
      <w:tblGrid>
        <w:gridCol w:w="1300"/>
        <w:gridCol w:w="2200"/>
        <w:gridCol w:w="2700"/>
        <w:gridCol w:w="3160"/>
      </w:tblGrid>
      <w:tr>
        <w:trPr>
          <w:tblHeader w:val="true"/>
        </w:trPr>
        <w:tc>
          <w:tcPr>
            <w:tcW w:type="dxa" w:w="13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Producer</w:t>
            </w:r>
          </w:p>
        </w:tc>
        <w:tc>
          <w:tcPr>
            <w:tcW w:type="dxa" w:w="22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Artifact type</w:t>
            </w:r>
          </w:p>
        </w:tc>
        <w:tc>
          <w:tcPr>
            <w:tcW w:type="dxa" w:w="270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Artifact ID</w:t>
            </w:r>
          </w:p>
        </w:tc>
        <w:tc>
          <w:tcPr>
            <w:tcW w:type="dxa" w:w="3160"/>
            <w:vAlign w:val="center"/>
            <w:shd w:fill="F2F4F7"/>
            <w:tcMar>
              <w:top w:w="90" w:type="dxa"/>
              <w:bottom w:w="90" w:type="dxa"/>
              <w:start w:w="120" w:type="dxa"/>
              <w:end w:w="120" w:type="dxa"/>
            </w:tcMar>
          </w:tcPr>
          <w:p>
            <w:pPr>
              <w:spacing w:before="0" w:after="0" w:line="252" w:lineRule="auto"/>
              <w:jc w:val="left"/>
            </w:pPr>
            <w:r/>
            <w:r>
              <w:rPr>
                <w:rFonts w:ascii="Calibri" w:hAnsi="Calibri"/>
                <w:b/>
                <w:i w:val="0"/>
                <w:color w:val="0B2545"/>
                <w:sz w:val="18"/>
              </w:rPr>
              <w:t>Output hash</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SPEC-SECRETS</w:t>
            </w:r>
          </w:p>
        </w:tc>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specialist-secrets-review</w:t>
            </w:r>
          </w:p>
        </w:tc>
        <w:tc>
          <w:tcPr>
            <w:tcW w:type="dxa" w:w="27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85879acf-6be4-5637-9789-5aa5670c3c33</w:t>
            </w:r>
          </w:p>
        </w:tc>
        <w:tc>
          <w:tcPr>
            <w:tcW w:type="dxa" w:w="3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sha256:aa48e2e0f3f2603d32ce9f97c7a775b7d07d50febb9abd083bd5844b0582e9c8</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PROD-SEC</w:t>
            </w:r>
          </w:p>
        </w:tc>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product-security-posture</w:t>
            </w:r>
          </w:p>
        </w:tc>
        <w:tc>
          <w:tcPr>
            <w:tcW w:type="dxa" w:w="27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1e27ed34-d9a5-5309-a876-ab02af8b7d13</w:t>
            </w:r>
          </w:p>
        </w:tc>
        <w:tc>
          <w:tcPr>
            <w:tcW w:type="dxa" w:w="3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sha256:073d9b9112933f0f482e80e9be57c34ea610759ac909260be1d176648a35c6e3</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CAP-RISK</w:t>
            </w:r>
          </w:p>
        </w:tc>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capability-risk-posture</w:t>
            </w:r>
          </w:p>
        </w:tc>
        <w:tc>
          <w:tcPr>
            <w:tcW w:type="dxa" w:w="27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a5ada795-db2f-5625-aed9-1b619411be17</w:t>
            </w:r>
          </w:p>
        </w:tc>
        <w:tc>
          <w:tcPr>
            <w:tcW w:type="dxa" w:w="3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sha256:b56be7afa96e29b2106b8faad851688844b1bcfdbb9b706c3d1ffcbfd57ed783</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ENT-EVIDENCE</w:t>
            </w:r>
          </w:p>
        </w:tc>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validated-enterprise-input-manifest</w:t>
            </w:r>
          </w:p>
        </w:tc>
        <w:tc>
          <w:tcPr>
            <w:tcW w:type="dxa" w:w="27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e18bbf4d-0308-5975-973e-4c731f4105cb</w:t>
            </w:r>
          </w:p>
        </w:tc>
        <w:tc>
          <w:tcPr>
            <w:tcW w:type="dxa" w:w="3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sha256:85037cc5398e9c6ccef05474fe855e7a557c45437b7e4adb5c1f8ef1f472b124</w:t>
            </w:r>
          </w:p>
        </w:tc>
      </w:tr>
      <w:tr>
        <w:trPr/>
        <w:tc>
          <w:tcPr>
            <w:tcW w:type="dxa" w:w="13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ENT-SYSRISK</w:t>
            </w:r>
          </w:p>
        </w:tc>
        <w:tc>
          <w:tcPr>
            <w:tcW w:type="dxa" w:w="22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enterprise-systemic-risk-posture</w:t>
            </w:r>
          </w:p>
        </w:tc>
        <w:tc>
          <w:tcPr>
            <w:tcW w:type="dxa" w:w="270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7d9999b9-4188-592b-a3ca-1d939dbe2fa1</w:t>
            </w:r>
          </w:p>
        </w:tc>
        <w:tc>
          <w:tcPr>
            <w:tcW w:type="dxa" w:w="3160"/>
            <w:vAlign w:val="center"/>
            <w:tcMar>
              <w:top w:w="90" w:type="dxa"/>
              <w:bottom w:w="90" w:type="dxa"/>
              <w:start w:w="120" w:type="dxa"/>
              <w:end w:w="120" w:type="dxa"/>
            </w:tcMar>
          </w:tcPr>
          <w:p>
            <w:pPr>
              <w:spacing w:before="0" w:after="0" w:line="252" w:lineRule="auto"/>
              <w:jc w:val="left"/>
            </w:pPr>
            <w:r/>
            <w:r>
              <w:rPr>
                <w:rFonts w:ascii="Calibri" w:hAnsi="Calibri"/>
                <w:b w:val="0"/>
                <w:i w:val="0"/>
                <w:color w:val="000000"/>
                <w:sz w:val="14"/>
              </w:rPr>
              <w:t>sha256:5aded426e5604ea65a3622d0e92f5eecf134a3fb479631fa3daae3e3e56f20c5</w:t>
            </w:r>
          </w:p>
        </w:tc>
      </w:tr>
    </w:tbl>
    <w:p>
      <w:pPr>
        <w:spacing w:before="40" w:after="40"/>
      </w:pPr>
    </w:p>
    <w:p>
      <w:pPr>
        <w:pStyle w:val="Heading2"/>
        <w:keepNext/>
      </w:pPr>
      <w:r>
        <w:t>Package integrity</w:t>
      </w:r>
    </w:p>
    <w:p>
      <w:pPr>
        <w:keepLines/>
      </w:pPr>
      <w:r>
        <w:rPr>
          <w:rFonts w:ascii="Calibri" w:hAnsi="Calibri"/>
          <w:b w:val="0"/>
          <w:i w:val="0"/>
          <w:color w:val="000000"/>
          <w:sz w:val="22"/>
        </w:rPr>
        <w:t>Report package ID: 43ac6c58-2d9f-5465-91a5-b7ac00e75e8f</w:t>
      </w:r>
    </w:p>
    <w:p>
      <w:pPr>
        <w:keepLines/>
      </w:pPr>
      <w:r>
        <w:rPr>
          <w:rFonts w:ascii="Calibri" w:hAnsi="Calibri"/>
          <w:b w:val="0"/>
          <w:i w:val="0"/>
          <w:color w:val="000000"/>
          <w:sz w:val="22"/>
        </w:rPr>
        <w:t>Canonical package hash: sha256:430233c423d65642bdebde1d9217517d7023bc2ddcc5dbbf89ebe361d9ceeb4a</w:t>
      </w:r>
    </w:p>
    <w:p>
      <w:pPr>
        <w:keepLines/>
      </w:pPr>
      <w:r>
        <w:rPr>
          <w:rFonts w:ascii="Calibri" w:hAnsi="Calibri"/>
          <w:b w:val="0"/>
          <w:i w:val="0"/>
          <w:color w:val="000000"/>
          <w:sz w:val="22"/>
        </w:rPr>
        <w:t>The leadership-review and approved-distribution documents render the same immutable report package. Their distribution notices and control bindings differ; the technical substance does not.</w:t>
      </w:r>
    </w:p>
    <w:p>
      <w:pPr>
        <w:pStyle w:val="Heading2"/>
        <w:keepNext/>
      </w:pPr>
      <w:r>
        <w:t>Distribution control</w:t>
      </w:r>
    </w:p>
    <w:p>
      <w:pPr>
        <w:keepLines/>
      </w:pPr>
      <w:r>
        <w:rPr>
          <w:rFonts w:ascii="Calibri" w:hAnsi="Calibri"/>
          <w:b w:val="0"/>
          <w:i w:val="0"/>
          <w:color w:val="000000"/>
          <w:sz w:val="22"/>
        </w:rPr>
        <w:t>This copy is provided solely for leadership review of whether the report may be distributed. It must not be distributed as an approved report. An approved copy may be generated only after the external leadership authorization is recorded and independently verified.</w:t>
      </w:r>
    </w:p>
    <w:p>
      <w:pPr>
        <w:pStyle w:val="Heading2"/>
        <w:keepNext/>
      </w:pPr>
      <w:r>
        <w:t>Human decision boundary</w:t>
      </w:r>
    </w:p>
    <w:p>
      <w:pPr>
        <w:pStyle w:val="ListBullet"/>
        <w:spacing w:after="120" w:line="264" w:lineRule="auto"/>
        <w:ind w:left="720" w:hanging="360"/>
      </w:pPr>
      <w:r>
        <w:rPr>
          <w:rFonts w:ascii="Calibri" w:hAnsi="Calibri"/>
          <w:b w:val="0"/>
          <w:i w:val="0"/>
          <w:color w:val="000000"/>
          <w:sz w:val="22"/>
        </w:rPr>
        <w:t>Senior leadership or its named body approves report distribution outside the harness.</w:t>
      </w:r>
    </w:p>
    <w:p>
      <w:pPr>
        <w:pStyle w:val="ListBullet"/>
        <w:spacing w:after="120" w:line="264" w:lineRule="auto"/>
        <w:ind w:left="720" w:hanging="360"/>
      </w:pPr>
      <w:r>
        <w:rPr>
          <w:rFonts w:ascii="Calibri" w:hAnsi="Calibri"/>
          <w:b w:val="0"/>
          <w:i w:val="0"/>
          <w:color w:val="000000"/>
          <w:sz w:val="22"/>
        </w:rPr>
        <w:t>Human experts make substantive decisions outside the harness.</w:t>
      </w:r>
    </w:p>
    <w:p>
      <w:pPr>
        <w:pStyle w:val="ListBullet"/>
        <w:spacing w:after="120" w:line="264" w:lineRule="auto"/>
        <w:ind w:left="720" w:hanging="360"/>
      </w:pPr>
      <w:r>
        <w:rPr>
          <w:rFonts w:ascii="Calibri" w:hAnsi="Calibri"/>
          <w:b w:val="0"/>
          <w:i w:val="0"/>
          <w:color w:val="000000"/>
          <w:sz w:val="22"/>
        </w:rPr>
        <w:t>An authenticated records administrator records the external source-backed decision.</w:t>
      </w:r>
    </w:p>
    <w:p>
      <w:pPr>
        <w:pStyle w:val="ListBullet"/>
        <w:spacing w:after="120" w:line="264" w:lineRule="auto"/>
        <w:ind w:left="720" w:hanging="360"/>
      </w:pPr>
      <w:r>
        <w:rPr>
          <w:rFonts w:ascii="Calibri" w:hAnsi="Calibri"/>
          <w:b w:val="0"/>
          <w:i w:val="0"/>
          <w:color w:val="000000"/>
          <w:sz w:val="22"/>
        </w:rPr>
        <w:t>A different authorized records verifier confirms the source and authority bindings.</w:t>
      </w:r>
    </w:p>
    <w:p>
      <w:pPr>
        <w:pStyle w:val="ListBullet"/>
        <w:spacing w:after="120" w:line="264" w:lineRule="auto"/>
        <w:ind w:left="720" w:hanging="360"/>
      </w:pPr>
      <w:r>
        <w:rPr>
          <w:rFonts w:ascii="Calibri" w:hAnsi="Calibri"/>
          <w:b w:val="0"/>
          <w:i w:val="0"/>
          <w:color w:val="000000"/>
          <w:sz w:val="22"/>
        </w:rPr>
        <w:t>All resulting governance records remain record-only until separately authorized downstream controls act on them.</w:t>
      </w:r>
    </w:p>
    <w:p>
      <w:pPr>
        <w:keepLines/>
      </w:pPr>
      <w:r>
        <w:rPr>
          <w:rFonts w:ascii="Calibri" w:hAnsi="Calibri"/>
          <w:b w:val="0"/>
          <w:i/>
          <w:color w:val="000000"/>
          <w:sz w:val="22"/>
        </w:rPr>
        <w:t>Fixture notice: all authorities, source hashes, and identity values in this reference report are synthetic test data.</w:t>
      </w:r>
    </w:p>
    <w:sectPr w:rsidR="00FC693F" w:rsidRPr="0006063C" w:rsidSect="00034616">
      <w:headerReference w:type="default" r:id="rId9"/>
      <w:footerReference w:type="default" r:id="rId10"/>
      <w:pgSz w:w="12240" w:h="15840"/>
      <w:pgMar w:top="1123"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Controlled report  |  Page </w:t>
    </w:r>
    <w:r>
      <w:rPr>
        <w:rFonts w:ascii="Calibri" w:hAnsi="Calibri"/>
        <w:b w:val="0"/>
        <w:i w:val="0"/>
        <w:color w:val="5B6573"/>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CODE REVIEW HARNESS  |  ENTERPRISE RISK REPORT</w:t>
    </w:r>
    <w:r>
      <w:rPr>
        <w:rFonts w:ascii="Calibri" w:hAnsi="Calibri"/>
        <w:b/>
        <w:i w:val="0"/>
        <w:color w:val="9B1C1C"/>
        <w:sz w:val="17"/>
      </w:rPr>
      <w:t xml:space="preserve">  |  NOT APPROVED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Harness Enterprise Risk Report</dc:title>
  <dc:subject>NOT APPROVED FOR DISTRIBUTION</dc:subject>
  <dc:creator>Code Review Harness</dc:creator>
  <cp:keywords>enterprise risk, code review, controlled report, ADR-0012</cp:keywords>
  <dc:description>generated by python-docx</dc:description>
  <cp:lastModifiedBy/>
  <cp:revision>1</cp:revision>
  <dcterms:created xsi:type="dcterms:W3CDTF">2013-12-23T23:15:00Z</dcterms:created>
  <dcterms:modified xsi:type="dcterms:W3CDTF">2013-12-23T23:15:00Z</dcterms:modified>
  <cp:category/>
</cp:coreProperties>
</file>