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84"/>
      </w:pPr>
      <w:r>
        <w:rPr>
          <w:b/>
          <w:color w:val="2E74B5"/>
          <w:sz w:val="22"/>
        </w:rPr>
        <w:t>ENGINEERING ENABLEMENT</w:t>
      </w:r>
    </w:p>
    <w:p>
      <w:pPr>
        <w:spacing w:before="440" w:after="320"/>
      </w:pPr>
      <w:r>
        <w:rPr>
          <w:b/>
          <w:color w:val="17212B"/>
          <w:sz w:val="60"/>
        </w:rPr>
        <w:t>Code Review Harness</w:t>
        <w:br/>
        <w:t>Agentic System Curriculum</w:t>
      </w:r>
    </w:p>
    <w:p>
      <w:pPr>
        <w:spacing w:after="600"/>
      </w:pPr>
      <w:r>
        <w:rPr>
          <w:color w:val="52606D"/>
          <w:sz w:val="32"/>
        </w:rPr>
        <w:t>Instructor guide, learner labs, prompt-engineering standard, and 55-agent drafting plan</w:t>
      </w:r>
    </w:p>
    <w:tbl>
      <w:tblPr>
        <w:tblW w:type="auto" w:w="0"/>
        <w:jc w:val="center"/>
        <w:tblLook w:firstColumn="1" w:firstRow="1" w:lastColumn="0" w:lastRow="0" w:noHBand="0" w:noVBand="1" w:val="04A0"/>
      </w:tblPr>
      <w:tblGrid>
        <w:gridCol w:w="9360"/>
      </w:tblGrid>
      <w:tr>
        <w:trPr>
          <w:cantSplit/>
        </w:trPr>
        <w:tc>
          <w:tcPr>
            <w:tcW w:type="dxa" w:w="9360"/>
            <w:shd w:fill="EAF5FB"/>
            <w:tcMar>
              <w:top w:w="140" w:type="dxa"/>
              <w:start w:w="180" w:type="dxa"/>
              <w:bottom w:w="140" w:type="dxa"/>
              <w:end w:w="180" w:type="dxa"/>
            </w:tcMar>
          </w:tcPr>
          <w:p>
            <w:r>
              <w:rPr>
                <w:b/>
                <w:color w:val="1F4D78"/>
              </w:rPr>
              <w:t xml:space="preserve">Core philosophy  </w:t>
            </w:r>
            <w:r>
              <w:t>Evidence is observable. Assessment is bounded. Recommendations inform. Humans decide.</w:t>
            </w:r>
          </w:p>
        </w:tc>
      </w:tr>
    </w:tbl>
    <w:p>
      <w:pPr>
        <w:spacing w:after="0"/>
      </w:pPr>
    </w:p>
    <w:p/>
    <w:p>
      <w:pPr>
        <w:spacing w:before="2016"/>
      </w:pPr>
      <w:r>
        <w:rPr>
          <w:b/>
        </w:rPr>
        <w:t>Repository-aligned edition</w:t>
      </w:r>
      <w:r>
        <w:br/>
        <w:t>Based on the Agent Catalog, universal and layer contracts, workflow model, and governance guidance.</w:t>
      </w:r>
      <w:r>
        <w:br/>
        <w:t>Prepared for young engineers learning to design, operate, and test contract-driven agents.</w:t>
      </w:r>
    </w:p>
    <w:p>
      <w:r>
        <w:br w:type="page"/>
      </w:r>
    </w:p>
    <w:p>
      <w:pPr>
        <w:pStyle w:val="Heading1"/>
      </w:pPr>
      <w:r>
        <w:t>How to use this curriculum</w:t>
      </w:r>
    </w:p>
    <w:p>
      <w:r>
        <w:t>This is a twelve-session progression from first principles to a production-style prompt package. The course treats prompts as governed software artifacts: they inherit contracts, operate inside a stateful harness, produce typed artifacts, preserve evidence, and stop at the boundary of human authority.</w:t>
      </w:r>
    </w:p>
    <w:tbl>
      <w:tblPr>
        <w:tblW w:type="auto" w:w="0"/>
        <w:jc w:val="center"/>
        <w:tblLook w:firstColumn="1" w:firstRow="1" w:lastColumn="0" w:lastRow="0" w:noHBand="0" w:noVBand="1" w:val="04A0"/>
      </w:tblPr>
      <w:tblGrid>
        <w:gridCol w:w="9360"/>
      </w:tblGrid>
      <w:tr>
        <w:trPr>
          <w:cantSplit/>
        </w:trPr>
        <w:tc>
          <w:tcPr>
            <w:tcW w:type="dxa" w:w="9360"/>
            <w:shd w:fill="EAF5FB"/>
            <w:tcMar>
              <w:top w:w="140" w:type="dxa"/>
              <w:start w:w="180" w:type="dxa"/>
              <w:bottom w:w="140" w:type="dxa"/>
              <w:end w:w="180" w:type="dxa"/>
            </w:tcMar>
          </w:tcPr>
          <w:p>
            <w:r>
              <w:rPr>
                <w:b/>
                <w:color w:val="1F4D78"/>
              </w:rPr>
              <w:t xml:space="preserve">Recommended delivery  </w:t>
            </w:r>
            <w:r>
              <w:t>Two sessions per week for six weeks, or one session per week for a twelve-week academy. Sessions 3–11 are designed for 120 minutes; the capstone uses 180 minutes.</w:t>
            </w:r>
          </w:p>
        </w:tc>
      </w:tr>
    </w:tbl>
    <w:p>
      <w:pPr>
        <w:spacing w:after="0"/>
      </w:pPr>
    </w:p>
    <w:p>
      <w:pPr>
        <w:pStyle w:val="Heading2"/>
      </w:pPr>
      <w:r>
        <w:t>Course-level outcomes</w:t>
      </w:r>
    </w:p>
    <w:p>
      <w:pPr>
        <w:pStyle w:val="ListBullet"/>
        <w:spacing w:after="80" w:line="300" w:lineRule="auto"/>
      </w:pPr>
      <w:r>
        <w:t>Explain why the harness—not the model—is the trust boundary for agentic review.</w:t>
      </w:r>
    </w:p>
    <w:p>
      <w:pPr>
        <w:pStyle w:val="ListBullet"/>
        <w:spacing w:after="80" w:line="300" w:lineRule="auto"/>
      </w:pPr>
      <w:r>
        <w:t>Read the catalog and route work to the correct agent, contract, and consumer.</w:t>
      </w:r>
    </w:p>
    <w:p>
      <w:pPr>
        <w:pStyle w:val="ListBullet"/>
        <w:spacing w:after="80" w:line="300" w:lineRule="auto"/>
      </w:pPr>
      <w:r>
        <w:t>Design stateful workflows with explicit guards, failure paths, and human decision points.</w:t>
      </w:r>
    </w:p>
    <w:p>
      <w:pPr>
        <w:pStyle w:val="ListBullet"/>
        <w:spacing w:after="80" w:line="300" w:lineRule="auto"/>
      </w:pPr>
      <w:r>
        <w:t>Draft role prompts that implement inherited contracts without scope or authority leakage.</w:t>
      </w:r>
    </w:p>
    <w:p>
      <w:pPr>
        <w:pStyle w:val="ListBullet"/>
        <w:spacing w:after="80" w:line="300" w:lineRule="auto"/>
      </w:pPr>
      <w:r>
        <w:t>Test prompts against adversarial cases and evolve them through controlled evidence.</w:t>
      </w:r>
    </w:p>
    <w:p>
      <w:pPr>
        <w:pStyle w:val="ListBullet"/>
        <w:spacing w:after="80" w:line="300" w:lineRule="auto"/>
      </w:pPr>
      <w:r>
        <w:t>Produce reviewed prompt packages for every agent in the catalog.</w:t>
      </w:r>
    </w:p>
    <w:p>
      <w:pPr>
        <w:pStyle w:val="Heading2"/>
      </w:pPr>
      <w:r>
        <w:t>Course map</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val="true"/>
        </w:trPr>
        <w:tc>
          <w:tcPr>
            <w:tcW w:type="dxa" w:w="1584"/>
            <w:tcMar>
              <w:top w:w="80" w:type="dxa"/>
              <w:start w:w="120" w:type="dxa"/>
              <w:bottom w:w="80" w:type="dxa"/>
              <w:end w:w="120" w:type="dxa"/>
            </w:tcMar>
            <w:vAlign w:val="center"/>
            <w:shd w:fill="E8EEF5"/>
          </w:tcPr>
          <w:p>
            <w:r>
              <w:rPr>
                <w:b/>
                <w:color w:val="1F4D78"/>
              </w:rPr>
              <w:t>Phase</w:t>
            </w:r>
          </w:p>
        </w:tc>
        <w:tc>
          <w:tcPr>
            <w:tcW w:type="dxa" w:w="1152"/>
            <w:tcMar>
              <w:top w:w="80" w:type="dxa"/>
              <w:start w:w="120" w:type="dxa"/>
              <w:bottom w:w="80" w:type="dxa"/>
              <w:end w:w="120" w:type="dxa"/>
            </w:tcMar>
            <w:vAlign w:val="center"/>
            <w:shd w:fill="E8EEF5"/>
          </w:tcPr>
          <w:p>
            <w:r>
              <w:rPr>
                <w:b/>
                <w:color w:val="1F4D78"/>
              </w:rPr>
              <w:t>Sessions</w:t>
            </w:r>
          </w:p>
        </w:tc>
        <w:tc>
          <w:tcPr>
            <w:tcW w:type="dxa" w:w="3600"/>
            <w:tcMar>
              <w:top w:w="80" w:type="dxa"/>
              <w:start w:w="120" w:type="dxa"/>
              <w:bottom w:w="80" w:type="dxa"/>
              <w:end w:w="120" w:type="dxa"/>
            </w:tcMar>
            <w:vAlign w:val="center"/>
            <w:shd w:fill="E8EEF5"/>
          </w:tcPr>
          <w:p>
            <w:r>
              <w:rPr>
                <w:b/>
                <w:color w:val="1F4D78"/>
              </w:rPr>
              <w:t>Emphasis</w:t>
            </w:r>
          </w:p>
        </w:tc>
        <w:tc>
          <w:tcPr>
            <w:tcW w:type="dxa" w:w="3024"/>
            <w:tcMar>
              <w:top w:w="80" w:type="dxa"/>
              <w:start w:w="120" w:type="dxa"/>
              <w:bottom w:w="80" w:type="dxa"/>
              <w:end w:w="120" w:type="dxa"/>
            </w:tcMar>
            <w:vAlign w:val="center"/>
            <w:shd w:fill="E8EEF5"/>
          </w:tcPr>
          <w:p>
            <w:r>
              <w:rPr>
                <w:b/>
                <w:color w:val="1F4D78"/>
              </w:rPr>
              <w:t>Learner artifact</w:t>
            </w:r>
          </w:p>
        </w:tc>
      </w:tr>
      <w:tr>
        <w:trPr>
          <w:cantSplit/>
        </w:trPr>
        <w:tc>
          <w:tcPr>
            <w:tcW w:type="dxa" w:w="1584"/>
            <w:tcMar>
              <w:top w:w="80" w:type="dxa"/>
              <w:start w:w="120" w:type="dxa"/>
              <w:bottom w:w="80" w:type="dxa"/>
              <w:end w:w="120" w:type="dxa"/>
            </w:tcMar>
            <w:vAlign w:val="center"/>
          </w:tcPr>
          <w:p>
            <w:r>
              <w:t>Foundations</w:t>
            </w:r>
          </w:p>
        </w:tc>
        <w:tc>
          <w:tcPr>
            <w:tcW w:type="dxa" w:w="1152"/>
            <w:tcMar>
              <w:top w:w="80" w:type="dxa"/>
              <w:start w:w="120" w:type="dxa"/>
              <w:bottom w:w="80" w:type="dxa"/>
              <w:end w:w="120" w:type="dxa"/>
            </w:tcMar>
            <w:vAlign w:val="center"/>
          </w:tcPr>
          <w:p>
            <w:r>
              <w:t>1–3</w:t>
            </w:r>
          </w:p>
        </w:tc>
        <w:tc>
          <w:tcPr>
            <w:tcW w:type="dxa" w:w="3600"/>
            <w:tcMar>
              <w:top w:w="80" w:type="dxa"/>
              <w:start w:w="120" w:type="dxa"/>
              <w:bottom w:w="80" w:type="dxa"/>
              <w:end w:w="120" w:type="dxa"/>
            </w:tcMar>
            <w:vAlign w:val="center"/>
          </w:tcPr>
          <w:p>
            <w:r>
              <w:t>Harness philosophy and evidence</w:t>
            </w:r>
          </w:p>
        </w:tc>
        <w:tc>
          <w:tcPr>
            <w:tcW w:type="dxa" w:w="3024"/>
            <w:tcMar>
              <w:top w:w="80" w:type="dxa"/>
              <w:start w:w="120" w:type="dxa"/>
              <w:bottom w:w="80" w:type="dxa"/>
              <w:end w:w="120" w:type="dxa"/>
            </w:tcMar>
            <w:vAlign w:val="center"/>
          </w:tcPr>
          <w:p>
            <w:r>
              <w:t>Evidence-flow map</w:t>
            </w:r>
          </w:p>
        </w:tc>
      </w:tr>
      <w:tr>
        <w:trPr>
          <w:cantSplit/>
        </w:trPr>
        <w:tc>
          <w:tcPr>
            <w:tcW w:type="dxa" w:w="1584"/>
            <w:tcMar>
              <w:top w:w="80" w:type="dxa"/>
              <w:start w:w="120" w:type="dxa"/>
              <w:bottom w:w="80" w:type="dxa"/>
              <w:end w:w="120" w:type="dxa"/>
            </w:tcMar>
            <w:vAlign w:val="center"/>
          </w:tcPr>
          <w:p>
            <w:r>
              <w:t>Architecture</w:t>
            </w:r>
          </w:p>
        </w:tc>
        <w:tc>
          <w:tcPr>
            <w:tcW w:type="dxa" w:w="1152"/>
            <w:tcMar>
              <w:top w:w="80" w:type="dxa"/>
              <w:start w:w="120" w:type="dxa"/>
              <w:bottom w:w="80" w:type="dxa"/>
              <w:end w:w="120" w:type="dxa"/>
            </w:tcMar>
            <w:vAlign w:val="center"/>
          </w:tcPr>
          <w:p>
            <w:r>
              <w:t>4–7</w:t>
            </w:r>
          </w:p>
        </w:tc>
        <w:tc>
          <w:tcPr>
            <w:tcW w:type="dxa" w:w="3600"/>
            <w:tcMar>
              <w:top w:w="80" w:type="dxa"/>
              <w:start w:w="120" w:type="dxa"/>
              <w:bottom w:w="80" w:type="dxa"/>
              <w:end w:w="120" w:type="dxa"/>
            </w:tcMar>
            <w:vAlign w:val="center"/>
          </w:tcPr>
          <w:p>
            <w:r>
              <w:t>Contracts, identities, states, orchestration</w:t>
            </w:r>
          </w:p>
        </w:tc>
        <w:tc>
          <w:tcPr>
            <w:tcW w:type="dxa" w:w="3024"/>
            <w:tcMar>
              <w:top w:w="80" w:type="dxa"/>
              <w:start w:w="120" w:type="dxa"/>
              <w:bottom w:w="80" w:type="dxa"/>
              <w:end w:w="120" w:type="dxa"/>
            </w:tcMar>
            <w:vAlign w:val="center"/>
          </w:tcPr>
          <w:p>
            <w:r>
              <w:t>Validated workflow design</w:t>
            </w:r>
          </w:p>
        </w:tc>
      </w:tr>
      <w:tr>
        <w:trPr>
          <w:cantSplit/>
        </w:trPr>
        <w:tc>
          <w:tcPr>
            <w:tcW w:type="dxa" w:w="1584"/>
            <w:tcMar>
              <w:top w:w="80" w:type="dxa"/>
              <w:start w:w="120" w:type="dxa"/>
              <w:bottom w:w="80" w:type="dxa"/>
              <w:end w:w="120" w:type="dxa"/>
            </w:tcMar>
            <w:vAlign w:val="center"/>
          </w:tcPr>
          <w:p>
            <w:r>
              <w:t>Prompt engineering</w:t>
            </w:r>
          </w:p>
        </w:tc>
        <w:tc>
          <w:tcPr>
            <w:tcW w:type="dxa" w:w="1152"/>
            <w:tcMar>
              <w:top w:w="80" w:type="dxa"/>
              <w:start w:w="120" w:type="dxa"/>
              <w:bottom w:w="80" w:type="dxa"/>
              <w:end w:w="120" w:type="dxa"/>
            </w:tcMar>
            <w:vAlign w:val="center"/>
          </w:tcPr>
          <w:p>
            <w:r>
              <w:t>8–11</w:t>
            </w:r>
          </w:p>
        </w:tc>
        <w:tc>
          <w:tcPr>
            <w:tcW w:type="dxa" w:w="3600"/>
            <w:tcMar>
              <w:top w:w="80" w:type="dxa"/>
              <w:start w:w="120" w:type="dxa"/>
              <w:bottom w:w="80" w:type="dxa"/>
              <w:end w:w="120" w:type="dxa"/>
            </w:tcMar>
            <w:vAlign w:val="center"/>
          </w:tcPr>
          <w:p>
            <w:r>
              <w:t>Drafting, specialization, red-teaming, evaluation</w:t>
            </w:r>
          </w:p>
        </w:tc>
        <w:tc>
          <w:tcPr>
            <w:tcW w:type="dxa" w:w="3024"/>
            <w:tcMar>
              <w:top w:w="80" w:type="dxa"/>
              <w:start w:w="120" w:type="dxa"/>
              <w:bottom w:w="80" w:type="dxa"/>
              <w:end w:w="120" w:type="dxa"/>
            </w:tcMar>
            <w:vAlign w:val="center"/>
          </w:tcPr>
          <w:p>
            <w:r>
              <w:t>Tested prompt candidate</w:t>
            </w:r>
          </w:p>
        </w:tc>
      </w:tr>
      <w:tr>
        <w:trPr>
          <w:cantSplit/>
        </w:trPr>
        <w:tc>
          <w:tcPr>
            <w:tcW w:type="dxa" w:w="1584"/>
            <w:tcMar>
              <w:top w:w="80" w:type="dxa"/>
              <w:start w:w="120" w:type="dxa"/>
              <w:bottom w:w="80" w:type="dxa"/>
              <w:end w:w="120" w:type="dxa"/>
            </w:tcMar>
            <w:vAlign w:val="center"/>
          </w:tcPr>
          <w:p>
            <w:r>
              <w:t>Capstone</w:t>
            </w:r>
          </w:p>
        </w:tc>
        <w:tc>
          <w:tcPr>
            <w:tcW w:type="dxa" w:w="1152"/>
            <w:tcMar>
              <w:top w:w="80" w:type="dxa"/>
              <w:start w:w="120" w:type="dxa"/>
              <w:bottom w:w="80" w:type="dxa"/>
              <w:end w:w="120" w:type="dxa"/>
            </w:tcMar>
            <w:vAlign w:val="center"/>
          </w:tcPr>
          <w:p>
            <w:r>
              <w:t>12</w:t>
            </w:r>
          </w:p>
        </w:tc>
        <w:tc>
          <w:tcPr>
            <w:tcW w:type="dxa" w:w="3600"/>
            <w:tcMar>
              <w:top w:w="80" w:type="dxa"/>
              <w:start w:w="120" w:type="dxa"/>
              <w:bottom w:w="80" w:type="dxa"/>
              <w:end w:w="120" w:type="dxa"/>
            </w:tcMar>
            <w:vAlign w:val="center"/>
          </w:tcPr>
          <w:p>
            <w:r>
              <w:t>Factory-scale authoring and review</w:t>
            </w:r>
          </w:p>
        </w:tc>
        <w:tc>
          <w:tcPr>
            <w:tcW w:type="dxa" w:w="3024"/>
            <w:tcMar>
              <w:top w:w="80" w:type="dxa"/>
              <w:start w:w="120" w:type="dxa"/>
              <w:bottom w:w="80" w:type="dxa"/>
              <w:end w:w="120" w:type="dxa"/>
            </w:tcMar>
            <w:vAlign w:val="center"/>
          </w:tcPr>
          <w:p>
            <w:r>
              <w:t>Operational prompt package</w:t>
            </w:r>
          </w:p>
        </w:tc>
      </w:tr>
    </w:tbl>
    <w:p>
      <w:r>
        <w:drawing>
          <wp:inline xmlns:a="http://schemas.openxmlformats.org/drawingml/2006/main" xmlns:pic="http://schemas.openxmlformats.org/drawingml/2006/picture">
            <wp:extent cx="5806440" cy="2758059"/>
            <wp:docPr id="1" name="Picture 1"/>
            <wp:cNvGraphicFramePr>
              <a:graphicFrameLocks noChangeAspect="1"/>
            </wp:cNvGraphicFramePr>
            <a:graphic>
              <a:graphicData uri="http://schemas.openxmlformats.org/drawingml/2006/picture">
                <pic:pic>
                  <pic:nvPicPr>
                    <pic:cNvPr id="0" name="harness-flow.png"/>
                    <pic:cNvPicPr/>
                  </pic:nvPicPr>
                  <pic:blipFill>
                    <a:blip r:embed="rId11"/>
                    <a:stretch>
                      <a:fillRect/>
                    </a:stretch>
                  </pic:blipFill>
                  <pic:spPr>
                    <a:xfrm>
                      <a:off x="0" y="0"/>
                      <a:ext cx="5806440" cy="2758059"/>
                    </a:xfrm>
                    <a:prstGeom prst="rect"/>
                  </pic:spPr>
                </pic:pic>
              </a:graphicData>
            </a:graphic>
          </wp:inline>
        </w:drawing>
      </w:r>
    </w:p>
    <w:p>
      <w:pPr>
        <w:jc w:val="center"/>
      </w:pPr>
      <w:r>
        <w:rPr>
          <w:i/>
          <w:sz w:val="18"/>
        </w:rPr>
        <w:t>Figure 1. The harness controls evidence, execution, validation, and routing.</w:t>
      </w:r>
    </w:p>
    <w:p>
      <w:pPr>
        <w:pStyle w:val="Heading2"/>
      </w:pPr>
      <w:r>
        <w:t>Facilitation schema used in every session</w:t>
      </w:r>
    </w:p>
    <w:p>
      <w:pPr>
        <w:numPr>
          <w:ilvl w:val="0"/>
          <w:numId w:val="10"/>
        </w:numPr>
        <w:spacing w:after="80" w:line="300" w:lineRule="auto"/>
      </w:pPr>
      <w:r>
        <w:t>Open with a concrete failure or decision question.</w:t>
      </w:r>
    </w:p>
    <w:p>
      <w:pPr>
        <w:numPr>
          <w:ilvl w:val="0"/>
          <w:numId w:val="10"/>
        </w:numPr>
        <w:spacing w:after="80" w:line="300" w:lineRule="auto"/>
      </w:pPr>
      <w:r>
        <w:t>Teach one mental model and tie it to repository artifacts.</w:t>
      </w:r>
    </w:p>
    <w:p>
      <w:pPr>
        <w:numPr>
          <w:ilvl w:val="0"/>
          <w:numId w:val="10"/>
        </w:numPr>
        <w:spacing w:after="80" w:line="300" w:lineRule="auto"/>
      </w:pPr>
      <w:r>
        <w:t>Walk a worked example using canonical agent and contract language.</w:t>
      </w:r>
    </w:p>
    <w:p>
      <w:pPr>
        <w:numPr>
          <w:ilvl w:val="0"/>
          <w:numId w:val="10"/>
        </w:numPr>
        <w:spacing w:after="80" w:line="300" w:lineRule="auto"/>
      </w:pPr>
      <w:r>
        <w:t>Run a guided lab that creates an inspectable artifact.</w:t>
      </w:r>
    </w:p>
    <w:p>
      <w:pPr>
        <w:numPr>
          <w:ilvl w:val="0"/>
          <w:numId w:val="10"/>
        </w:numPr>
        <w:spacing w:after="80" w:line="300" w:lineRule="auto"/>
      </w:pPr>
      <w:r>
        <w:t>Draft or improve a prompt component.</w:t>
      </w:r>
    </w:p>
    <w:p>
      <w:pPr>
        <w:numPr>
          <w:ilvl w:val="0"/>
          <w:numId w:val="10"/>
        </w:numPr>
        <w:spacing w:after="80" w:line="300" w:lineRule="auto"/>
      </w:pPr>
      <w:r>
        <w:t>Evaluate with a contract-derived exit ticket.</w:t>
      </w:r>
    </w:p>
    <w:p>
      <w:pPr>
        <w:pStyle w:val="Heading2"/>
      </w:pPr>
      <w:r>
        <w:t>Assessment philosophy</w:t>
      </w:r>
    </w:p>
    <w:p>
      <w:r>
        <w:t>Score observable behavior, not eloquence. Learners earn credit when their artifacts are grounded, complete, bounded, reproducible, calibrated, consumer-ready, and explicit about human authority. Every session contributes evidence to the capstone.</w:t>
      </w:r>
    </w:p>
    <w:p>
      <w:pPr>
        <w:spacing w:before="80" w:after="160"/>
      </w:pPr>
      <w:r>
        <w:rPr>
          <w:b/>
          <w:color w:val="1F4D78"/>
        </w:rPr>
        <w:t xml:space="preserve">Repository basis: </w:t>
      </w:r>
      <w:r>
        <w:t>README.md; docs/philosophy.md; agents/agent-registry.md; contracts/contract-catalog.md</w:t>
      </w:r>
    </w:p>
    <w:p>
      <w:r>
        <w:br w:type="page"/>
      </w:r>
    </w:p>
    <w:p>
      <w:pPr>
        <w:pStyle w:val="Heading1"/>
      </w:pPr>
      <w:r>
        <w:t>Session 1: Why a Harness Exists</w:t>
      </w:r>
    </w:p>
    <w:p>
      <w:r>
        <w:rPr>
          <w:b/>
        </w:rPr>
        <w:t xml:space="preserve">Duration: </w:t>
      </w:r>
      <w:r>
        <w:t>90 minutes</w:t>
      </w:r>
      <w:r>
        <w:rPr>
          <w:b/>
        </w:rPr>
        <w:t xml:space="preserve">   |   Driving question: </w:t>
      </w:r>
      <w:r>
        <w:t>Why is a strong model still not a trustworthy review system?</w:t>
      </w:r>
    </w:p>
    <w:p>
      <w:pPr>
        <w:pStyle w:val="Heading2"/>
      </w:pPr>
      <w:r>
        <w:t>Learning outcomes</w:t>
      </w:r>
    </w:p>
    <w:p>
      <w:pPr>
        <w:pStyle w:val="ListBullet"/>
        <w:spacing w:after="80" w:line="300" w:lineRule="auto"/>
      </w:pPr>
      <w:r>
        <w:t>Distinguish an AI model, an agent, a workflow, and a harness.</w:t>
      </w:r>
    </w:p>
    <w:p>
      <w:pPr>
        <w:pStyle w:val="ListBullet"/>
        <w:spacing w:after="80" w:line="300" w:lineRule="auto"/>
      </w:pPr>
      <w:r>
        <w:t>Explain how the harness constrains scope, evidence, outputs, and authority.</w:t>
      </w:r>
    </w:p>
    <w:p>
      <w:pPr>
        <w:pStyle w:val="ListBullet"/>
        <w:spacing w:after="80" w:line="300" w:lineRule="auto"/>
      </w:pPr>
      <w:r>
        <w:t>Trace one review request from evidence intake to human decision.</w:t>
      </w:r>
    </w:p>
    <w:p>
      <w:r>
        <w:drawing>
          <wp:inline xmlns:a="http://schemas.openxmlformats.org/drawingml/2006/main" xmlns:pic="http://schemas.openxmlformats.org/drawingml/2006/picture">
            <wp:extent cx="5806440" cy="2758059"/>
            <wp:docPr id="2" name="Picture 2"/>
            <wp:cNvGraphicFramePr>
              <a:graphicFrameLocks noChangeAspect="1"/>
            </wp:cNvGraphicFramePr>
            <a:graphic>
              <a:graphicData uri="http://schemas.openxmlformats.org/drawingml/2006/picture">
                <pic:pic>
                  <pic:nvPicPr>
                    <pic:cNvPr id="0" name="harness-flow.png"/>
                    <pic:cNvPicPr/>
                  </pic:nvPicPr>
                  <pic:blipFill>
                    <a:blip r:embed="rId11"/>
                    <a:stretch>
                      <a:fillRect/>
                    </a:stretch>
                  </pic:blipFill>
                  <pic:spPr>
                    <a:xfrm>
                      <a:off x="0" y="0"/>
                      <a:ext cx="5806440" cy="2758059"/>
                    </a:xfrm>
                    <a:prstGeom prst="rect"/>
                  </pic:spPr>
                </pic:pic>
              </a:graphicData>
            </a:graphic>
          </wp:inline>
        </w:drawing>
      </w:r>
    </w:p>
    <w:p>
      <w:pPr>
        <w:jc w:val="center"/>
      </w:pPr>
      <w:r>
        <w:rPr>
          <w:i/>
          <w:sz w:val="18"/>
        </w:rPr>
        <w:t>Session visual: Why a Harness Exists.</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Model</w:t>
            </w:r>
          </w:p>
        </w:tc>
        <w:tc>
          <w:tcPr>
            <w:tcW w:type="dxa" w:w="6840"/>
            <w:tcMar>
              <w:top w:w="80" w:type="dxa"/>
              <w:start w:w="120" w:type="dxa"/>
              <w:bottom w:w="80" w:type="dxa"/>
              <w:end w:w="120" w:type="dxa"/>
            </w:tcMar>
            <w:vAlign w:val="center"/>
          </w:tcPr>
          <w:p>
            <w:r>
              <w:t>Generates candidate reasoning and language.</w:t>
            </w:r>
          </w:p>
        </w:tc>
      </w:tr>
      <w:tr>
        <w:trPr>
          <w:cantSplit/>
        </w:trPr>
        <w:tc>
          <w:tcPr>
            <w:tcW w:type="dxa" w:w="2232"/>
            <w:tcMar>
              <w:top w:w="80" w:type="dxa"/>
              <w:start w:w="120" w:type="dxa"/>
              <w:bottom w:w="80" w:type="dxa"/>
              <w:end w:w="120" w:type="dxa"/>
            </w:tcMar>
            <w:vAlign w:val="center"/>
          </w:tcPr>
          <w:p>
            <w:r>
              <w:t>Agent</w:t>
            </w:r>
          </w:p>
        </w:tc>
        <w:tc>
          <w:tcPr>
            <w:tcW w:type="dxa" w:w="6840"/>
            <w:tcMar>
              <w:top w:w="80" w:type="dxa"/>
              <w:start w:w="120" w:type="dxa"/>
              <w:bottom w:w="80" w:type="dxa"/>
              <w:end w:w="120" w:type="dxa"/>
            </w:tcMar>
            <w:vAlign w:val="center"/>
          </w:tcPr>
          <w:p>
            <w:r>
              <w:t>A model operating under a role, contract, tools, and bounded context.</w:t>
            </w:r>
          </w:p>
        </w:tc>
      </w:tr>
      <w:tr>
        <w:trPr>
          <w:cantSplit/>
        </w:trPr>
        <w:tc>
          <w:tcPr>
            <w:tcW w:type="dxa" w:w="2232"/>
            <w:tcMar>
              <w:top w:w="80" w:type="dxa"/>
              <w:start w:w="120" w:type="dxa"/>
              <w:bottom w:w="80" w:type="dxa"/>
              <w:end w:w="120" w:type="dxa"/>
            </w:tcMar>
            <w:vAlign w:val="center"/>
          </w:tcPr>
          <w:p>
            <w:r>
              <w:t>Workflow</w:t>
            </w:r>
          </w:p>
        </w:tc>
        <w:tc>
          <w:tcPr>
            <w:tcW w:type="dxa" w:w="6840"/>
            <w:tcMar>
              <w:top w:w="80" w:type="dxa"/>
              <w:start w:w="120" w:type="dxa"/>
              <w:bottom w:w="80" w:type="dxa"/>
              <w:end w:w="120" w:type="dxa"/>
            </w:tcMar>
            <w:vAlign w:val="center"/>
          </w:tcPr>
          <w:p>
            <w:r>
              <w:t>A sequence of states and transitions among agents and artifacts.</w:t>
            </w:r>
          </w:p>
        </w:tc>
      </w:tr>
      <w:tr>
        <w:trPr>
          <w:cantSplit/>
        </w:trPr>
        <w:tc>
          <w:tcPr>
            <w:tcW w:type="dxa" w:w="2232"/>
            <w:tcMar>
              <w:top w:w="80" w:type="dxa"/>
              <w:start w:w="120" w:type="dxa"/>
              <w:bottom w:w="80" w:type="dxa"/>
              <w:end w:w="120" w:type="dxa"/>
            </w:tcMar>
            <w:vAlign w:val="center"/>
          </w:tcPr>
          <w:p>
            <w:r>
              <w:t>Harness</w:t>
            </w:r>
          </w:p>
        </w:tc>
        <w:tc>
          <w:tcPr>
            <w:tcW w:type="dxa" w:w="6840"/>
            <w:tcMar>
              <w:top w:w="80" w:type="dxa"/>
              <w:start w:w="120" w:type="dxa"/>
              <w:bottom w:w="80" w:type="dxa"/>
              <w:end w:w="120" w:type="dxa"/>
            </w:tcMar>
            <w:vAlign w:val="center"/>
          </w:tcPr>
          <w:p>
            <w:r>
              <w:t>The control plane that schedules, validates, records, and routes the work.</w:t>
            </w:r>
          </w:p>
        </w:tc>
      </w:tr>
    </w:tbl>
    <w:p>
      <w:pPr>
        <w:pStyle w:val="Heading2"/>
      </w:pPr>
      <w:r>
        <w:t>Facilitation run of show</w:t>
      </w:r>
    </w:p>
    <w:p>
      <w:pPr>
        <w:numPr>
          <w:ilvl w:val="0"/>
          <w:numId w:val="11"/>
        </w:numPr>
        <w:spacing w:after="80" w:line="300" w:lineRule="auto"/>
      </w:pPr>
      <w:r>
        <w:t>Hook: compare a clever answer with an auditable review.</w:t>
      </w:r>
    </w:p>
    <w:p>
      <w:pPr>
        <w:numPr>
          <w:ilvl w:val="0"/>
          <w:numId w:val="11"/>
        </w:numPr>
        <w:spacing w:after="80" w:line="300" w:lineRule="auto"/>
      </w:pPr>
      <w:r>
        <w:t>Teach the harness flow.</w:t>
      </w:r>
    </w:p>
    <w:p>
      <w:pPr>
        <w:numPr>
          <w:ilvl w:val="0"/>
          <w:numId w:val="11"/>
        </w:numPr>
        <w:spacing w:after="80" w:line="300" w:lineRule="auto"/>
      </w:pPr>
      <w:r>
        <w:t>Walk a secrets-review example.</w:t>
      </w:r>
    </w:p>
    <w:p>
      <w:pPr>
        <w:numPr>
          <w:ilvl w:val="0"/>
          <w:numId w:val="11"/>
        </w:numPr>
        <w:spacing w:after="80" w:line="300" w:lineRule="auto"/>
      </w:pPr>
      <w:r>
        <w:t>Lab: mark control points.</w:t>
      </w:r>
    </w:p>
    <w:p>
      <w:pPr>
        <w:numPr>
          <w:ilvl w:val="0"/>
          <w:numId w:val="11"/>
        </w:numPr>
        <w:spacing w:after="80" w:line="300" w:lineRule="auto"/>
      </w:pPr>
      <w:r>
        <w:t>Exit ticket.</w:t>
      </w:r>
    </w:p>
    <w:p>
      <w:pPr>
        <w:pStyle w:val="Heading2"/>
      </w:pPr>
      <w:r>
        <w:t>Instructor narrative</w:t>
      </w:r>
    </w:p>
    <w:p>
      <w:r>
        <w:t>Open by asking: “Why is a strong model still not a trustworthy review system?”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Give teams a repository change and an unconstrained review prompt. Ask them to identify every place where the result could become untraceable, over-broad, or falsely authoritative. Teams add one harness control for each failure.</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Rewrite “Review this code” as a bounded request that declares evidence, scope, consumer, output contract, and human decision authority.</w:t>
            </w:r>
          </w:p>
        </w:tc>
      </w:tr>
    </w:tbl>
    <w:p>
      <w:pPr>
        <w:spacing w:after="0"/>
      </w:pPr>
    </w:p>
    <w:p>
      <w:pPr>
        <w:pStyle w:val="Heading2"/>
      </w:pPr>
      <w:r>
        <w:t>Exit ticket and evidence of learning</w:t>
      </w:r>
    </w:p>
    <w:p>
      <w:r>
        <w:t>Learner can name at least four controls provided by the harness and explain why the model alone cannot provide them.</w:t>
      </w:r>
    </w:p>
    <w:p>
      <w:pPr>
        <w:pStyle w:val="Heading2"/>
      </w:pPr>
      <w:r>
        <w:t>Watch for these misconceptions</w:t>
      </w:r>
    </w:p>
    <w:p>
      <w:pPr>
        <w:pStyle w:val="ListBullet"/>
        <w:spacing w:after="80" w:line="300" w:lineRule="auto"/>
      </w:pPr>
      <w:r>
        <w:t>A harness is only a prompt wrapper.</w:t>
      </w:r>
    </w:p>
    <w:p>
      <w:pPr>
        <w:pStyle w:val="ListBullet"/>
        <w:spacing w:after="80" w:line="300" w:lineRule="auto"/>
      </w:pPr>
      <w:r>
        <w:t>More autonomous agents always mean better review.</w:t>
      </w:r>
    </w:p>
    <w:p>
      <w:pPr>
        <w:pStyle w:val="ListBullet"/>
        <w:spacing w:after="80" w:line="300" w:lineRule="auto"/>
      </w:pPr>
      <w:r>
        <w:t>A fluent result is equivalent to a validated artifact.</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docs/philosophy.md; orchestration/workflow-model.md; contracts/universal-agent-contract.md</w:t>
      </w:r>
    </w:p>
    <w:p>
      <w:r>
        <w:br w:type="page"/>
      </w:r>
    </w:p>
    <w:p>
      <w:pPr>
        <w:pStyle w:val="Heading1"/>
      </w:pPr>
      <w:r>
        <w:t>Session 2: Philosophy: Evidence First, Humans Decide</w:t>
      </w:r>
    </w:p>
    <w:p>
      <w:r>
        <w:rPr>
          <w:b/>
        </w:rPr>
        <w:t xml:space="preserve">Duration: </w:t>
      </w:r>
      <w:r>
        <w:t>90 minutes</w:t>
      </w:r>
      <w:r>
        <w:rPr>
          <w:b/>
        </w:rPr>
        <w:t xml:space="preserve">   |   Driving question: </w:t>
      </w:r>
      <w:r>
        <w:t>What should an agent be allowed to claim?</w:t>
      </w:r>
    </w:p>
    <w:p>
      <w:pPr>
        <w:pStyle w:val="Heading2"/>
      </w:pPr>
      <w:r>
        <w:t>Learning outcomes</w:t>
      </w:r>
    </w:p>
    <w:p>
      <w:pPr>
        <w:pStyle w:val="ListBullet"/>
        <w:spacing w:after="80" w:line="300" w:lineRule="auto"/>
      </w:pPr>
      <w:r>
        <w:t>Apply the evidence-first and human-authority principles.</w:t>
      </w:r>
    </w:p>
    <w:p>
      <w:pPr>
        <w:pStyle w:val="ListBullet"/>
        <w:spacing w:after="80" w:line="300" w:lineRule="auto"/>
      </w:pPr>
      <w:r>
        <w:t>Separate observation, assessment, recommendation, and decision.</w:t>
      </w:r>
    </w:p>
    <w:p>
      <w:pPr>
        <w:pStyle w:val="ListBullet"/>
        <w:spacing w:after="80" w:line="300" w:lineRule="auto"/>
      </w:pPr>
      <w:r>
        <w:t>Recognize persuasive language that exceeds the evidence.</w:t>
      </w:r>
    </w:p>
    <w:p>
      <w:r>
        <w:drawing>
          <wp:inline xmlns:a="http://schemas.openxmlformats.org/drawingml/2006/main" xmlns:pic="http://schemas.openxmlformats.org/drawingml/2006/picture">
            <wp:extent cx="5806440" cy="2758059"/>
            <wp:docPr id="3" name="Picture 3"/>
            <wp:cNvGraphicFramePr>
              <a:graphicFrameLocks noChangeAspect="1"/>
            </wp:cNvGraphicFramePr>
            <a:graphic>
              <a:graphicData uri="http://schemas.openxmlformats.org/drawingml/2006/picture">
                <pic:pic>
                  <pic:nvPicPr>
                    <pic:cNvPr id="0" name="harness-flow.png"/>
                    <pic:cNvPicPr/>
                  </pic:nvPicPr>
                  <pic:blipFill>
                    <a:blip r:embed="rId11"/>
                    <a:stretch>
                      <a:fillRect/>
                    </a:stretch>
                  </pic:blipFill>
                  <pic:spPr>
                    <a:xfrm>
                      <a:off x="0" y="0"/>
                      <a:ext cx="5806440" cy="2758059"/>
                    </a:xfrm>
                    <a:prstGeom prst="rect"/>
                  </pic:spPr>
                </pic:pic>
              </a:graphicData>
            </a:graphic>
          </wp:inline>
        </w:drawing>
      </w:r>
    </w:p>
    <w:p>
      <w:pPr>
        <w:jc w:val="center"/>
      </w:pPr>
      <w:r>
        <w:rPr>
          <w:i/>
          <w:sz w:val="18"/>
        </w:rPr>
        <w:t>Session visual: Philosophy: Evidence First, Humans Decide.</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Evidence</w:t>
            </w:r>
          </w:p>
        </w:tc>
        <w:tc>
          <w:tcPr>
            <w:tcW w:type="dxa" w:w="6840"/>
            <w:tcMar>
              <w:top w:w="80" w:type="dxa"/>
              <w:start w:w="120" w:type="dxa"/>
              <w:bottom w:w="80" w:type="dxa"/>
              <w:end w:w="120" w:type="dxa"/>
            </w:tcMar>
            <w:vAlign w:val="center"/>
          </w:tcPr>
          <w:p>
            <w:r>
              <w:t>An immutable observable source with provenance.</w:t>
            </w:r>
          </w:p>
        </w:tc>
      </w:tr>
      <w:tr>
        <w:trPr>
          <w:cantSplit/>
        </w:trPr>
        <w:tc>
          <w:tcPr>
            <w:tcW w:type="dxa" w:w="2232"/>
            <w:tcMar>
              <w:top w:w="80" w:type="dxa"/>
              <w:start w:w="120" w:type="dxa"/>
              <w:bottom w:w="80" w:type="dxa"/>
              <w:end w:w="120" w:type="dxa"/>
            </w:tcMar>
            <w:vAlign w:val="center"/>
          </w:tcPr>
          <w:p>
            <w:r>
              <w:t>Assessment</w:t>
            </w:r>
          </w:p>
        </w:tc>
        <w:tc>
          <w:tcPr>
            <w:tcW w:type="dxa" w:w="6840"/>
            <w:tcMar>
              <w:top w:w="80" w:type="dxa"/>
              <w:start w:w="120" w:type="dxa"/>
              <w:bottom w:w="80" w:type="dxa"/>
              <w:end w:w="120" w:type="dxa"/>
            </w:tcMar>
            <w:vAlign w:val="center"/>
          </w:tcPr>
          <w:p>
            <w:r>
              <w:t>A bounded interpretation under declared criteria.</w:t>
            </w:r>
          </w:p>
        </w:tc>
      </w:tr>
      <w:tr>
        <w:trPr>
          <w:cantSplit/>
        </w:trPr>
        <w:tc>
          <w:tcPr>
            <w:tcW w:type="dxa" w:w="2232"/>
            <w:tcMar>
              <w:top w:w="80" w:type="dxa"/>
              <w:start w:w="120" w:type="dxa"/>
              <w:bottom w:w="80" w:type="dxa"/>
              <w:end w:w="120" w:type="dxa"/>
            </w:tcMar>
            <w:vAlign w:val="center"/>
          </w:tcPr>
          <w:p>
            <w:r>
              <w:t>Recommendation</w:t>
            </w:r>
          </w:p>
        </w:tc>
        <w:tc>
          <w:tcPr>
            <w:tcW w:type="dxa" w:w="6840"/>
            <w:tcMar>
              <w:top w:w="80" w:type="dxa"/>
              <w:start w:w="120" w:type="dxa"/>
              <w:bottom w:w="80" w:type="dxa"/>
              <w:end w:w="120" w:type="dxa"/>
            </w:tcMar>
            <w:vAlign w:val="center"/>
          </w:tcPr>
          <w:p>
            <w:r>
              <w:t>An option for a human authority to consider.</w:t>
            </w:r>
          </w:p>
        </w:tc>
      </w:tr>
      <w:tr>
        <w:trPr>
          <w:cantSplit/>
        </w:trPr>
        <w:tc>
          <w:tcPr>
            <w:tcW w:type="dxa" w:w="2232"/>
            <w:tcMar>
              <w:top w:w="80" w:type="dxa"/>
              <w:start w:w="120" w:type="dxa"/>
              <w:bottom w:w="80" w:type="dxa"/>
              <w:end w:w="120" w:type="dxa"/>
            </w:tcMar>
            <w:vAlign w:val="center"/>
          </w:tcPr>
          <w:p>
            <w:r>
              <w:t>Decision</w:t>
            </w:r>
          </w:p>
        </w:tc>
        <w:tc>
          <w:tcPr>
            <w:tcW w:type="dxa" w:w="6840"/>
            <w:tcMar>
              <w:top w:w="80" w:type="dxa"/>
              <w:start w:w="120" w:type="dxa"/>
              <w:bottom w:w="80" w:type="dxa"/>
              <w:end w:w="120" w:type="dxa"/>
            </w:tcMar>
            <w:vAlign w:val="center"/>
          </w:tcPr>
          <w:p>
            <w:r>
              <w:t>A human-owned act that changes acceptance, priority, or risk posture.</w:t>
            </w:r>
          </w:p>
        </w:tc>
      </w:tr>
    </w:tbl>
    <w:p>
      <w:pPr>
        <w:pStyle w:val="Heading2"/>
      </w:pPr>
      <w:r>
        <w:t>Facilitation run of show</w:t>
      </w:r>
    </w:p>
    <w:p>
      <w:pPr>
        <w:numPr>
          <w:ilvl w:val="0"/>
          <w:numId w:val="12"/>
        </w:numPr>
        <w:spacing w:after="80" w:line="300" w:lineRule="auto"/>
      </w:pPr>
      <w:r>
        <w:t>Read the philosophy.</w:t>
      </w:r>
    </w:p>
    <w:p>
      <w:pPr>
        <w:numPr>
          <w:ilvl w:val="0"/>
          <w:numId w:val="12"/>
        </w:numPr>
        <w:spacing w:after="80" w:line="300" w:lineRule="auto"/>
      </w:pPr>
      <w:r>
        <w:t>Sort statements by epistemic type.</w:t>
      </w:r>
    </w:p>
    <w:p>
      <w:pPr>
        <w:numPr>
          <w:ilvl w:val="0"/>
          <w:numId w:val="12"/>
        </w:numPr>
        <w:spacing w:after="80" w:line="300" w:lineRule="auto"/>
      </w:pPr>
      <w:r>
        <w:t>Red-team overclaiming.</w:t>
      </w:r>
    </w:p>
    <w:p>
      <w:pPr>
        <w:numPr>
          <w:ilvl w:val="0"/>
          <w:numId w:val="12"/>
        </w:numPr>
        <w:spacing w:after="80" w:line="300" w:lineRule="auto"/>
      </w:pPr>
      <w:r>
        <w:t>Rewrite with calibrated authority.</w:t>
      </w:r>
    </w:p>
    <w:p>
      <w:pPr>
        <w:numPr>
          <w:ilvl w:val="0"/>
          <w:numId w:val="12"/>
        </w:numPr>
        <w:spacing w:after="80" w:line="300" w:lineRule="auto"/>
      </w:pPr>
      <w:r>
        <w:t>Debrief.</w:t>
      </w:r>
    </w:p>
    <w:p>
      <w:pPr>
        <w:pStyle w:val="Heading2"/>
      </w:pPr>
      <w:r>
        <w:t>Instructor narrative</w:t>
      </w:r>
    </w:p>
    <w:p>
      <w:r>
        <w:t>Open by asking: “What should an agent be allowed to claim?”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Teams classify ten statements as evidence, assessment, recommendation, or decision. They must defend each classification and identify the evidence needed to strengthen weak statements.</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Add authority language that forces the agent to request decisions instead of granting approvals, accepting risk, or declaring compliance.</w:t>
            </w:r>
          </w:p>
        </w:tc>
      </w:tr>
    </w:tbl>
    <w:p>
      <w:pPr>
        <w:spacing w:after="0"/>
      </w:pPr>
    </w:p>
    <w:p>
      <w:pPr>
        <w:pStyle w:val="Heading2"/>
      </w:pPr>
      <w:r>
        <w:t>Exit ticket and evidence of learning</w:t>
      </w:r>
    </w:p>
    <w:p>
      <w:r>
        <w:t>Learner rewrites an overconfident conclusion into an evidence-linked assessment with a human decision request.</w:t>
      </w:r>
    </w:p>
    <w:p>
      <w:pPr>
        <w:pStyle w:val="Heading2"/>
      </w:pPr>
      <w:r>
        <w:t>Watch for these misconceptions</w:t>
      </w:r>
    </w:p>
    <w:p>
      <w:pPr>
        <w:pStyle w:val="ListBullet"/>
        <w:spacing w:after="80" w:line="300" w:lineRule="auto"/>
      </w:pPr>
      <w:r>
        <w:t>Human-in-the-loop means a person merely clicks approve.</w:t>
      </w:r>
    </w:p>
    <w:p>
      <w:pPr>
        <w:pStyle w:val="ListBullet"/>
        <w:spacing w:after="80" w:line="300" w:lineRule="auto"/>
      </w:pPr>
      <w:r>
        <w:t>Confidence is a substitute for evidence.</w:t>
      </w:r>
    </w:p>
    <w:p>
      <w:pPr>
        <w:pStyle w:val="ListBullet"/>
        <w:spacing w:after="80" w:line="300" w:lineRule="auto"/>
      </w:pPr>
      <w:r>
        <w:t>A recommendation may silently become a decision.</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docs/philosophy.md; governance/human-review-and-maturity.md; contracts/evidence-contract.md</w:t>
      </w:r>
    </w:p>
    <w:p>
      <w:r>
        <w:br w:type="page"/>
      </w:r>
    </w:p>
    <w:p>
      <w:pPr>
        <w:pStyle w:val="Heading1"/>
      </w:pPr>
      <w:r>
        <w:t>Session 3: Evidence, Provenance, and Traceability</w:t>
      </w:r>
    </w:p>
    <w:p>
      <w:r>
        <w:rPr>
          <w:b/>
        </w:rPr>
        <w:t xml:space="preserve">Duration: </w:t>
      </w:r>
      <w:r>
        <w:t>120 minutes</w:t>
      </w:r>
      <w:r>
        <w:rPr>
          <w:b/>
        </w:rPr>
        <w:t xml:space="preserve">   |   Driving question: </w:t>
      </w:r>
      <w:r>
        <w:t>Can another engineer reproduce why this finding exists?</w:t>
      </w:r>
    </w:p>
    <w:p>
      <w:pPr>
        <w:pStyle w:val="Heading2"/>
      </w:pPr>
      <w:r>
        <w:t>Learning outcomes</w:t>
      </w:r>
    </w:p>
    <w:p>
      <w:pPr>
        <w:pStyle w:val="ListBullet"/>
        <w:spacing w:after="80" w:line="300" w:lineRule="auto"/>
      </w:pPr>
      <w:r>
        <w:t>Build an evidence chain from source to finding to decision request.</w:t>
      </w:r>
    </w:p>
    <w:p>
      <w:pPr>
        <w:pStyle w:val="ListBullet"/>
        <w:spacing w:after="80" w:line="300" w:lineRule="auto"/>
      </w:pPr>
      <w:r>
        <w:t>Use stable identifiers, provenance, coverage, and confidence correctly.</w:t>
      </w:r>
    </w:p>
    <w:p>
      <w:pPr>
        <w:pStyle w:val="ListBullet"/>
        <w:spacing w:after="80" w:line="300" w:lineRule="auto"/>
      </w:pPr>
      <w:r>
        <w:t>Identify missing, stale, conflicting, or inadmissible evidence.</w:t>
      </w:r>
    </w:p>
    <w:p>
      <w:r>
        <w:drawing>
          <wp:inline xmlns:a="http://schemas.openxmlformats.org/drawingml/2006/main" xmlns:pic="http://schemas.openxmlformats.org/drawingml/2006/picture">
            <wp:extent cx="5806440" cy="3483864"/>
            <wp:docPr id="4" name="Picture 4"/>
            <wp:cNvGraphicFramePr>
              <a:graphicFrameLocks noChangeAspect="1"/>
            </wp:cNvGraphicFramePr>
            <a:graphic>
              <a:graphicData uri="http://schemas.openxmlformats.org/drawingml/2006/picture">
                <pic:pic>
                  <pic:nvPicPr>
                    <pic:cNvPr id="0" name="contract-stack.png"/>
                    <pic:cNvPicPr/>
                  </pic:nvPicPr>
                  <pic:blipFill>
                    <a:blip r:embed="rId12"/>
                    <a:stretch>
                      <a:fillRect/>
                    </a:stretch>
                  </pic:blipFill>
                  <pic:spPr>
                    <a:xfrm>
                      <a:off x="0" y="0"/>
                      <a:ext cx="5806440" cy="3483864"/>
                    </a:xfrm>
                    <a:prstGeom prst="rect"/>
                  </pic:spPr>
                </pic:pic>
              </a:graphicData>
            </a:graphic>
          </wp:inline>
        </w:drawing>
      </w:r>
    </w:p>
    <w:p>
      <w:pPr>
        <w:jc w:val="center"/>
      </w:pPr>
      <w:r>
        <w:rPr>
          <w:i/>
          <w:sz w:val="18"/>
        </w:rPr>
        <w:t>Session visual: Evidence, Provenance, and Traceability.</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Provenance</w:t>
            </w:r>
          </w:p>
        </w:tc>
        <w:tc>
          <w:tcPr>
            <w:tcW w:type="dxa" w:w="6840"/>
            <w:tcMar>
              <w:top w:w="80" w:type="dxa"/>
              <w:start w:w="120" w:type="dxa"/>
              <w:bottom w:w="80" w:type="dxa"/>
              <w:end w:w="120" w:type="dxa"/>
            </w:tcMar>
            <w:vAlign w:val="center"/>
          </w:tcPr>
          <w:p>
            <w:r>
              <w:t>Where the artifact came from and how it was obtained.</w:t>
            </w:r>
          </w:p>
        </w:tc>
      </w:tr>
      <w:tr>
        <w:trPr>
          <w:cantSplit/>
        </w:trPr>
        <w:tc>
          <w:tcPr>
            <w:tcW w:type="dxa" w:w="2232"/>
            <w:tcMar>
              <w:top w:w="80" w:type="dxa"/>
              <w:start w:w="120" w:type="dxa"/>
              <w:bottom w:w="80" w:type="dxa"/>
              <w:end w:w="120" w:type="dxa"/>
            </w:tcMar>
            <w:vAlign w:val="center"/>
          </w:tcPr>
          <w:p>
            <w:r>
              <w:t>Coverage</w:t>
            </w:r>
          </w:p>
        </w:tc>
        <w:tc>
          <w:tcPr>
            <w:tcW w:type="dxa" w:w="6840"/>
            <w:tcMar>
              <w:top w:w="80" w:type="dxa"/>
              <w:start w:w="120" w:type="dxa"/>
              <w:bottom w:w="80" w:type="dxa"/>
              <w:end w:w="120" w:type="dxa"/>
            </w:tcMar>
            <w:vAlign w:val="center"/>
          </w:tcPr>
          <w:p>
            <w:r>
              <w:t>What was inspected, what was not, and why.</w:t>
            </w:r>
          </w:p>
        </w:tc>
      </w:tr>
      <w:tr>
        <w:trPr>
          <w:cantSplit/>
        </w:trPr>
        <w:tc>
          <w:tcPr>
            <w:tcW w:type="dxa" w:w="2232"/>
            <w:tcMar>
              <w:top w:w="80" w:type="dxa"/>
              <w:start w:w="120" w:type="dxa"/>
              <w:bottom w:w="80" w:type="dxa"/>
              <w:end w:w="120" w:type="dxa"/>
            </w:tcMar>
            <w:vAlign w:val="center"/>
          </w:tcPr>
          <w:p>
            <w:r>
              <w:t>Traceability</w:t>
            </w:r>
          </w:p>
        </w:tc>
        <w:tc>
          <w:tcPr>
            <w:tcW w:type="dxa" w:w="6840"/>
            <w:tcMar>
              <w:top w:w="80" w:type="dxa"/>
              <w:start w:w="120" w:type="dxa"/>
              <w:bottom w:w="80" w:type="dxa"/>
              <w:end w:w="120" w:type="dxa"/>
            </w:tcMar>
            <w:vAlign w:val="center"/>
          </w:tcPr>
          <w:p>
            <w:r>
              <w:t>Stable links among inputs, reasoning products, and consumers.</w:t>
            </w:r>
          </w:p>
        </w:tc>
      </w:tr>
      <w:tr>
        <w:trPr>
          <w:cantSplit/>
        </w:trPr>
        <w:tc>
          <w:tcPr>
            <w:tcW w:type="dxa" w:w="2232"/>
            <w:tcMar>
              <w:top w:w="80" w:type="dxa"/>
              <w:start w:w="120" w:type="dxa"/>
              <w:bottom w:w="80" w:type="dxa"/>
              <w:end w:w="120" w:type="dxa"/>
            </w:tcMar>
            <w:vAlign w:val="center"/>
          </w:tcPr>
          <w:p>
            <w:r>
              <w:t>Confidence</w:t>
            </w:r>
          </w:p>
        </w:tc>
        <w:tc>
          <w:tcPr>
            <w:tcW w:type="dxa" w:w="6840"/>
            <w:tcMar>
              <w:top w:w="80" w:type="dxa"/>
              <w:start w:w="120" w:type="dxa"/>
              <w:bottom w:w="80" w:type="dxa"/>
              <w:end w:w="120" w:type="dxa"/>
            </w:tcMar>
            <w:vAlign w:val="center"/>
          </w:tcPr>
          <w:p>
            <w:r>
              <w:t>Calibrated support for a claim—not certainty theater.</w:t>
            </w:r>
          </w:p>
        </w:tc>
      </w:tr>
    </w:tbl>
    <w:p>
      <w:pPr>
        <w:pStyle w:val="Heading2"/>
      </w:pPr>
      <w:r>
        <w:t>Facilitation run of show</w:t>
      </w:r>
    </w:p>
    <w:p>
      <w:pPr>
        <w:numPr>
          <w:ilvl w:val="0"/>
          <w:numId w:val="13"/>
        </w:numPr>
        <w:spacing w:after="80" w:line="300" w:lineRule="auto"/>
      </w:pPr>
      <w:r>
        <w:t>Evidence contract.</w:t>
      </w:r>
    </w:p>
    <w:p>
      <w:pPr>
        <w:numPr>
          <w:ilvl w:val="0"/>
          <w:numId w:val="13"/>
        </w:numPr>
        <w:spacing w:after="80" w:line="300" w:lineRule="auto"/>
      </w:pPr>
      <w:r>
        <w:t>Traceability graph.</w:t>
      </w:r>
    </w:p>
    <w:p>
      <w:pPr>
        <w:numPr>
          <w:ilvl w:val="0"/>
          <w:numId w:val="13"/>
        </w:numPr>
        <w:spacing w:after="80" w:line="300" w:lineRule="auto"/>
      </w:pPr>
      <w:r>
        <w:t>Coverage exercise.</w:t>
      </w:r>
    </w:p>
    <w:p>
      <w:pPr>
        <w:numPr>
          <w:ilvl w:val="0"/>
          <w:numId w:val="13"/>
        </w:numPr>
        <w:spacing w:after="80" w:line="300" w:lineRule="auto"/>
      </w:pPr>
      <w:r>
        <w:t>Conflict handling.</w:t>
      </w:r>
    </w:p>
    <w:p>
      <w:pPr>
        <w:numPr>
          <w:ilvl w:val="0"/>
          <w:numId w:val="13"/>
        </w:numPr>
        <w:spacing w:after="80" w:line="300" w:lineRule="auto"/>
      </w:pPr>
      <w:r>
        <w:t>Mini-review.</w:t>
      </w:r>
    </w:p>
    <w:p>
      <w:pPr>
        <w:pStyle w:val="Heading2"/>
      </w:pPr>
      <w:r>
        <w:t>Instructor narrative</w:t>
      </w:r>
    </w:p>
    <w:p>
      <w:r>
        <w:t>Open by asking: “Can another engineer reproduce why this finding exists?”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Build a traceability chain for a vulnerable dependency: lockfile line → evidence item → finding → CAPA → consumer → decision request. Then remove one link and explain the failure.</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Write evidence admission rules and citation requirements that prevent unsupported findings and require explicit incomplete-input behavior.</w:t>
            </w:r>
          </w:p>
        </w:tc>
      </w:tr>
    </w:tbl>
    <w:p>
      <w:pPr>
        <w:spacing w:after="0"/>
      </w:pPr>
    </w:p>
    <w:p>
      <w:pPr>
        <w:pStyle w:val="Heading2"/>
      </w:pPr>
      <w:r>
        <w:t>Exit ticket and evidence of learning</w:t>
      </w:r>
    </w:p>
    <w:p>
      <w:r>
        <w:t>Learner produces a complete, reproducible evidence chain and names any coverage limits.</w:t>
      </w:r>
    </w:p>
    <w:p>
      <w:pPr>
        <w:pStyle w:val="Heading2"/>
      </w:pPr>
      <w:r>
        <w:t>Watch for these misconceptions</w:t>
      </w:r>
    </w:p>
    <w:p>
      <w:pPr>
        <w:pStyle w:val="ListBullet"/>
        <w:spacing w:after="80" w:line="300" w:lineRule="auto"/>
      </w:pPr>
      <w:r>
        <w:t>A URL alone is provenance.</w:t>
      </w:r>
    </w:p>
    <w:p>
      <w:pPr>
        <w:pStyle w:val="ListBullet"/>
        <w:spacing w:after="80" w:line="300" w:lineRule="auto"/>
      </w:pPr>
      <w:r>
        <w:t>High confidence repairs missing evidence.</w:t>
      </w:r>
    </w:p>
    <w:p>
      <w:pPr>
        <w:pStyle w:val="ListBullet"/>
        <w:spacing w:after="80" w:line="300" w:lineRule="auto"/>
      </w:pPr>
      <w:r>
        <w:t>Coverage can be inferred from the length of a report.</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contracts/evidence-contract.md; contracts/evidence-flow-model.md; contracts/universal-agent-contract.md</w:t>
      </w:r>
    </w:p>
    <w:p>
      <w:r>
        <w:br w:type="page"/>
      </w:r>
    </w:p>
    <w:p>
      <w:pPr>
        <w:pStyle w:val="Heading1"/>
      </w:pPr>
      <w:r>
        <w:t>Session 4: How Contracts Work</w:t>
      </w:r>
    </w:p>
    <w:p>
      <w:r>
        <w:rPr>
          <w:b/>
        </w:rPr>
        <w:t xml:space="preserve">Duration: </w:t>
      </w:r>
      <w:r>
        <w:t>120 minutes</w:t>
      </w:r>
      <w:r>
        <w:rPr>
          <w:b/>
        </w:rPr>
        <w:t xml:space="preserve">   |   Driving question: </w:t>
      </w:r>
      <w:r>
        <w:t>How do independent agents exchange trustworthy artifacts?</w:t>
      </w:r>
    </w:p>
    <w:p>
      <w:pPr>
        <w:pStyle w:val="Heading2"/>
      </w:pPr>
      <w:r>
        <w:t>Learning outcomes</w:t>
      </w:r>
    </w:p>
    <w:p>
      <w:pPr>
        <w:pStyle w:val="ListBullet"/>
        <w:spacing w:after="80" w:line="300" w:lineRule="auto"/>
      </w:pPr>
      <w:r>
        <w:t>Explain contract inheritance and additive extension.</w:t>
      </w:r>
    </w:p>
    <w:p>
      <w:pPr>
        <w:pStyle w:val="ListBullet"/>
        <w:spacing w:after="80" w:line="300" w:lineRule="auto"/>
      </w:pPr>
      <w:r>
        <w:t>Map producers and consumers across contract classes.</w:t>
      </w:r>
    </w:p>
    <w:p>
      <w:pPr>
        <w:pStyle w:val="ListBullet"/>
        <w:spacing w:after="80" w:line="300" w:lineRule="auto"/>
      </w:pPr>
      <w:r>
        <w:t>Validate a sample artifact against the universal envelope.</w:t>
      </w:r>
    </w:p>
    <w:p>
      <w:r>
        <w:drawing>
          <wp:inline xmlns:a="http://schemas.openxmlformats.org/drawingml/2006/main" xmlns:pic="http://schemas.openxmlformats.org/drawingml/2006/picture">
            <wp:extent cx="5806440" cy="3483864"/>
            <wp:docPr id="5" name="Picture 5"/>
            <wp:cNvGraphicFramePr>
              <a:graphicFrameLocks noChangeAspect="1"/>
            </wp:cNvGraphicFramePr>
            <a:graphic>
              <a:graphicData uri="http://schemas.openxmlformats.org/drawingml/2006/picture">
                <pic:pic>
                  <pic:nvPicPr>
                    <pic:cNvPr id="0" name="contract-stack.png"/>
                    <pic:cNvPicPr/>
                  </pic:nvPicPr>
                  <pic:blipFill>
                    <a:blip r:embed="rId12"/>
                    <a:stretch>
                      <a:fillRect/>
                    </a:stretch>
                  </pic:blipFill>
                  <pic:spPr>
                    <a:xfrm>
                      <a:off x="0" y="0"/>
                      <a:ext cx="5806440" cy="3483864"/>
                    </a:xfrm>
                    <a:prstGeom prst="rect"/>
                  </pic:spPr>
                </pic:pic>
              </a:graphicData>
            </a:graphic>
          </wp:inline>
        </w:drawing>
      </w:r>
    </w:p>
    <w:p>
      <w:pPr>
        <w:jc w:val="center"/>
      </w:pPr>
      <w:r>
        <w:rPr>
          <w:i/>
          <w:sz w:val="18"/>
        </w:rPr>
        <w:t>Session visual: How Contracts Work.</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Universal contract</w:t>
            </w:r>
          </w:p>
        </w:tc>
        <w:tc>
          <w:tcPr>
            <w:tcW w:type="dxa" w:w="6840"/>
            <w:tcMar>
              <w:top w:w="80" w:type="dxa"/>
              <w:start w:w="120" w:type="dxa"/>
              <w:bottom w:w="80" w:type="dxa"/>
              <w:end w:w="120" w:type="dxa"/>
            </w:tcMar>
            <w:vAlign w:val="center"/>
          </w:tcPr>
          <w:p>
            <w:r>
              <w:t>Identity, artifact, execution, scope, provenance, confidence, authority, and integrity.</w:t>
            </w:r>
          </w:p>
        </w:tc>
      </w:tr>
      <w:tr>
        <w:trPr>
          <w:cantSplit/>
        </w:trPr>
        <w:tc>
          <w:tcPr>
            <w:tcW w:type="dxa" w:w="2232"/>
            <w:tcMar>
              <w:top w:w="80" w:type="dxa"/>
              <w:start w:w="120" w:type="dxa"/>
              <w:bottom w:w="80" w:type="dxa"/>
              <w:end w:w="120" w:type="dxa"/>
            </w:tcMar>
            <w:vAlign w:val="center"/>
          </w:tcPr>
          <w:p>
            <w:r>
              <w:t>Layer contract</w:t>
            </w:r>
          </w:p>
        </w:tc>
        <w:tc>
          <w:tcPr>
            <w:tcW w:type="dxa" w:w="6840"/>
            <w:tcMar>
              <w:top w:w="80" w:type="dxa"/>
              <w:start w:w="120" w:type="dxa"/>
              <w:bottom w:w="80" w:type="dxa"/>
              <w:end w:w="120" w:type="dxa"/>
            </w:tcMar>
            <w:vAlign w:val="center"/>
          </w:tcPr>
          <w:p>
            <w:r>
              <w:t>Rules shared by specialist, product, capability, enterprise, work, or orchestration roles.</w:t>
            </w:r>
          </w:p>
        </w:tc>
      </w:tr>
      <w:tr>
        <w:trPr>
          <w:cantSplit/>
        </w:trPr>
        <w:tc>
          <w:tcPr>
            <w:tcW w:type="dxa" w:w="2232"/>
            <w:tcMar>
              <w:top w:w="80" w:type="dxa"/>
              <w:start w:w="120" w:type="dxa"/>
              <w:bottom w:w="80" w:type="dxa"/>
              <w:end w:w="120" w:type="dxa"/>
            </w:tcMar>
            <w:vAlign w:val="center"/>
          </w:tcPr>
          <w:p>
            <w:r>
              <w:t>Artifact contract</w:t>
            </w:r>
          </w:p>
        </w:tc>
        <w:tc>
          <w:tcPr>
            <w:tcW w:type="dxa" w:w="6840"/>
            <w:tcMar>
              <w:top w:w="80" w:type="dxa"/>
              <w:start w:w="120" w:type="dxa"/>
              <w:bottom w:w="80" w:type="dxa"/>
              <w:end w:w="120" w:type="dxa"/>
            </w:tcMar>
            <w:vAlign w:val="center"/>
          </w:tcPr>
          <w:p>
            <w:r>
              <w:t>Schema and semantics for evidence, findings/CAPA, patterns, and insights.</w:t>
            </w:r>
          </w:p>
        </w:tc>
      </w:tr>
      <w:tr>
        <w:trPr>
          <w:cantSplit/>
        </w:trPr>
        <w:tc>
          <w:tcPr>
            <w:tcW w:type="dxa" w:w="2232"/>
            <w:tcMar>
              <w:top w:w="80" w:type="dxa"/>
              <w:start w:w="120" w:type="dxa"/>
              <w:bottom w:w="80" w:type="dxa"/>
              <w:end w:w="120" w:type="dxa"/>
            </w:tcMar>
            <w:vAlign w:val="center"/>
          </w:tcPr>
          <w:p>
            <w:r>
              <w:t>Role specification</w:t>
            </w:r>
          </w:p>
        </w:tc>
        <w:tc>
          <w:tcPr>
            <w:tcW w:type="dxa" w:w="6840"/>
            <w:tcMar>
              <w:top w:w="80" w:type="dxa"/>
              <w:start w:w="120" w:type="dxa"/>
              <w:bottom w:w="80" w:type="dxa"/>
              <w:end w:w="120" w:type="dxa"/>
            </w:tcMar>
            <w:vAlign w:val="center"/>
          </w:tcPr>
          <w:p>
            <w:r>
              <w:t>The authoritative question, scope, method, inputs, outputs, and consumers for one agent.</w:t>
            </w:r>
          </w:p>
        </w:tc>
      </w:tr>
    </w:tbl>
    <w:p>
      <w:pPr>
        <w:pStyle w:val="Heading2"/>
      </w:pPr>
      <w:r>
        <w:t>Facilitation run of show</w:t>
      </w:r>
    </w:p>
    <w:p>
      <w:pPr>
        <w:numPr>
          <w:ilvl w:val="0"/>
          <w:numId w:val="14"/>
        </w:numPr>
        <w:spacing w:after="80" w:line="300" w:lineRule="auto"/>
      </w:pPr>
      <w:r>
        <w:t>Contract stack.</w:t>
      </w:r>
    </w:p>
    <w:p>
      <w:pPr>
        <w:numPr>
          <w:ilvl w:val="0"/>
          <w:numId w:val="14"/>
        </w:numPr>
        <w:spacing w:after="80" w:line="300" w:lineRule="auto"/>
      </w:pPr>
      <w:r>
        <w:t>Envelope field tour.</w:t>
      </w:r>
    </w:p>
    <w:p>
      <w:pPr>
        <w:numPr>
          <w:ilvl w:val="0"/>
          <w:numId w:val="14"/>
        </w:numPr>
        <w:spacing w:after="80" w:line="300" w:lineRule="auto"/>
      </w:pPr>
      <w:r>
        <w:t>Producer/consumer mapping.</w:t>
      </w:r>
    </w:p>
    <w:p>
      <w:pPr>
        <w:numPr>
          <w:ilvl w:val="0"/>
          <w:numId w:val="14"/>
        </w:numPr>
        <w:spacing w:after="80" w:line="300" w:lineRule="auto"/>
      </w:pPr>
      <w:r>
        <w:t>Validation lab.</w:t>
      </w:r>
    </w:p>
    <w:p>
      <w:pPr>
        <w:numPr>
          <w:ilvl w:val="0"/>
          <w:numId w:val="14"/>
        </w:numPr>
        <w:spacing w:after="80" w:line="300" w:lineRule="auto"/>
      </w:pPr>
      <w:r>
        <w:t>Versioning discussion.</w:t>
      </w:r>
    </w:p>
    <w:p>
      <w:pPr>
        <w:pStyle w:val="Heading2"/>
      </w:pPr>
      <w:r>
        <w:t>Instructor narrative</w:t>
      </w:r>
    </w:p>
    <w:p>
      <w:r>
        <w:t>Open by asking: “How do independent agents exchange trustworthy artifacts?”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Validate a deliberately flawed agent output. Mark missing envelope fields, semantic violations, unauthorized decisions, and broken consumer links. Repair it without changing the evidence.</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Translate five universal contract obligations into explicit prompt clauses and corresponding output fields.</w:t>
            </w:r>
          </w:p>
        </w:tc>
      </w:tr>
    </w:tbl>
    <w:p>
      <w:pPr>
        <w:spacing w:after="0"/>
      </w:pPr>
    </w:p>
    <w:p>
      <w:pPr>
        <w:pStyle w:val="Heading2"/>
      </w:pPr>
      <w:r>
        <w:t>Exit ticket and evidence of learning</w:t>
      </w:r>
    </w:p>
    <w:p>
      <w:r>
        <w:t>Learner explains why a role prompt cannot override the universal contract and identifies when a major contract version is required.</w:t>
      </w:r>
    </w:p>
    <w:p>
      <w:pPr>
        <w:pStyle w:val="Heading2"/>
      </w:pPr>
      <w:r>
        <w:t>Watch for these misconceptions</w:t>
      </w:r>
    </w:p>
    <w:p>
      <w:pPr>
        <w:pStyle w:val="ListBullet"/>
        <w:spacing w:after="80" w:line="300" w:lineRule="auto"/>
      </w:pPr>
      <w:r>
        <w:t>A schema alone is a contract.</w:t>
      </w:r>
    </w:p>
    <w:p>
      <w:pPr>
        <w:pStyle w:val="ListBullet"/>
        <w:spacing w:after="80" w:line="300" w:lineRule="auto"/>
      </w:pPr>
      <w:r>
        <w:t>A child contract may remove inconvenient parent rules.</w:t>
      </w:r>
    </w:p>
    <w:p>
      <w:pPr>
        <w:pStyle w:val="ListBullet"/>
        <w:spacing w:after="80" w:line="300" w:lineRule="auto"/>
      </w:pPr>
      <w:r>
        <w:t>Changing field meaning is a harmless minor version.</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contracts/contract-catalog.md; contracts/contract-dependency-graph.md; contracts/style-and-validation.md</w:t>
      </w:r>
    </w:p>
    <w:p>
      <w:r>
        <w:br w:type="page"/>
      </w:r>
    </w:p>
    <w:p>
      <w:pPr>
        <w:pStyle w:val="Heading1"/>
      </w:pPr>
      <w:r>
        <w:t>Session 5: Agent Identity and Architecture Layers</w:t>
      </w:r>
    </w:p>
    <w:p>
      <w:r>
        <w:rPr>
          <w:b/>
        </w:rPr>
        <w:t xml:space="preserve">Duration: </w:t>
      </w:r>
      <w:r>
        <w:t>90 minutes</w:t>
      </w:r>
      <w:r>
        <w:rPr>
          <w:b/>
        </w:rPr>
        <w:t xml:space="preserve">   |   Driving question: </w:t>
      </w:r>
      <w:r>
        <w:t>Which agent should answer which question?</w:t>
      </w:r>
    </w:p>
    <w:p>
      <w:pPr>
        <w:pStyle w:val="Heading2"/>
      </w:pPr>
      <w:r>
        <w:t>Learning outcomes</w:t>
      </w:r>
    </w:p>
    <w:p>
      <w:pPr>
        <w:pStyle w:val="ListBullet"/>
        <w:spacing w:after="80" w:line="300" w:lineRule="auto"/>
      </w:pPr>
      <w:r>
        <w:t>Navigate the 55-agent catalog and its six layers.</w:t>
      </w:r>
    </w:p>
    <w:p>
      <w:pPr>
        <w:pStyle w:val="ListBullet"/>
        <w:spacing w:after="80" w:line="300" w:lineRule="auto"/>
      </w:pPr>
      <w:r>
        <w:t>Use canonical designation, UUID, version, status, and specification.</w:t>
      </w:r>
    </w:p>
    <w:p>
      <w:pPr>
        <w:pStyle w:val="ListBullet"/>
        <w:spacing w:after="80" w:line="300" w:lineRule="auto"/>
      </w:pPr>
      <w:r>
        <w:t>Route a question to the narrowest authoritative agent.</w:t>
      </w:r>
    </w:p>
    <w:p>
      <w:r>
        <w:drawing>
          <wp:inline xmlns:a="http://schemas.openxmlformats.org/drawingml/2006/main" xmlns:pic="http://schemas.openxmlformats.org/drawingml/2006/picture">
            <wp:extent cx="5806440" cy="3338703"/>
            <wp:docPr id="6" name="Picture 6"/>
            <wp:cNvGraphicFramePr>
              <a:graphicFrameLocks noChangeAspect="1"/>
            </wp:cNvGraphicFramePr>
            <a:graphic>
              <a:graphicData uri="http://schemas.openxmlformats.org/drawingml/2006/picture">
                <pic:pic>
                  <pic:nvPicPr>
                    <pic:cNvPr id="0" name="architecture-layers.png"/>
                    <pic:cNvPicPr/>
                  </pic:nvPicPr>
                  <pic:blipFill>
                    <a:blip r:embed="rId13"/>
                    <a:stretch>
                      <a:fillRect/>
                    </a:stretch>
                  </pic:blipFill>
                  <pic:spPr>
                    <a:xfrm>
                      <a:off x="0" y="0"/>
                      <a:ext cx="5806440" cy="3338703"/>
                    </a:xfrm>
                    <a:prstGeom prst="rect"/>
                  </pic:spPr>
                </pic:pic>
              </a:graphicData>
            </a:graphic>
          </wp:inline>
        </w:drawing>
      </w:r>
    </w:p>
    <w:p>
      <w:pPr>
        <w:jc w:val="center"/>
      </w:pPr>
      <w:r>
        <w:rPr>
          <w:i/>
          <w:sz w:val="18"/>
        </w:rPr>
        <w:t>Session visual: Agent Identity and Architecture Layers.</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Identity</w:t>
            </w:r>
          </w:p>
        </w:tc>
        <w:tc>
          <w:tcPr>
            <w:tcW w:type="dxa" w:w="6840"/>
            <w:tcMar>
              <w:top w:w="80" w:type="dxa"/>
              <w:start w:w="120" w:type="dxa"/>
              <w:bottom w:w="80" w:type="dxa"/>
              <w:end w:w="120" w:type="dxa"/>
            </w:tcMar>
            <w:vAlign w:val="center"/>
          </w:tcPr>
          <w:p>
            <w:r>
              <w:t>Immutable UUID plus canonical designation and version.</w:t>
            </w:r>
          </w:p>
        </w:tc>
      </w:tr>
      <w:tr>
        <w:trPr>
          <w:cantSplit/>
        </w:trPr>
        <w:tc>
          <w:tcPr>
            <w:tcW w:type="dxa" w:w="2232"/>
            <w:tcMar>
              <w:top w:w="80" w:type="dxa"/>
              <w:start w:w="120" w:type="dxa"/>
              <w:bottom w:w="80" w:type="dxa"/>
              <w:end w:w="120" w:type="dxa"/>
            </w:tcMar>
            <w:vAlign w:val="center"/>
          </w:tcPr>
          <w:p>
            <w:r>
              <w:t>Layer</w:t>
            </w:r>
          </w:p>
        </w:tc>
        <w:tc>
          <w:tcPr>
            <w:tcW w:type="dxa" w:w="6840"/>
            <w:tcMar>
              <w:top w:w="80" w:type="dxa"/>
              <w:start w:w="120" w:type="dxa"/>
              <w:bottom w:w="80" w:type="dxa"/>
              <w:end w:w="120" w:type="dxa"/>
            </w:tcMar>
            <w:vAlign w:val="center"/>
          </w:tcPr>
          <w:p>
            <w:r>
              <w:t>The level of evidence aggregation and authoritative question.</w:t>
            </w:r>
          </w:p>
        </w:tc>
      </w:tr>
      <w:tr>
        <w:trPr>
          <w:cantSplit/>
        </w:trPr>
        <w:tc>
          <w:tcPr>
            <w:tcW w:type="dxa" w:w="2232"/>
            <w:tcMar>
              <w:top w:w="80" w:type="dxa"/>
              <w:start w:w="120" w:type="dxa"/>
              <w:bottom w:w="80" w:type="dxa"/>
              <w:end w:w="120" w:type="dxa"/>
            </w:tcMar>
            <w:vAlign w:val="center"/>
          </w:tcPr>
          <w:p>
            <w:r>
              <w:t>Status</w:t>
            </w:r>
          </w:p>
        </w:tc>
        <w:tc>
          <w:tcPr>
            <w:tcW w:type="dxa" w:w="6840"/>
            <w:tcMar>
              <w:top w:w="80" w:type="dxa"/>
              <w:start w:w="120" w:type="dxa"/>
              <w:bottom w:w="80" w:type="dxa"/>
              <w:end w:w="120" w:type="dxa"/>
            </w:tcMar>
            <w:vAlign w:val="center"/>
          </w:tcPr>
          <w:p>
            <w:r>
              <w:t>Baseline, seed, or planned readiness for scheduling.</w:t>
            </w:r>
          </w:p>
        </w:tc>
      </w:tr>
      <w:tr>
        <w:trPr>
          <w:cantSplit/>
        </w:trPr>
        <w:tc>
          <w:tcPr>
            <w:tcW w:type="dxa" w:w="2232"/>
            <w:tcMar>
              <w:top w:w="80" w:type="dxa"/>
              <w:start w:w="120" w:type="dxa"/>
              <w:bottom w:w="80" w:type="dxa"/>
              <w:end w:w="120" w:type="dxa"/>
            </w:tcMar>
            <w:vAlign w:val="center"/>
          </w:tcPr>
          <w:p>
            <w:r>
              <w:t>Boundary</w:t>
            </w:r>
          </w:p>
        </w:tc>
        <w:tc>
          <w:tcPr>
            <w:tcW w:type="dxa" w:w="6840"/>
            <w:tcMar>
              <w:top w:w="80" w:type="dxa"/>
              <w:start w:w="120" w:type="dxa"/>
              <w:bottom w:w="80" w:type="dxa"/>
              <w:end w:w="120" w:type="dxa"/>
            </w:tcMar>
            <w:vAlign w:val="center"/>
          </w:tcPr>
          <w:p>
            <w:r>
              <w:t>A role’s owned question and explicit exclusions.</w:t>
            </w:r>
          </w:p>
        </w:tc>
      </w:tr>
    </w:tbl>
    <w:p>
      <w:pPr>
        <w:pStyle w:val="Heading2"/>
      </w:pPr>
      <w:r>
        <w:t>Facilitation run of show</w:t>
      </w:r>
    </w:p>
    <w:p>
      <w:pPr>
        <w:numPr>
          <w:ilvl w:val="0"/>
          <w:numId w:val="15"/>
        </w:numPr>
        <w:spacing w:after="80" w:line="300" w:lineRule="auto"/>
      </w:pPr>
      <w:r>
        <w:t>Catalog tour.</w:t>
      </w:r>
    </w:p>
    <w:p>
      <w:pPr>
        <w:numPr>
          <w:ilvl w:val="0"/>
          <w:numId w:val="15"/>
        </w:numPr>
        <w:spacing w:after="80" w:line="300" w:lineRule="auto"/>
      </w:pPr>
      <w:r>
        <w:t>Architecture layers.</w:t>
      </w:r>
    </w:p>
    <w:p>
      <w:pPr>
        <w:numPr>
          <w:ilvl w:val="0"/>
          <w:numId w:val="15"/>
        </w:numPr>
        <w:spacing w:after="80" w:line="300" w:lineRule="auto"/>
      </w:pPr>
      <w:r>
        <w:t>Identity rules.</w:t>
      </w:r>
    </w:p>
    <w:p>
      <w:pPr>
        <w:numPr>
          <w:ilvl w:val="0"/>
          <w:numId w:val="15"/>
        </w:numPr>
        <w:spacing w:after="80" w:line="300" w:lineRule="auto"/>
      </w:pPr>
      <w:r>
        <w:t>Routing game.</w:t>
      </w:r>
    </w:p>
    <w:p>
      <w:pPr>
        <w:numPr>
          <w:ilvl w:val="0"/>
          <w:numId w:val="15"/>
        </w:numPr>
        <w:spacing w:after="80" w:line="300" w:lineRule="auto"/>
      </w:pPr>
      <w:r>
        <w:t>Boundary critique.</w:t>
      </w:r>
    </w:p>
    <w:p>
      <w:pPr>
        <w:pStyle w:val="Heading2"/>
      </w:pPr>
      <w:r>
        <w:t>Instructor narrative</w:t>
      </w:r>
    </w:p>
    <w:p>
      <w:r>
        <w:t>Open by asking: “Which agent should answer which question?”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Teams receive twelve questions and route each to a catalog agent. For every choice they cite the authoritative question, layer, and status; they also name one tempting but incorrect agent.</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Draft the identity and boundary blocks for one specialist agent and one synthesis agent. Ensure neither duplicates the other.</w:t>
            </w:r>
          </w:p>
        </w:tc>
      </w:tr>
    </w:tbl>
    <w:p>
      <w:pPr>
        <w:spacing w:after="0"/>
      </w:pPr>
    </w:p>
    <w:p>
      <w:pPr>
        <w:pStyle w:val="Heading2"/>
      </w:pPr>
      <w:r>
        <w:t>Exit ticket and evidence of learning</w:t>
      </w:r>
    </w:p>
    <w:p>
      <w:r>
        <w:t>Learner chooses the correct agent for a scenario and explains the layer boundary in one sentence.</w:t>
      </w:r>
    </w:p>
    <w:p>
      <w:pPr>
        <w:pStyle w:val="Heading2"/>
      </w:pPr>
      <w:r>
        <w:t>Watch for these misconceptions</w:t>
      </w:r>
    </w:p>
    <w:p>
      <w:pPr>
        <w:pStyle w:val="ListBullet"/>
        <w:spacing w:after="80" w:line="300" w:lineRule="auto"/>
      </w:pPr>
      <w:r>
        <w:t>Display names are stable identifiers.</w:t>
      </w:r>
    </w:p>
    <w:p>
      <w:pPr>
        <w:pStyle w:val="ListBullet"/>
        <w:spacing w:after="80" w:line="300" w:lineRule="auto"/>
      </w:pPr>
      <w:r>
        <w:t>Synthesis agents re-run all specialist reviews.</w:t>
      </w:r>
    </w:p>
    <w:p>
      <w:pPr>
        <w:pStyle w:val="ListBullet"/>
        <w:spacing w:after="80" w:line="300" w:lineRule="auto"/>
      </w:pPr>
      <w:r>
        <w:t>Planned agents are production-ready because they appear in the registry.</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agents/agent-registry.md; agents/agent-identities.json; agents/agent-naming-and-identity-standard.md</w:t>
      </w:r>
    </w:p>
    <w:p>
      <w:r>
        <w:br w:type="page"/>
      </w:r>
    </w:p>
    <w:p>
      <w:pPr>
        <w:pStyle w:val="Heading1"/>
      </w:pPr>
      <w:r>
        <w:t>Session 6: State Machines: Making Work Observable</w:t>
      </w:r>
    </w:p>
    <w:p>
      <w:r>
        <w:rPr>
          <w:b/>
        </w:rPr>
        <w:t xml:space="preserve">Duration: </w:t>
      </w:r>
      <w:r>
        <w:t>120 minutes</w:t>
      </w:r>
      <w:r>
        <w:rPr>
          <w:b/>
        </w:rPr>
        <w:t xml:space="preserve">   |   Driving question: </w:t>
      </w:r>
      <w:r>
        <w:t>What exactly must be true before work advances?</w:t>
      </w:r>
    </w:p>
    <w:p>
      <w:pPr>
        <w:pStyle w:val="Heading2"/>
      </w:pPr>
      <w:r>
        <w:t>Learning outcomes</w:t>
      </w:r>
    </w:p>
    <w:p>
      <w:pPr>
        <w:pStyle w:val="ListBullet"/>
        <w:spacing w:after="80" w:line="300" w:lineRule="auto"/>
      </w:pPr>
      <w:r>
        <w:t>Model agent execution as states, events, transitions, and guards.</w:t>
      </w:r>
    </w:p>
    <w:p>
      <w:pPr>
        <w:pStyle w:val="ListBullet"/>
        <w:spacing w:after="80" w:line="300" w:lineRule="auto"/>
      </w:pPr>
      <w:r>
        <w:t>Distinguish incomplete input, failure, and supersession.</w:t>
      </w:r>
    </w:p>
    <w:p>
      <w:pPr>
        <w:pStyle w:val="ListBullet"/>
        <w:spacing w:after="80" w:line="300" w:lineRule="auto"/>
      </w:pPr>
      <w:r>
        <w:t>Design transitions that are deterministic and auditable.</w:t>
      </w:r>
    </w:p>
    <w:p>
      <w:r>
        <w:drawing>
          <wp:inline xmlns:a="http://schemas.openxmlformats.org/drawingml/2006/main" xmlns:pic="http://schemas.openxmlformats.org/drawingml/2006/picture">
            <wp:extent cx="5806440" cy="3244775"/>
            <wp:docPr id="7" name="Picture 7"/>
            <wp:cNvGraphicFramePr>
              <a:graphicFrameLocks noChangeAspect="1"/>
            </wp:cNvGraphicFramePr>
            <a:graphic>
              <a:graphicData uri="http://schemas.openxmlformats.org/drawingml/2006/picture">
                <pic:pic>
                  <pic:nvPicPr>
                    <pic:cNvPr id="0" name="state-machine.png"/>
                    <pic:cNvPicPr/>
                  </pic:nvPicPr>
                  <pic:blipFill>
                    <a:blip r:embed="rId14"/>
                    <a:stretch>
                      <a:fillRect/>
                    </a:stretch>
                  </pic:blipFill>
                  <pic:spPr>
                    <a:xfrm>
                      <a:off x="0" y="0"/>
                      <a:ext cx="5806440" cy="3244775"/>
                    </a:xfrm>
                    <a:prstGeom prst="rect"/>
                  </pic:spPr>
                </pic:pic>
              </a:graphicData>
            </a:graphic>
          </wp:inline>
        </w:drawing>
      </w:r>
    </w:p>
    <w:p>
      <w:pPr>
        <w:jc w:val="center"/>
      </w:pPr>
      <w:r>
        <w:rPr>
          <w:i/>
          <w:sz w:val="18"/>
        </w:rPr>
        <w:t>Session visual: State Machines: Making Work Observable.</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State</w:t>
            </w:r>
          </w:p>
        </w:tc>
        <w:tc>
          <w:tcPr>
            <w:tcW w:type="dxa" w:w="6840"/>
            <w:tcMar>
              <w:top w:w="80" w:type="dxa"/>
              <w:start w:w="120" w:type="dxa"/>
              <w:bottom w:w="80" w:type="dxa"/>
              <w:end w:w="120" w:type="dxa"/>
            </w:tcMar>
            <w:vAlign w:val="center"/>
          </w:tcPr>
          <w:p>
            <w:r>
              <w:t>A durable description of where an execution or artifact is.</w:t>
            </w:r>
          </w:p>
        </w:tc>
      </w:tr>
      <w:tr>
        <w:trPr>
          <w:cantSplit/>
        </w:trPr>
        <w:tc>
          <w:tcPr>
            <w:tcW w:type="dxa" w:w="2232"/>
            <w:tcMar>
              <w:top w:w="80" w:type="dxa"/>
              <w:start w:w="120" w:type="dxa"/>
              <w:bottom w:w="80" w:type="dxa"/>
              <w:end w:w="120" w:type="dxa"/>
            </w:tcMar>
            <w:vAlign w:val="center"/>
          </w:tcPr>
          <w:p>
            <w:r>
              <w:t>Event</w:t>
            </w:r>
          </w:p>
        </w:tc>
        <w:tc>
          <w:tcPr>
            <w:tcW w:type="dxa" w:w="6840"/>
            <w:tcMar>
              <w:top w:w="80" w:type="dxa"/>
              <w:start w:w="120" w:type="dxa"/>
              <w:bottom w:w="80" w:type="dxa"/>
              <w:end w:w="120" w:type="dxa"/>
            </w:tcMar>
            <w:vAlign w:val="center"/>
          </w:tcPr>
          <w:p>
            <w:r>
              <w:t>The occurrence that asks the workflow to transition.</w:t>
            </w:r>
          </w:p>
        </w:tc>
      </w:tr>
      <w:tr>
        <w:trPr>
          <w:cantSplit/>
        </w:trPr>
        <w:tc>
          <w:tcPr>
            <w:tcW w:type="dxa" w:w="2232"/>
            <w:tcMar>
              <w:top w:w="80" w:type="dxa"/>
              <w:start w:w="120" w:type="dxa"/>
              <w:bottom w:w="80" w:type="dxa"/>
              <w:end w:w="120" w:type="dxa"/>
            </w:tcMar>
            <w:vAlign w:val="center"/>
          </w:tcPr>
          <w:p>
            <w:r>
              <w:t>Guard</w:t>
            </w:r>
          </w:p>
        </w:tc>
        <w:tc>
          <w:tcPr>
            <w:tcW w:type="dxa" w:w="6840"/>
            <w:tcMar>
              <w:top w:w="80" w:type="dxa"/>
              <w:start w:w="120" w:type="dxa"/>
              <w:bottom w:w="80" w:type="dxa"/>
              <w:end w:w="120" w:type="dxa"/>
            </w:tcMar>
            <w:vAlign w:val="center"/>
          </w:tcPr>
          <w:p>
            <w:r>
              <w:t>A predicate that must be true for the transition to occur.</w:t>
            </w:r>
          </w:p>
        </w:tc>
      </w:tr>
      <w:tr>
        <w:trPr>
          <w:cantSplit/>
        </w:trPr>
        <w:tc>
          <w:tcPr>
            <w:tcW w:type="dxa" w:w="2232"/>
            <w:tcMar>
              <w:top w:w="80" w:type="dxa"/>
              <w:start w:w="120" w:type="dxa"/>
              <w:bottom w:w="80" w:type="dxa"/>
              <w:end w:w="120" w:type="dxa"/>
            </w:tcMar>
            <w:vAlign w:val="center"/>
          </w:tcPr>
          <w:p>
            <w:r>
              <w:t>Terminal state</w:t>
            </w:r>
          </w:p>
        </w:tc>
        <w:tc>
          <w:tcPr>
            <w:tcW w:type="dxa" w:w="6840"/>
            <w:tcMar>
              <w:top w:w="80" w:type="dxa"/>
              <w:start w:w="120" w:type="dxa"/>
              <w:bottom w:w="80" w:type="dxa"/>
              <w:end w:w="120" w:type="dxa"/>
            </w:tcMar>
            <w:vAlign w:val="center"/>
          </w:tcPr>
          <w:p>
            <w:r>
              <w:t>A completed, failed, incomplete, or superseded outcome.</w:t>
            </w:r>
          </w:p>
        </w:tc>
      </w:tr>
    </w:tbl>
    <w:p>
      <w:pPr>
        <w:pStyle w:val="Heading2"/>
      </w:pPr>
      <w:r>
        <w:t>Facilitation run of show</w:t>
      </w:r>
    </w:p>
    <w:p>
      <w:pPr>
        <w:numPr>
          <w:ilvl w:val="0"/>
          <w:numId w:val="16"/>
        </w:numPr>
        <w:spacing w:after="80" w:line="300" w:lineRule="auto"/>
      </w:pPr>
      <w:r>
        <w:t>Human example.</w:t>
      </w:r>
    </w:p>
    <w:p>
      <w:pPr>
        <w:numPr>
          <w:ilvl w:val="0"/>
          <w:numId w:val="16"/>
        </w:numPr>
        <w:spacing w:after="80" w:line="300" w:lineRule="auto"/>
      </w:pPr>
      <w:r>
        <w:t>Harness state model.</w:t>
      </w:r>
    </w:p>
    <w:p>
      <w:pPr>
        <w:numPr>
          <w:ilvl w:val="0"/>
          <w:numId w:val="16"/>
        </w:numPr>
        <w:spacing w:after="80" w:line="300" w:lineRule="auto"/>
      </w:pPr>
      <w:r>
        <w:t>Guard design.</w:t>
      </w:r>
    </w:p>
    <w:p>
      <w:pPr>
        <w:numPr>
          <w:ilvl w:val="0"/>
          <w:numId w:val="16"/>
        </w:numPr>
        <w:spacing w:after="80" w:line="300" w:lineRule="auto"/>
      </w:pPr>
      <w:r>
        <w:t>Failure branches.</w:t>
      </w:r>
    </w:p>
    <w:p>
      <w:pPr>
        <w:numPr>
          <w:ilvl w:val="0"/>
          <w:numId w:val="16"/>
        </w:numPr>
        <w:spacing w:after="80" w:line="300" w:lineRule="auto"/>
      </w:pPr>
      <w:r>
        <w:t>Tabletop simulation.</w:t>
      </w:r>
    </w:p>
    <w:p>
      <w:pPr>
        <w:pStyle w:val="Heading2"/>
      </w:pPr>
      <w:r>
        <w:t>Instructor narrative</w:t>
      </w:r>
    </w:p>
    <w:p>
      <w:r>
        <w:t>Open by asking: “What exactly must be true before work advances?”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Run a tabletop execution. Learners draw event cards and may transition only when guards pass. They must log the event, state change, artifact IDs, and failure reason.</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Write prompt behavior for missing prerequisites: do not guess, emit the incomplete-input state, list missing evidence, and identify the safe next action.</w:t>
            </w:r>
          </w:p>
        </w:tc>
      </w:tr>
    </w:tbl>
    <w:p>
      <w:pPr>
        <w:spacing w:after="0"/>
      </w:pPr>
    </w:p>
    <w:p>
      <w:pPr>
        <w:pStyle w:val="Heading2"/>
      </w:pPr>
      <w:r>
        <w:t>Exit ticket and evidence of learning</w:t>
      </w:r>
    </w:p>
    <w:p>
      <w:r>
        <w:t>Learner can explain the difference between an event and a guard and can model at least two failure paths.</w:t>
      </w:r>
    </w:p>
    <w:p>
      <w:pPr>
        <w:pStyle w:val="Heading2"/>
      </w:pPr>
      <w:r>
        <w:t>Watch for these misconceptions</w:t>
      </w:r>
    </w:p>
    <w:p>
      <w:pPr>
        <w:pStyle w:val="ListBullet"/>
        <w:spacing w:after="80" w:line="300" w:lineRule="auto"/>
      </w:pPr>
      <w:r>
        <w:t>State is the same as a progress message.</w:t>
      </w:r>
    </w:p>
    <w:p>
      <w:pPr>
        <w:pStyle w:val="ListBullet"/>
        <w:spacing w:after="80" w:line="300" w:lineRule="auto"/>
      </w:pPr>
      <w:r>
        <w:t>Retrying erases the failed attempt.</w:t>
      </w:r>
    </w:p>
    <w:p>
      <w:pPr>
        <w:pStyle w:val="ListBullet"/>
        <w:spacing w:after="80" w:line="300" w:lineRule="auto"/>
      </w:pPr>
      <w:r>
        <w:t>All errors should transition to failed.</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orchestration/workflow-model.md; contracts/universal-agent-contract.md</w:t>
      </w:r>
    </w:p>
    <w:p>
      <w:r>
        <w:br w:type="page"/>
      </w:r>
    </w:p>
    <w:p>
      <w:pPr>
        <w:pStyle w:val="Heading1"/>
      </w:pPr>
      <w:r>
        <w:t>Session 7: Orchestration: Fan-Out, Fan-In, and Gates</w:t>
      </w:r>
    </w:p>
    <w:p>
      <w:r>
        <w:rPr>
          <w:b/>
        </w:rPr>
        <w:t xml:space="preserve">Duration: </w:t>
      </w:r>
      <w:r>
        <w:t>120 minutes</w:t>
      </w:r>
      <w:r>
        <w:rPr>
          <w:b/>
        </w:rPr>
        <w:t xml:space="preserve">   |   Driving question: </w:t>
      </w:r>
      <w:r>
        <w:t>How do we coordinate many agents without hiding causality?</w:t>
      </w:r>
    </w:p>
    <w:p>
      <w:pPr>
        <w:pStyle w:val="Heading2"/>
      </w:pPr>
      <w:r>
        <w:t>Learning outcomes</w:t>
      </w:r>
    </w:p>
    <w:p>
      <w:pPr>
        <w:pStyle w:val="ListBullet"/>
        <w:spacing w:after="80" w:line="300" w:lineRule="auto"/>
      </w:pPr>
      <w:r>
        <w:t>Explain scheduler, fan-out, fan-in, and evidence-gate responsibilities.</w:t>
      </w:r>
    </w:p>
    <w:p>
      <w:pPr>
        <w:pStyle w:val="ListBullet"/>
        <w:spacing w:after="80" w:line="300" w:lineRule="auto"/>
      </w:pPr>
      <w:r>
        <w:t>Identify safe parallelism and required dependencies.</w:t>
      </w:r>
    </w:p>
    <w:p>
      <w:pPr>
        <w:pStyle w:val="ListBullet"/>
        <w:spacing w:after="80" w:line="300" w:lineRule="auto"/>
      </w:pPr>
      <w:r>
        <w:t>Prevent orchestrators and synthesizers from becoming unauthorized reviewers.</w:t>
      </w:r>
    </w:p>
    <w:p>
      <w:r>
        <w:drawing>
          <wp:inline xmlns:a="http://schemas.openxmlformats.org/drawingml/2006/main" xmlns:pic="http://schemas.openxmlformats.org/drawingml/2006/picture">
            <wp:extent cx="5806440" cy="3193542"/>
            <wp:docPr id="8" name="Picture 8"/>
            <wp:cNvGraphicFramePr>
              <a:graphicFrameLocks noChangeAspect="1"/>
            </wp:cNvGraphicFramePr>
            <a:graphic>
              <a:graphicData uri="http://schemas.openxmlformats.org/drawingml/2006/picture">
                <pic:pic>
                  <pic:nvPicPr>
                    <pic:cNvPr id="0" name="orchestration.png"/>
                    <pic:cNvPicPr/>
                  </pic:nvPicPr>
                  <pic:blipFill>
                    <a:blip r:embed="rId15"/>
                    <a:stretch>
                      <a:fillRect/>
                    </a:stretch>
                  </pic:blipFill>
                  <pic:spPr>
                    <a:xfrm>
                      <a:off x="0" y="0"/>
                      <a:ext cx="5806440" cy="3193542"/>
                    </a:xfrm>
                    <a:prstGeom prst="rect"/>
                  </pic:spPr>
                </pic:pic>
              </a:graphicData>
            </a:graphic>
          </wp:inline>
        </w:drawing>
      </w:r>
    </w:p>
    <w:p>
      <w:pPr>
        <w:jc w:val="center"/>
      </w:pPr>
      <w:r>
        <w:rPr>
          <w:i/>
          <w:sz w:val="18"/>
        </w:rPr>
        <w:t>Session visual: Orchestration: Fan-Out, Fan-In, and Gates.</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ORCH-SCHED</w:t>
            </w:r>
          </w:p>
        </w:tc>
        <w:tc>
          <w:tcPr>
            <w:tcW w:type="dxa" w:w="6840"/>
            <w:tcMar>
              <w:top w:w="80" w:type="dxa"/>
              <w:start w:w="120" w:type="dxa"/>
              <w:bottom w:w="80" w:type="dxa"/>
              <w:end w:w="120" w:type="dxa"/>
            </w:tcMar>
            <w:vAlign w:val="center"/>
          </w:tcPr>
          <w:p>
            <w:r>
              <w:t>Selects registered roles and contract versions.</w:t>
            </w:r>
          </w:p>
        </w:tc>
      </w:tr>
      <w:tr>
        <w:trPr>
          <w:cantSplit/>
        </w:trPr>
        <w:tc>
          <w:tcPr>
            <w:tcW w:type="dxa" w:w="2232"/>
            <w:tcMar>
              <w:top w:w="80" w:type="dxa"/>
              <w:start w:w="120" w:type="dxa"/>
              <w:bottom w:w="80" w:type="dxa"/>
              <w:end w:w="120" w:type="dxa"/>
            </w:tcMar>
            <w:vAlign w:val="center"/>
          </w:tcPr>
          <w:p>
            <w:r>
              <w:t>ORCH-FANOUT</w:t>
            </w:r>
          </w:p>
        </w:tc>
        <w:tc>
          <w:tcPr>
            <w:tcW w:type="dxa" w:w="6840"/>
            <w:tcMar>
              <w:top w:w="80" w:type="dxa"/>
              <w:start w:w="120" w:type="dxa"/>
              <w:bottom w:w="80" w:type="dxa"/>
              <w:end w:w="120" w:type="dxa"/>
            </w:tcMar>
            <w:vAlign w:val="center"/>
          </w:tcPr>
          <w:p>
            <w:r>
              <w:t>Dispatches independent work and tracks executions.</w:t>
            </w:r>
          </w:p>
        </w:tc>
      </w:tr>
      <w:tr>
        <w:trPr>
          <w:cantSplit/>
        </w:trPr>
        <w:tc>
          <w:tcPr>
            <w:tcW w:type="dxa" w:w="2232"/>
            <w:tcMar>
              <w:top w:w="80" w:type="dxa"/>
              <w:start w:w="120" w:type="dxa"/>
              <w:bottom w:w="80" w:type="dxa"/>
              <w:end w:w="120" w:type="dxa"/>
            </w:tcMar>
            <w:vAlign w:val="center"/>
          </w:tcPr>
          <w:p>
            <w:r>
              <w:t>ORCH-FANIN</w:t>
            </w:r>
          </w:p>
        </w:tc>
        <w:tc>
          <w:tcPr>
            <w:tcW w:type="dxa" w:w="6840"/>
            <w:tcMar>
              <w:top w:w="80" w:type="dxa"/>
              <w:start w:w="120" w:type="dxa"/>
              <w:bottom w:w="80" w:type="dxa"/>
              <w:end w:w="120" w:type="dxa"/>
            </w:tcMar>
            <w:vAlign w:val="center"/>
          </w:tcPr>
          <w:p>
            <w:r>
              <w:t>Validates prerequisites and assembles consumable input sets.</w:t>
            </w:r>
          </w:p>
        </w:tc>
      </w:tr>
      <w:tr>
        <w:trPr>
          <w:cantSplit/>
        </w:trPr>
        <w:tc>
          <w:tcPr>
            <w:tcW w:type="dxa" w:w="2232"/>
            <w:tcMar>
              <w:top w:w="80" w:type="dxa"/>
              <w:start w:w="120" w:type="dxa"/>
              <w:bottom w:w="80" w:type="dxa"/>
              <w:end w:w="120" w:type="dxa"/>
            </w:tcMar>
            <w:vAlign w:val="center"/>
          </w:tcPr>
          <w:p>
            <w:r>
              <w:t>ENT-EVIDENCE</w:t>
            </w:r>
          </w:p>
        </w:tc>
        <w:tc>
          <w:tcPr>
            <w:tcW w:type="dxa" w:w="6840"/>
            <w:tcMar>
              <w:top w:w="80" w:type="dxa"/>
              <w:start w:w="120" w:type="dxa"/>
              <w:bottom w:w="80" w:type="dxa"/>
              <w:end w:w="120" w:type="dxa"/>
            </w:tcMar>
            <w:vAlign w:val="center"/>
          </w:tcPr>
          <w:p>
            <w:r>
              <w:t>Gates enterprise input fitness before enterprise analysis.</w:t>
            </w:r>
          </w:p>
        </w:tc>
      </w:tr>
    </w:tbl>
    <w:p>
      <w:pPr>
        <w:pStyle w:val="Heading2"/>
      </w:pPr>
      <w:r>
        <w:t>Facilitation run of show</w:t>
      </w:r>
    </w:p>
    <w:p>
      <w:pPr>
        <w:numPr>
          <w:ilvl w:val="0"/>
          <w:numId w:val="17"/>
        </w:numPr>
        <w:spacing w:after="80" w:line="300" w:lineRule="auto"/>
      </w:pPr>
      <w:r>
        <w:t>Dependency graph.</w:t>
      </w:r>
    </w:p>
    <w:p>
      <w:pPr>
        <w:numPr>
          <w:ilvl w:val="0"/>
          <w:numId w:val="17"/>
        </w:numPr>
        <w:spacing w:after="80" w:line="300" w:lineRule="auto"/>
      </w:pPr>
      <w:r>
        <w:t>Parallelism rules.</w:t>
      </w:r>
    </w:p>
    <w:p>
      <w:pPr>
        <w:numPr>
          <w:ilvl w:val="0"/>
          <w:numId w:val="17"/>
        </w:numPr>
        <w:spacing w:after="80" w:line="300" w:lineRule="auto"/>
      </w:pPr>
      <w:r>
        <w:t>Fan-in validation.</w:t>
      </w:r>
    </w:p>
    <w:p>
      <w:pPr>
        <w:numPr>
          <w:ilvl w:val="0"/>
          <w:numId w:val="17"/>
        </w:numPr>
        <w:spacing w:after="80" w:line="300" w:lineRule="auto"/>
      </w:pPr>
      <w:r>
        <w:t>Enterprise gate.</w:t>
      </w:r>
    </w:p>
    <w:p>
      <w:pPr>
        <w:numPr>
          <w:ilvl w:val="0"/>
          <w:numId w:val="17"/>
        </w:numPr>
        <w:spacing w:after="80" w:line="300" w:lineRule="auto"/>
      </w:pPr>
      <w:r>
        <w:t>Workflow design lab.</w:t>
      </w:r>
    </w:p>
    <w:p>
      <w:pPr>
        <w:pStyle w:val="Heading2"/>
      </w:pPr>
      <w:r>
        <w:t>Instructor narrative</w:t>
      </w:r>
    </w:p>
    <w:p>
      <w:r>
        <w:t>Open by asking: “How do we coordinate many agents without hiding causality?”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Design a workflow for a release review. Mark dependencies, parallel branches, join criteria, retries, timeouts, and the exact point where a human decision is requested.</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Draft an orchestration prompt that schedules and validates but never generates domain findings.</w:t>
            </w:r>
          </w:p>
        </w:tc>
      </w:tr>
    </w:tbl>
    <w:p>
      <w:pPr>
        <w:spacing w:after="0"/>
      </w:pPr>
    </w:p>
    <w:p>
      <w:pPr>
        <w:pStyle w:val="Heading2"/>
      </w:pPr>
      <w:r>
        <w:t>Exit ticket and evidence of learning</w:t>
      </w:r>
    </w:p>
    <w:p>
      <w:r>
        <w:t>Learner produces a dependency graph with safe parallelism and an explicit join guard.</w:t>
      </w:r>
    </w:p>
    <w:p>
      <w:pPr>
        <w:pStyle w:val="Heading2"/>
      </w:pPr>
      <w:r>
        <w:t>Watch for these misconceptions</w:t>
      </w:r>
    </w:p>
    <w:p>
      <w:pPr>
        <w:pStyle w:val="ListBullet"/>
        <w:spacing w:after="80" w:line="300" w:lineRule="auto"/>
      </w:pPr>
      <w:r>
        <w:t>The orchestrator is the smartest reviewer.</w:t>
      </w:r>
    </w:p>
    <w:p>
      <w:pPr>
        <w:pStyle w:val="ListBullet"/>
        <w:spacing w:after="80" w:line="300" w:lineRule="auto"/>
      </w:pPr>
      <w:r>
        <w:t>Fan-in means concatenate every report.</w:t>
      </w:r>
    </w:p>
    <w:p>
      <w:pPr>
        <w:pStyle w:val="ListBullet"/>
        <w:spacing w:after="80" w:line="300" w:lineRule="auto"/>
      </w:pPr>
      <w:r>
        <w:t>Enterprise synthesis may overrule the evidence gate.</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orchestration/workflow-model.md; contracts/orchestration-agent-contract.md; agents/enterprise/evidence-validation-gate.md</w:t>
      </w:r>
    </w:p>
    <w:p>
      <w:r>
        <w:br w:type="page"/>
      </w:r>
    </w:p>
    <w:p>
      <w:pPr>
        <w:pStyle w:val="Heading1"/>
      </w:pPr>
      <w:r>
        <w:t>Session 8: The Prompt Is an Implementation of the Contract</w:t>
      </w:r>
    </w:p>
    <w:p>
      <w:r>
        <w:rPr>
          <w:b/>
        </w:rPr>
        <w:t xml:space="preserve">Duration: </w:t>
      </w:r>
      <w:r>
        <w:t>120 minutes</w:t>
      </w:r>
      <w:r>
        <w:rPr>
          <w:b/>
        </w:rPr>
        <w:t xml:space="preserve">   |   Driving question: </w:t>
      </w:r>
      <w:r>
        <w:t>How do we turn a specification into reliable model behavior?</w:t>
      </w:r>
    </w:p>
    <w:p>
      <w:pPr>
        <w:pStyle w:val="Heading2"/>
      </w:pPr>
      <w:r>
        <w:t>Learning outcomes</w:t>
      </w:r>
    </w:p>
    <w:p>
      <w:pPr>
        <w:pStyle w:val="ListBullet"/>
        <w:spacing w:after="80" w:line="300" w:lineRule="auto"/>
      </w:pPr>
      <w:r>
        <w:t>Use the platform’s universal prompt structure.</w:t>
      </w:r>
    </w:p>
    <w:p>
      <w:pPr>
        <w:pStyle w:val="ListBullet"/>
        <w:spacing w:after="80" w:line="300" w:lineRule="auto"/>
      </w:pPr>
      <w:r>
        <w:t>Trace every prompt clause to a contract obligation or role requirement.</w:t>
      </w:r>
    </w:p>
    <w:p>
      <w:pPr>
        <w:pStyle w:val="ListBullet"/>
        <w:spacing w:after="80" w:line="300" w:lineRule="auto"/>
      </w:pPr>
      <w:r>
        <w:t>Keep authority, evidence, method, and output mutually consistent.</w:t>
      </w:r>
    </w:p>
    <w:p>
      <w:r>
        <w:drawing>
          <wp:inline xmlns:a="http://schemas.openxmlformats.org/drawingml/2006/main" xmlns:pic="http://schemas.openxmlformats.org/drawingml/2006/picture">
            <wp:extent cx="5806440" cy="3338703"/>
            <wp:docPr id="9" name="Picture 9"/>
            <wp:cNvGraphicFramePr>
              <a:graphicFrameLocks noChangeAspect="1"/>
            </wp:cNvGraphicFramePr>
            <a:graphic>
              <a:graphicData uri="http://schemas.openxmlformats.org/drawingml/2006/picture">
                <pic:pic>
                  <pic:nvPicPr>
                    <pic:cNvPr id="0" name="prompt-anatomy.png"/>
                    <pic:cNvPicPr/>
                  </pic:nvPicPr>
                  <pic:blipFill>
                    <a:blip r:embed="rId16"/>
                    <a:stretch>
                      <a:fillRect/>
                    </a:stretch>
                  </pic:blipFill>
                  <pic:spPr>
                    <a:xfrm>
                      <a:off x="0" y="0"/>
                      <a:ext cx="5806440" cy="3338703"/>
                    </a:xfrm>
                    <a:prstGeom prst="rect"/>
                  </pic:spPr>
                </pic:pic>
              </a:graphicData>
            </a:graphic>
          </wp:inline>
        </w:drawing>
      </w:r>
    </w:p>
    <w:p>
      <w:pPr>
        <w:jc w:val="center"/>
      </w:pPr>
      <w:r>
        <w:rPr>
          <w:i/>
          <w:sz w:val="18"/>
        </w:rPr>
        <w:t>Session visual: The Prompt Is an Implementation of the Contract.</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System rules</w:t>
            </w:r>
          </w:p>
        </w:tc>
        <w:tc>
          <w:tcPr>
            <w:tcW w:type="dxa" w:w="6840"/>
            <w:tcMar>
              <w:top w:w="80" w:type="dxa"/>
              <w:start w:w="120" w:type="dxa"/>
              <w:bottom w:w="80" w:type="dxa"/>
              <w:end w:w="120" w:type="dxa"/>
            </w:tcMar>
            <w:vAlign w:val="center"/>
          </w:tcPr>
          <w:p>
            <w:r>
              <w:t>Non-negotiable platform and safety constraints.</w:t>
            </w:r>
          </w:p>
        </w:tc>
      </w:tr>
      <w:tr>
        <w:trPr>
          <w:cantSplit/>
        </w:trPr>
        <w:tc>
          <w:tcPr>
            <w:tcW w:type="dxa" w:w="2232"/>
            <w:tcMar>
              <w:top w:w="80" w:type="dxa"/>
              <w:start w:w="120" w:type="dxa"/>
              <w:bottom w:w="80" w:type="dxa"/>
              <w:end w:w="120" w:type="dxa"/>
            </w:tcMar>
            <w:vAlign w:val="center"/>
          </w:tcPr>
          <w:p>
            <w:r>
              <w:t>Role block</w:t>
            </w:r>
          </w:p>
        </w:tc>
        <w:tc>
          <w:tcPr>
            <w:tcW w:type="dxa" w:w="6840"/>
            <w:tcMar>
              <w:top w:w="80" w:type="dxa"/>
              <w:start w:w="120" w:type="dxa"/>
              <w:bottom w:w="80" w:type="dxa"/>
              <w:end w:w="120" w:type="dxa"/>
            </w:tcMar>
            <w:vAlign w:val="center"/>
          </w:tcPr>
          <w:p>
            <w:r>
              <w:t>Identity, mission, authoritative question, and boundaries.</w:t>
            </w:r>
          </w:p>
        </w:tc>
      </w:tr>
      <w:tr>
        <w:trPr>
          <w:cantSplit/>
        </w:trPr>
        <w:tc>
          <w:tcPr>
            <w:tcW w:type="dxa" w:w="2232"/>
            <w:tcMar>
              <w:top w:w="80" w:type="dxa"/>
              <w:start w:w="120" w:type="dxa"/>
              <w:bottom w:w="80" w:type="dxa"/>
              <w:end w:w="120" w:type="dxa"/>
            </w:tcMar>
            <w:vAlign w:val="center"/>
          </w:tcPr>
          <w:p>
            <w:r>
              <w:t>Execution block</w:t>
            </w:r>
          </w:p>
        </w:tc>
        <w:tc>
          <w:tcPr>
            <w:tcW w:type="dxa" w:w="6840"/>
            <w:tcMar>
              <w:top w:w="80" w:type="dxa"/>
              <w:start w:w="120" w:type="dxa"/>
              <w:bottom w:w="80" w:type="dxa"/>
              <w:end w:w="120" w:type="dxa"/>
            </w:tcMar>
            <w:vAlign w:val="center"/>
          </w:tcPr>
          <w:p>
            <w:r>
              <w:t>Inputs, evidence rules, method, tools, and state behavior.</w:t>
            </w:r>
          </w:p>
        </w:tc>
      </w:tr>
      <w:tr>
        <w:trPr>
          <w:cantSplit/>
        </w:trPr>
        <w:tc>
          <w:tcPr>
            <w:tcW w:type="dxa" w:w="2232"/>
            <w:tcMar>
              <w:top w:w="80" w:type="dxa"/>
              <w:start w:w="120" w:type="dxa"/>
              <w:bottom w:w="80" w:type="dxa"/>
              <w:end w:w="120" w:type="dxa"/>
            </w:tcMar>
            <w:vAlign w:val="center"/>
          </w:tcPr>
          <w:p>
            <w:r>
              <w:t>Output block</w:t>
            </w:r>
          </w:p>
        </w:tc>
        <w:tc>
          <w:tcPr>
            <w:tcW w:type="dxa" w:w="6840"/>
            <w:tcMar>
              <w:top w:w="80" w:type="dxa"/>
              <w:start w:w="120" w:type="dxa"/>
              <w:bottom w:w="80" w:type="dxa"/>
              <w:end w:w="120" w:type="dxa"/>
            </w:tcMar>
            <w:vAlign w:val="center"/>
          </w:tcPr>
          <w:p>
            <w:r>
              <w:t>Exact schema, confidence, conflicts, consumers, and decision requests.</w:t>
            </w:r>
          </w:p>
        </w:tc>
      </w:tr>
    </w:tbl>
    <w:p>
      <w:pPr>
        <w:pStyle w:val="Heading2"/>
      </w:pPr>
      <w:r>
        <w:t>Facilitation run of show</w:t>
      </w:r>
    </w:p>
    <w:p>
      <w:pPr>
        <w:numPr>
          <w:ilvl w:val="0"/>
          <w:numId w:val="18"/>
        </w:numPr>
        <w:spacing w:after="80" w:line="300" w:lineRule="auto"/>
      </w:pPr>
      <w:r>
        <w:t>Prompt anatomy.</w:t>
      </w:r>
    </w:p>
    <w:p>
      <w:pPr>
        <w:numPr>
          <w:ilvl w:val="0"/>
          <w:numId w:val="18"/>
        </w:numPr>
        <w:spacing w:after="80" w:line="300" w:lineRule="auto"/>
      </w:pPr>
      <w:r>
        <w:t>Contract-to-prompt mapping.</w:t>
      </w:r>
    </w:p>
    <w:p>
      <w:pPr>
        <w:numPr>
          <w:ilvl w:val="0"/>
          <w:numId w:val="18"/>
        </w:numPr>
        <w:spacing w:after="80" w:line="300" w:lineRule="auto"/>
      </w:pPr>
      <w:r>
        <w:t>Worked example.</w:t>
      </w:r>
    </w:p>
    <w:p>
      <w:pPr>
        <w:numPr>
          <w:ilvl w:val="0"/>
          <w:numId w:val="18"/>
        </w:numPr>
        <w:spacing w:after="80" w:line="300" w:lineRule="auto"/>
      </w:pPr>
      <w:r>
        <w:t>Pair drafting.</w:t>
      </w:r>
    </w:p>
    <w:p>
      <w:pPr>
        <w:numPr>
          <w:ilvl w:val="0"/>
          <w:numId w:val="18"/>
        </w:numPr>
        <w:spacing w:after="80" w:line="300" w:lineRule="auto"/>
      </w:pPr>
      <w:r>
        <w:t>Peer review.</w:t>
      </w:r>
    </w:p>
    <w:p>
      <w:pPr>
        <w:pStyle w:val="Heading2"/>
      </w:pPr>
      <w:r>
        <w:t>Instructor narrative</w:t>
      </w:r>
    </w:p>
    <w:p>
      <w:r>
        <w:t>Open by asking: “How do we turn a specification into reliable model behavior?”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Convert a role specification into a prompt. Partners use a trace matrix to verify every instruction has an origin and every contract obligation has an implementation.</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Draft a complete first-pass prompt for a baseline specialist agent using the universal template.</w:t>
            </w:r>
          </w:p>
        </w:tc>
      </w:tr>
    </w:tbl>
    <w:p>
      <w:pPr>
        <w:spacing w:after="0"/>
      </w:pPr>
    </w:p>
    <w:p>
      <w:pPr>
        <w:pStyle w:val="Heading2"/>
      </w:pPr>
      <w:r>
        <w:t>Exit ticket and evidence of learning</w:t>
      </w:r>
    </w:p>
    <w:p>
      <w:r>
        <w:t>Learner can defend each prompt section by pointing to the governing contract or role specification.</w:t>
      </w:r>
    </w:p>
    <w:p>
      <w:pPr>
        <w:pStyle w:val="Heading2"/>
      </w:pPr>
      <w:r>
        <w:t>Watch for these misconceptions</w:t>
      </w:r>
    </w:p>
    <w:p>
      <w:pPr>
        <w:pStyle w:val="ListBullet"/>
        <w:spacing w:after="80" w:line="300" w:lineRule="auto"/>
      </w:pPr>
      <w:r>
        <w:t>More detail always makes a prompt better.</w:t>
      </w:r>
    </w:p>
    <w:p>
      <w:pPr>
        <w:pStyle w:val="ListBullet"/>
        <w:spacing w:after="80" w:line="300" w:lineRule="auto"/>
      </w:pPr>
      <w:r>
        <w:t>Persona language can replace a method.</w:t>
      </w:r>
    </w:p>
    <w:p>
      <w:pPr>
        <w:pStyle w:val="ListBullet"/>
        <w:spacing w:after="80" w:line="300" w:lineRule="auto"/>
      </w:pPr>
      <w:r>
        <w:t>Output examples may contradict the schema if they read well.</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contracts/universal-agent-contract.md; contracts/specialist-agent-contract.md; agents/specialists/*.md</w:t>
      </w:r>
    </w:p>
    <w:p>
      <w:r>
        <w:br w:type="page"/>
      </w:r>
    </w:p>
    <w:p>
      <w:pPr>
        <w:pStyle w:val="Heading1"/>
      </w:pPr>
      <w:r>
        <w:t>Session 9: Prompt Decomposition and Specialization</w:t>
      </w:r>
    </w:p>
    <w:p>
      <w:r>
        <w:rPr>
          <w:b/>
        </w:rPr>
        <w:t xml:space="preserve">Duration: </w:t>
      </w:r>
      <w:r>
        <w:t>120 minutes</w:t>
      </w:r>
      <w:r>
        <w:rPr>
          <w:b/>
        </w:rPr>
        <w:t xml:space="preserve">   |   Driving question: </w:t>
      </w:r>
      <w:r>
        <w:t>How do we keep 55 prompts coherent without making them identical?</w:t>
      </w:r>
    </w:p>
    <w:p>
      <w:pPr>
        <w:pStyle w:val="Heading2"/>
      </w:pPr>
      <w:r>
        <w:t>Learning outcomes</w:t>
      </w:r>
    </w:p>
    <w:p>
      <w:pPr>
        <w:pStyle w:val="ListBullet"/>
        <w:spacing w:after="80" w:line="300" w:lineRule="auto"/>
      </w:pPr>
      <w:r>
        <w:t>Separate shared prompt modules from role-specific instructions.</w:t>
      </w:r>
    </w:p>
    <w:p>
      <w:pPr>
        <w:pStyle w:val="ListBullet"/>
        <w:spacing w:after="80" w:line="300" w:lineRule="auto"/>
      </w:pPr>
      <w:r>
        <w:t>Define authoritative questions, exclusions, consumers, and escalation paths.</w:t>
      </w:r>
    </w:p>
    <w:p>
      <w:pPr>
        <w:pStyle w:val="ListBullet"/>
        <w:spacing w:after="80" w:line="300" w:lineRule="auto"/>
      </w:pPr>
      <w:r>
        <w:t>Design synthesis prompts that preserve provenance and disagreement.</w:t>
      </w:r>
    </w:p>
    <w:p>
      <w:r>
        <w:drawing>
          <wp:inline xmlns:a="http://schemas.openxmlformats.org/drawingml/2006/main" xmlns:pic="http://schemas.openxmlformats.org/drawingml/2006/picture">
            <wp:extent cx="5806440" cy="3338703"/>
            <wp:docPr id="10" name="Picture 10"/>
            <wp:cNvGraphicFramePr>
              <a:graphicFrameLocks noChangeAspect="1"/>
            </wp:cNvGraphicFramePr>
            <a:graphic>
              <a:graphicData uri="http://schemas.openxmlformats.org/drawingml/2006/picture">
                <pic:pic>
                  <pic:nvPicPr>
                    <pic:cNvPr id="0" name="architecture-layers.png"/>
                    <pic:cNvPicPr/>
                  </pic:nvPicPr>
                  <pic:blipFill>
                    <a:blip r:embed="rId13"/>
                    <a:stretch>
                      <a:fillRect/>
                    </a:stretch>
                  </pic:blipFill>
                  <pic:spPr>
                    <a:xfrm>
                      <a:off x="0" y="0"/>
                      <a:ext cx="5806440" cy="3338703"/>
                    </a:xfrm>
                    <a:prstGeom prst="rect"/>
                  </pic:spPr>
                </pic:pic>
              </a:graphicData>
            </a:graphic>
          </wp:inline>
        </w:drawing>
      </w:r>
    </w:p>
    <w:p>
      <w:pPr>
        <w:jc w:val="center"/>
      </w:pPr>
      <w:r>
        <w:rPr>
          <w:i/>
          <w:sz w:val="18"/>
        </w:rPr>
        <w:t>Session visual: Prompt Decomposition and Specialization.</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Shared module</w:t>
            </w:r>
          </w:p>
        </w:tc>
        <w:tc>
          <w:tcPr>
            <w:tcW w:type="dxa" w:w="6840"/>
            <w:tcMar>
              <w:top w:w="80" w:type="dxa"/>
              <w:start w:w="120" w:type="dxa"/>
              <w:bottom w:w="80" w:type="dxa"/>
              <w:end w:w="120" w:type="dxa"/>
            </w:tcMar>
            <w:vAlign w:val="center"/>
          </w:tcPr>
          <w:p>
            <w:r>
              <w:t>Reusable language for evidence, authority, confidence, and output integrity.</w:t>
            </w:r>
          </w:p>
        </w:tc>
      </w:tr>
      <w:tr>
        <w:trPr>
          <w:cantSplit/>
        </w:trPr>
        <w:tc>
          <w:tcPr>
            <w:tcW w:type="dxa" w:w="2232"/>
            <w:tcMar>
              <w:top w:w="80" w:type="dxa"/>
              <w:start w:w="120" w:type="dxa"/>
              <w:bottom w:w="80" w:type="dxa"/>
              <w:end w:w="120" w:type="dxa"/>
            </w:tcMar>
            <w:vAlign w:val="center"/>
          </w:tcPr>
          <w:p>
            <w:r>
              <w:t>Specialization</w:t>
            </w:r>
          </w:p>
        </w:tc>
        <w:tc>
          <w:tcPr>
            <w:tcW w:type="dxa" w:w="6840"/>
            <w:tcMar>
              <w:top w:w="80" w:type="dxa"/>
              <w:start w:w="120" w:type="dxa"/>
              <w:bottom w:w="80" w:type="dxa"/>
              <w:end w:w="120" w:type="dxa"/>
            </w:tcMar>
            <w:vAlign w:val="center"/>
          </w:tcPr>
          <w:p>
            <w:r>
              <w:t>Domain criteria, method, tools, and owned question.</w:t>
            </w:r>
          </w:p>
        </w:tc>
      </w:tr>
      <w:tr>
        <w:trPr>
          <w:cantSplit/>
        </w:trPr>
        <w:tc>
          <w:tcPr>
            <w:tcW w:type="dxa" w:w="2232"/>
            <w:tcMar>
              <w:top w:w="80" w:type="dxa"/>
              <w:start w:w="120" w:type="dxa"/>
              <w:bottom w:w="80" w:type="dxa"/>
              <w:end w:w="120" w:type="dxa"/>
            </w:tcMar>
            <w:vAlign w:val="center"/>
          </w:tcPr>
          <w:p>
            <w:r>
              <w:t>Synthesis</w:t>
            </w:r>
          </w:p>
        </w:tc>
        <w:tc>
          <w:tcPr>
            <w:tcW w:type="dxa" w:w="6840"/>
            <w:tcMar>
              <w:top w:w="80" w:type="dxa"/>
              <w:start w:w="120" w:type="dxa"/>
              <w:bottom w:w="80" w:type="dxa"/>
              <w:end w:w="120" w:type="dxa"/>
            </w:tcMar>
            <w:vAlign w:val="center"/>
          </w:tcPr>
          <w:p>
            <w:r>
              <w:t>Correlation of validated artifacts without fabricating agreement.</w:t>
            </w:r>
          </w:p>
        </w:tc>
      </w:tr>
      <w:tr>
        <w:trPr>
          <w:cantSplit/>
        </w:trPr>
        <w:tc>
          <w:tcPr>
            <w:tcW w:type="dxa" w:w="2232"/>
            <w:tcMar>
              <w:top w:w="80" w:type="dxa"/>
              <w:start w:w="120" w:type="dxa"/>
              <w:bottom w:w="80" w:type="dxa"/>
              <w:end w:w="120" w:type="dxa"/>
            </w:tcMar>
            <w:vAlign w:val="center"/>
          </w:tcPr>
          <w:p>
            <w:r>
              <w:t>Consumer fit</w:t>
            </w:r>
          </w:p>
        </w:tc>
        <w:tc>
          <w:tcPr>
            <w:tcW w:type="dxa" w:w="6840"/>
            <w:tcMar>
              <w:top w:w="80" w:type="dxa"/>
              <w:start w:w="120" w:type="dxa"/>
              <w:bottom w:w="80" w:type="dxa"/>
              <w:end w:w="120" w:type="dxa"/>
            </w:tcMar>
            <w:vAlign w:val="center"/>
          </w:tcPr>
          <w:p>
            <w:r>
              <w:t>The output detail and semantics needed by the next contract.</w:t>
            </w:r>
          </w:p>
        </w:tc>
      </w:tr>
    </w:tbl>
    <w:p>
      <w:pPr>
        <w:pStyle w:val="Heading2"/>
      </w:pPr>
      <w:r>
        <w:t>Facilitation run of show</w:t>
      </w:r>
    </w:p>
    <w:p>
      <w:pPr>
        <w:numPr>
          <w:ilvl w:val="0"/>
          <w:numId w:val="19"/>
        </w:numPr>
        <w:spacing w:after="80" w:line="300" w:lineRule="auto"/>
      </w:pPr>
      <w:r>
        <w:t>Prompt module map.</w:t>
      </w:r>
    </w:p>
    <w:p>
      <w:pPr>
        <w:numPr>
          <w:ilvl w:val="0"/>
          <w:numId w:val="19"/>
        </w:numPr>
        <w:spacing w:after="80" w:line="300" w:lineRule="auto"/>
      </w:pPr>
      <w:r>
        <w:t>Specialist vs synthesizer.</w:t>
      </w:r>
    </w:p>
    <w:p>
      <w:pPr>
        <w:numPr>
          <w:ilvl w:val="0"/>
          <w:numId w:val="19"/>
        </w:numPr>
        <w:spacing w:after="80" w:line="300" w:lineRule="auto"/>
      </w:pPr>
      <w:r>
        <w:t>Boundary patterns.</w:t>
      </w:r>
    </w:p>
    <w:p>
      <w:pPr>
        <w:numPr>
          <w:ilvl w:val="0"/>
          <w:numId w:val="19"/>
        </w:numPr>
        <w:spacing w:after="80" w:line="300" w:lineRule="auto"/>
      </w:pPr>
      <w:r>
        <w:t>Drafting sprint.</w:t>
      </w:r>
    </w:p>
    <w:p>
      <w:pPr>
        <w:numPr>
          <w:ilvl w:val="0"/>
          <w:numId w:val="19"/>
        </w:numPr>
        <w:spacing w:after="80" w:line="300" w:lineRule="auto"/>
      </w:pPr>
      <w:r>
        <w:t>Cross-team review.</w:t>
      </w:r>
    </w:p>
    <w:p>
      <w:pPr>
        <w:pStyle w:val="Heading2"/>
      </w:pPr>
      <w:r>
        <w:t>Instructor narrative</w:t>
      </w:r>
    </w:p>
    <w:p>
      <w:r>
        <w:t>Open by asking: “How do we keep 55 prompts coherent without making them identical?”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Teams draft prompts for one agent from each layer, then compare repeated clauses. They extract stable shared modules and retain only genuine role specialization.</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Write a synthesis clause that preserves source IDs, conflicting assessments, coverage differences, and human decision authority.</w:t>
            </w:r>
          </w:p>
        </w:tc>
      </w:tr>
    </w:tbl>
    <w:p>
      <w:pPr>
        <w:spacing w:after="0"/>
      </w:pPr>
    </w:p>
    <w:p>
      <w:pPr>
        <w:pStyle w:val="Heading2"/>
      </w:pPr>
      <w:r>
        <w:t>Exit ticket and evidence of learning</w:t>
      </w:r>
    </w:p>
    <w:p>
      <w:r>
        <w:t>Learner can identify duplicated policy language and move it to a shared module without erasing role boundaries.</w:t>
      </w:r>
    </w:p>
    <w:p>
      <w:pPr>
        <w:pStyle w:val="Heading2"/>
      </w:pPr>
      <w:r>
        <w:t>Watch for these misconceptions</w:t>
      </w:r>
    </w:p>
    <w:p>
      <w:pPr>
        <w:pStyle w:val="ListBullet"/>
        <w:spacing w:after="80" w:line="300" w:lineRule="auto"/>
      </w:pPr>
      <w:r>
        <w:t>Consistency means every prompt uses the same method.</w:t>
      </w:r>
    </w:p>
    <w:p>
      <w:pPr>
        <w:pStyle w:val="ListBullet"/>
        <w:spacing w:after="80" w:line="300" w:lineRule="auto"/>
      </w:pPr>
      <w:r>
        <w:t>Synthesis should hide disagreement.</w:t>
      </w:r>
    </w:p>
    <w:p>
      <w:pPr>
        <w:pStyle w:val="ListBullet"/>
        <w:spacing w:after="80" w:line="300" w:lineRule="auto"/>
      </w:pPr>
      <w:r>
        <w:t>A broad prompt is more reusable than a bounded prompt.</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agents/hierarchical-agent-architecture.md; contracts/contract-dependency-graph.md; contracts/enterprise-synthesis-contract.md</w:t>
      </w:r>
    </w:p>
    <w:p>
      <w:r>
        <w:br w:type="page"/>
      </w:r>
    </w:p>
    <w:p>
      <w:pPr>
        <w:pStyle w:val="Heading1"/>
      </w:pPr>
      <w:r>
        <w:t>Session 10: Prompt Failure Modes and Adversarial Testing</w:t>
      </w:r>
    </w:p>
    <w:p>
      <w:r>
        <w:rPr>
          <w:b/>
        </w:rPr>
        <w:t xml:space="preserve">Duration: </w:t>
      </w:r>
      <w:r>
        <w:t>120 minutes</w:t>
      </w:r>
      <w:r>
        <w:rPr>
          <w:b/>
        </w:rPr>
        <w:t xml:space="preserve">   |   Driving question: </w:t>
      </w:r>
      <w:r>
        <w:t>How will this prompt fail under pressure?</w:t>
      </w:r>
    </w:p>
    <w:p>
      <w:pPr>
        <w:pStyle w:val="Heading2"/>
      </w:pPr>
      <w:r>
        <w:t>Learning outcomes</w:t>
      </w:r>
    </w:p>
    <w:p>
      <w:pPr>
        <w:pStyle w:val="ListBullet"/>
        <w:spacing w:after="80" w:line="300" w:lineRule="auto"/>
      </w:pPr>
      <w:r>
        <w:t>Recognize ambiguity, scope drift, evidence fabrication, authority leakage, and schema failure.</w:t>
      </w:r>
    </w:p>
    <w:p>
      <w:pPr>
        <w:pStyle w:val="ListBullet"/>
        <w:spacing w:after="80" w:line="300" w:lineRule="auto"/>
      </w:pPr>
      <w:r>
        <w:t>Design adversarial cases for missing, conflicting, malicious, and excessive inputs.</w:t>
      </w:r>
    </w:p>
    <w:p>
      <w:pPr>
        <w:pStyle w:val="ListBullet"/>
        <w:spacing w:after="80" w:line="300" w:lineRule="auto"/>
      </w:pPr>
      <w:r>
        <w:t>Specify safe failure behavior instead of optimistic guessing.</w:t>
      </w:r>
    </w:p>
    <w:p>
      <w:r>
        <w:drawing>
          <wp:inline xmlns:a="http://schemas.openxmlformats.org/drawingml/2006/main" xmlns:pic="http://schemas.openxmlformats.org/drawingml/2006/picture">
            <wp:extent cx="5806440" cy="3244775"/>
            <wp:docPr id="11" name="Picture 11"/>
            <wp:cNvGraphicFramePr>
              <a:graphicFrameLocks noChangeAspect="1"/>
            </wp:cNvGraphicFramePr>
            <a:graphic>
              <a:graphicData uri="http://schemas.openxmlformats.org/drawingml/2006/picture">
                <pic:pic>
                  <pic:nvPicPr>
                    <pic:cNvPr id="0" name="state-machine.png"/>
                    <pic:cNvPicPr/>
                  </pic:nvPicPr>
                  <pic:blipFill>
                    <a:blip r:embed="rId14"/>
                    <a:stretch>
                      <a:fillRect/>
                    </a:stretch>
                  </pic:blipFill>
                  <pic:spPr>
                    <a:xfrm>
                      <a:off x="0" y="0"/>
                      <a:ext cx="5806440" cy="3244775"/>
                    </a:xfrm>
                    <a:prstGeom prst="rect"/>
                  </pic:spPr>
                </pic:pic>
              </a:graphicData>
            </a:graphic>
          </wp:inline>
        </w:drawing>
      </w:r>
    </w:p>
    <w:p>
      <w:pPr>
        <w:jc w:val="center"/>
      </w:pPr>
      <w:r>
        <w:rPr>
          <w:i/>
          <w:sz w:val="18"/>
        </w:rPr>
        <w:t>Session visual: Prompt Failure Modes and Adversarial Testing.</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Scope drift</w:t>
            </w:r>
          </w:p>
        </w:tc>
        <w:tc>
          <w:tcPr>
            <w:tcW w:type="dxa" w:w="6840"/>
            <w:tcMar>
              <w:top w:w="80" w:type="dxa"/>
              <w:start w:w="120" w:type="dxa"/>
              <w:bottom w:w="80" w:type="dxa"/>
              <w:end w:w="120" w:type="dxa"/>
            </w:tcMar>
            <w:vAlign w:val="center"/>
          </w:tcPr>
          <w:p>
            <w:r>
              <w:t>The agent answers adjacent questions it does not own.</w:t>
            </w:r>
          </w:p>
        </w:tc>
      </w:tr>
      <w:tr>
        <w:trPr>
          <w:cantSplit/>
        </w:trPr>
        <w:tc>
          <w:tcPr>
            <w:tcW w:type="dxa" w:w="2232"/>
            <w:tcMar>
              <w:top w:w="80" w:type="dxa"/>
              <w:start w:w="120" w:type="dxa"/>
              <w:bottom w:w="80" w:type="dxa"/>
              <w:end w:w="120" w:type="dxa"/>
            </w:tcMar>
            <w:vAlign w:val="center"/>
          </w:tcPr>
          <w:p>
            <w:r>
              <w:t>Authority leakage</w:t>
            </w:r>
          </w:p>
        </w:tc>
        <w:tc>
          <w:tcPr>
            <w:tcW w:type="dxa" w:w="6840"/>
            <w:tcMar>
              <w:top w:w="80" w:type="dxa"/>
              <w:start w:w="120" w:type="dxa"/>
              <w:bottom w:w="80" w:type="dxa"/>
              <w:end w:w="120" w:type="dxa"/>
            </w:tcMar>
            <w:vAlign w:val="center"/>
          </w:tcPr>
          <w:p>
            <w:r>
              <w:t>Recommendations or scores become approvals or decisions.</w:t>
            </w:r>
          </w:p>
        </w:tc>
      </w:tr>
      <w:tr>
        <w:trPr>
          <w:cantSplit/>
        </w:trPr>
        <w:tc>
          <w:tcPr>
            <w:tcW w:type="dxa" w:w="2232"/>
            <w:tcMar>
              <w:top w:w="80" w:type="dxa"/>
              <w:start w:w="120" w:type="dxa"/>
              <w:bottom w:w="80" w:type="dxa"/>
              <w:end w:w="120" w:type="dxa"/>
            </w:tcMar>
            <w:vAlign w:val="center"/>
          </w:tcPr>
          <w:p>
            <w:r>
              <w:t>Evidence laundering</w:t>
            </w:r>
          </w:p>
        </w:tc>
        <w:tc>
          <w:tcPr>
            <w:tcW w:type="dxa" w:w="6840"/>
            <w:tcMar>
              <w:top w:w="80" w:type="dxa"/>
              <w:start w:w="120" w:type="dxa"/>
              <w:bottom w:w="80" w:type="dxa"/>
              <w:end w:w="120" w:type="dxa"/>
            </w:tcMar>
            <w:vAlign w:val="center"/>
          </w:tcPr>
          <w:p>
            <w:r>
              <w:t>Unsupported claims appear credible after synthesis.</w:t>
            </w:r>
          </w:p>
        </w:tc>
      </w:tr>
      <w:tr>
        <w:trPr>
          <w:cantSplit/>
        </w:trPr>
        <w:tc>
          <w:tcPr>
            <w:tcW w:type="dxa" w:w="2232"/>
            <w:tcMar>
              <w:top w:w="80" w:type="dxa"/>
              <w:start w:w="120" w:type="dxa"/>
              <w:bottom w:w="80" w:type="dxa"/>
              <w:end w:w="120" w:type="dxa"/>
            </w:tcMar>
            <w:vAlign w:val="center"/>
          </w:tcPr>
          <w:p>
            <w:r>
              <w:t>Prompt injection</w:t>
            </w:r>
          </w:p>
        </w:tc>
        <w:tc>
          <w:tcPr>
            <w:tcW w:type="dxa" w:w="6840"/>
            <w:tcMar>
              <w:top w:w="80" w:type="dxa"/>
              <w:start w:w="120" w:type="dxa"/>
              <w:bottom w:w="80" w:type="dxa"/>
              <w:end w:w="120" w:type="dxa"/>
            </w:tcMar>
            <w:vAlign w:val="center"/>
          </w:tcPr>
          <w:p>
            <w:r>
              <w:t>Input content attempts to override the governing instruction hierarchy.</w:t>
            </w:r>
          </w:p>
        </w:tc>
      </w:tr>
    </w:tbl>
    <w:p>
      <w:pPr>
        <w:pStyle w:val="Heading2"/>
      </w:pPr>
      <w:r>
        <w:t>Facilitation run of show</w:t>
      </w:r>
    </w:p>
    <w:p>
      <w:pPr>
        <w:numPr>
          <w:ilvl w:val="0"/>
          <w:numId w:val="20"/>
        </w:numPr>
        <w:spacing w:after="80" w:line="300" w:lineRule="auto"/>
      </w:pPr>
      <w:r>
        <w:t>Failure taxonomy.</w:t>
      </w:r>
    </w:p>
    <w:p>
      <w:pPr>
        <w:numPr>
          <w:ilvl w:val="0"/>
          <w:numId w:val="20"/>
        </w:numPr>
        <w:spacing w:after="80" w:line="300" w:lineRule="auto"/>
      </w:pPr>
      <w:r>
        <w:t>Bad prompt teardown.</w:t>
      </w:r>
    </w:p>
    <w:p>
      <w:pPr>
        <w:numPr>
          <w:ilvl w:val="0"/>
          <w:numId w:val="20"/>
        </w:numPr>
        <w:spacing w:after="80" w:line="300" w:lineRule="auto"/>
      </w:pPr>
      <w:r>
        <w:t>Adversarial case design.</w:t>
      </w:r>
    </w:p>
    <w:p>
      <w:pPr>
        <w:numPr>
          <w:ilvl w:val="0"/>
          <w:numId w:val="20"/>
        </w:numPr>
        <w:spacing w:after="80" w:line="300" w:lineRule="auto"/>
      </w:pPr>
      <w:r>
        <w:t>Red-team exchange.</w:t>
      </w:r>
    </w:p>
    <w:p>
      <w:pPr>
        <w:numPr>
          <w:ilvl w:val="0"/>
          <w:numId w:val="20"/>
        </w:numPr>
        <w:spacing w:after="80" w:line="300" w:lineRule="auto"/>
      </w:pPr>
      <w:r>
        <w:t>Repair sprint.</w:t>
      </w:r>
    </w:p>
    <w:p>
      <w:pPr>
        <w:pStyle w:val="Heading2"/>
      </w:pPr>
      <w:r>
        <w:t>Instructor narrative</w:t>
      </w:r>
    </w:p>
    <w:p>
      <w:r>
        <w:t>Open by asking: “How will this prompt fail under pressure?”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Attack another team’s prompt with eight cases: missing inputs, contradictory evidence, stale evidence, malicious repository text, huge context, tool failure, schema conflict, and pressure to approve.</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Add explicit behavior for each attack without turning the prompt into an unreadable exception list.</w:t>
            </w:r>
          </w:p>
        </w:tc>
      </w:tr>
    </w:tbl>
    <w:p>
      <w:pPr>
        <w:spacing w:after="0"/>
      </w:pPr>
    </w:p>
    <w:p>
      <w:pPr>
        <w:pStyle w:val="Heading2"/>
      </w:pPr>
      <w:r>
        <w:t>Exit ticket and evidence of learning</w:t>
      </w:r>
    </w:p>
    <w:p>
      <w:r>
        <w:t>Learner demonstrates that the repaired prompt fails closed, preserves provenance, and requests human action when appropriate.</w:t>
      </w:r>
    </w:p>
    <w:p>
      <w:pPr>
        <w:pStyle w:val="Heading2"/>
      </w:pPr>
      <w:r>
        <w:t>Watch for these misconceptions</w:t>
      </w:r>
    </w:p>
    <w:p>
      <w:pPr>
        <w:pStyle w:val="ListBullet"/>
        <w:spacing w:after="80" w:line="300" w:lineRule="auto"/>
      </w:pPr>
      <w:r>
        <w:t>Prompt injection is only a web-browser problem.</w:t>
      </w:r>
    </w:p>
    <w:p>
      <w:pPr>
        <w:pStyle w:val="ListBullet"/>
        <w:spacing w:after="80" w:line="300" w:lineRule="auto"/>
      </w:pPr>
      <w:r>
        <w:t>Refusal is the only safe failure behavior.</w:t>
      </w:r>
    </w:p>
    <w:p>
      <w:pPr>
        <w:pStyle w:val="ListBullet"/>
        <w:spacing w:after="80" w:line="300" w:lineRule="auto"/>
      </w:pPr>
      <w:r>
        <w:t>A JSON schema prevents semantic overreach.</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contracts/style-and-validation.md; contracts/sandboxed-contract-evolution.md; governance/integration-boundaries.md</w:t>
      </w:r>
    </w:p>
    <w:p>
      <w:r>
        <w:br w:type="page"/>
      </w:r>
    </w:p>
    <w:p>
      <w:pPr>
        <w:pStyle w:val="Heading1"/>
      </w:pPr>
      <w:r>
        <w:t>Session 11: Evaluation, Calibration, and Prompt Evolution</w:t>
      </w:r>
    </w:p>
    <w:p>
      <w:r>
        <w:rPr>
          <w:b/>
        </w:rPr>
        <w:t xml:space="preserve">Duration: </w:t>
      </w:r>
      <w:r>
        <w:t>120 minutes</w:t>
      </w:r>
      <w:r>
        <w:rPr>
          <w:b/>
        </w:rPr>
        <w:t xml:space="preserve">   |   Driving question: </w:t>
      </w:r>
      <w:r>
        <w:t>How do we know a prompt is improving rather than merely changing?</w:t>
      </w:r>
    </w:p>
    <w:p>
      <w:pPr>
        <w:pStyle w:val="Heading2"/>
      </w:pPr>
      <w:r>
        <w:t>Learning outcomes</w:t>
      </w:r>
    </w:p>
    <w:p>
      <w:pPr>
        <w:pStyle w:val="ListBullet"/>
        <w:spacing w:after="80" w:line="300" w:lineRule="auto"/>
      </w:pPr>
      <w:r>
        <w:t>Build a contract-derived evaluation rubric and test corpus.</w:t>
      </w:r>
    </w:p>
    <w:p>
      <w:pPr>
        <w:pStyle w:val="ListBullet"/>
        <w:spacing w:after="80" w:line="300" w:lineRule="auto"/>
      </w:pPr>
      <w:r>
        <w:t>Measure completeness, grounding, boundary adherence, calibration, and usefulness.</w:t>
      </w:r>
    </w:p>
    <w:p>
      <w:pPr>
        <w:pStyle w:val="ListBullet"/>
        <w:spacing w:after="80" w:line="300" w:lineRule="auto"/>
      </w:pPr>
      <w:r>
        <w:t>Evolve prompts and contracts through controlled, auditable change.</w:t>
      </w:r>
    </w:p>
    <w:p>
      <w:r>
        <w:drawing>
          <wp:inline xmlns:a="http://schemas.openxmlformats.org/drawingml/2006/main" xmlns:pic="http://schemas.openxmlformats.org/drawingml/2006/picture">
            <wp:extent cx="5806440" cy="3338703"/>
            <wp:docPr id="12" name="Picture 12"/>
            <wp:cNvGraphicFramePr>
              <a:graphicFrameLocks noChangeAspect="1"/>
            </wp:cNvGraphicFramePr>
            <a:graphic>
              <a:graphicData uri="http://schemas.openxmlformats.org/drawingml/2006/picture">
                <pic:pic>
                  <pic:nvPicPr>
                    <pic:cNvPr id="0" name="prompt-anatomy.png"/>
                    <pic:cNvPicPr/>
                  </pic:nvPicPr>
                  <pic:blipFill>
                    <a:blip r:embed="rId16"/>
                    <a:stretch>
                      <a:fillRect/>
                    </a:stretch>
                  </pic:blipFill>
                  <pic:spPr>
                    <a:xfrm>
                      <a:off x="0" y="0"/>
                      <a:ext cx="5806440" cy="3338703"/>
                    </a:xfrm>
                    <a:prstGeom prst="rect"/>
                  </pic:spPr>
                </pic:pic>
              </a:graphicData>
            </a:graphic>
          </wp:inline>
        </w:drawing>
      </w:r>
    </w:p>
    <w:p>
      <w:pPr>
        <w:jc w:val="center"/>
      </w:pPr>
      <w:r>
        <w:rPr>
          <w:i/>
          <w:sz w:val="18"/>
        </w:rPr>
        <w:t>Session visual: Evaluation, Calibration, and Prompt Evolution.</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Evaluation case</w:t>
            </w:r>
          </w:p>
        </w:tc>
        <w:tc>
          <w:tcPr>
            <w:tcW w:type="dxa" w:w="6840"/>
            <w:tcMar>
              <w:top w:w="80" w:type="dxa"/>
              <w:start w:w="120" w:type="dxa"/>
              <w:bottom w:w="80" w:type="dxa"/>
              <w:end w:w="120" w:type="dxa"/>
            </w:tcMar>
            <w:vAlign w:val="center"/>
          </w:tcPr>
          <w:p>
            <w:r>
              <w:t>Inputs plus expected invariants and failure behavior.</w:t>
            </w:r>
          </w:p>
        </w:tc>
      </w:tr>
      <w:tr>
        <w:trPr>
          <w:cantSplit/>
        </w:trPr>
        <w:tc>
          <w:tcPr>
            <w:tcW w:type="dxa" w:w="2232"/>
            <w:tcMar>
              <w:top w:w="80" w:type="dxa"/>
              <w:start w:w="120" w:type="dxa"/>
              <w:bottom w:w="80" w:type="dxa"/>
              <w:end w:w="120" w:type="dxa"/>
            </w:tcMar>
            <w:vAlign w:val="center"/>
          </w:tcPr>
          <w:p>
            <w:r>
              <w:t>Calibration</w:t>
            </w:r>
          </w:p>
        </w:tc>
        <w:tc>
          <w:tcPr>
            <w:tcW w:type="dxa" w:w="6840"/>
            <w:tcMar>
              <w:top w:w="80" w:type="dxa"/>
              <w:start w:w="120" w:type="dxa"/>
              <w:bottom w:w="80" w:type="dxa"/>
              <w:end w:w="120" w:type="dxa"/>
            </w:tcMar>
            <w:vAlign w:val="center"/>
          </w:tcPr>
          <w:p>
            <w:r>
              <w:t>Confidence and severity correspond to evidence strength and impact.</w:t>
            </w:r>
          </w:p>
        </w:tc>
      </w:tr>
      <w:tr>
        <w:trPr>
          <w:cantSplit/>
        </w:trPr>
        <w:tc>
          <w:tcPr>
            <w:tcW w:type="dxa" w:w="2232"/>
            <w:tcMar>
              <w:top w:w="80" w:type="dxa"/>
              <w:start w:w="120" w:type="dxa"/>
              <w:bottom w:w="80" w:type="dxa"/>
              <w:end w:w="120" w:type="dxa"/>
            </w:tcMar>
            <w:vAlign w:val="center"/>
          </w:tcPr>
          <w:p>
            <w:r>
              <w:t>Regression</w:t>
            </w:r>
          </w:p>
        </w:tc>
        <w:tc>
          <w:tcPr>
            <w:tcW w:type="dxa" w:w="6840"/>
            <w:tcMar>
              <w:top w:w="80" w:type="dxa"/>
              <w:start w:w="120" w:type="dxa"/>
              <w:bottom w:w="80" w:type="dxa"/>
              <w:end w:w="120" w:type="dxa"/>
            </w:tcMar>
            <w:vAlign w:val="center"/>
          </w:tcPr>
          <w:p>
            <w:r>
              <w:t>A previously satisfied invariant no longer holds.</w:t>
            </w:r>
          </w:p>
        </w:tc>
      </w:tr>
      <w:tr>
        <w:trPr>
          <w:cantSplit/>
        </w:trPr>
        <w:tc>
          <w:tcPr>
            <w:tcW w:type="dxa" w:w="2232"/>
            <w:tcMar>
              <w:top w:w="80" w:type="dxa"/>
              <w:start w:w="120" w:type="dxa"/>
              <w:bottom w:w="80" w:type="dxa"/>
              <w:end w:w="120" w:type="dxa"/>
            </w:tcMar>
            <w:vAlign w:val="center"/>
          </w:tcPr>
          <w:p>
            <w:r>
              <w:t>Sandboxed evolution</w:t>
            </w:r>
          </w:p>
        </w:tc>
        <w:tc>
          <w:tcPr>
            <w:tcW w:type="dxa" w:w="6840"/>
            <w:tcMar>
              <w:top w:w="80" w:type="dxa"/>
              <w:start w:w="120" w:type="dxa"/>
              <w:bottom w:w="80" w:type="dxa"/>
              <w:end w:w="120" w:type="dxa"/>
            </w:tcMar>
            <w:vAlign w:val="center"/>
          </w:tcPr>
          <w:p>
            <w:r>
              <w:t>Propose, test, compare, approve, and version changes before adoption.</w:t>
            </w:r>
          </w:p>
        </w:tc>
      </w:tr>
    </w:tbl>
    <w:p>
      <w:pPr>
        <w:pStyle w:val="Heading2"/>
      </w:pPr>
      <w:r>
        <w:t>Facilitation run of show</w:t>
      </w:r>
    </w:p>
    <w:p>
      <w:pPr>
        <w:numPr>
          <w:ilvl w:val="0"/>
          <w:numId w:val="21"/>
        </w:numPr>
        <w:spacing w:after="80" w:line="300" w:lineRule="auto"/>
      </w:pPr>
      <w:r>
        <w:t>Rubric design.</w:t>
      </w:r>
    </w:p>
    <w:p>
      <w:pPr>
        <w:numPr>
          <w:ilvl w:val="0"/>
          <w:numId w:val="21"/>
        </w:numPr>
        <w:spacing w:after="80" w:line="300" w:lineRule="auto"/>
      </w:pPr>
      <w:r>
        <w:t>Golden cases and invariants.</w:t>
      </w:r>
    </w:p>
    <w:p>
      <w:pPr>
        <w:numPr>
          <w:ilvl w:val="0"/>
          <w:numId w:val="21"/>
        </w:numPr>
        <w:spacing w:after="80" w:line="300" w:lineRule="auto"/>
      </w:pPr>
      <w:r>
        <w:t>Calibration exercise.</w:t>
      </w:r>
    </w:p>
    <w:p>
      <w:pPr>
        <w:numPr>
          <w:ilvl w:val="0"/>
          <w:numId w:val="21"/>
        </w:numPr>
        <w:spacing w:after="80" w:line="300" w:lineRule="auto"/>
      </w:pPr>
      <w:r>
        <w:t>A/B prompt test.</w:t>
      </w:r>
    </w:p>
    <w:p>
      <w:pPr>
        <w:numPr>
          <w:ilvl w:val="0"/>
          <w:numId w:val="21"/>
        </w:numPr>
        <w:spacing w:after="80" w:line="300" w:lineRule="auto"/>
      </w:pPr>
      <w:r>
        <w:t>Change governance.</w:t>
      </w:r>
    </w:p>
    <w:p>
      <w:pPr>
        <w:pStyle w:val="Heading2"/>
      </w:pPr>
      <w:r>
        <w:t>Instructor narrative</w:t>
      </w:r>
    </w:p>
    <w:p>
      <w:r>
        <w:t>Open by asking: “How do we know a prompt is improving rather than merely changing?”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Score two prompt versions against the same test corpus. Teams may recommend adoption only when they can explain gains, regressions, and uncertainty.</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Create a ten-case evaluation suite for the team’s agent, including at least three negative and two conflict cases.</w:t>
            </w:r>
          </w:p>
        </w:tc>
      </w:tr>
    </w:tbl>
    <w:p>
      <w:pPr>
        <w:spacing w:after="0"/>
      </w:pPr>
    </w:p>
    <w:p>
      <w:pPr>
        <w:pStyle w:val="Heading2"/>
      </w:pPr>
      <w:r>
        <w:t>Exit ticket and evidence of learning</w:t>
      </w:r>
    </w:p>
    <w:p>
      <w:r>
        <w:t>Learner produces a scorecard with observable criteria and a versioning recommendation tied to semantic impact.</w:t>
      </w:r>
    </w:p>
    <w:p>
      <w:pPr>
        <w:pStyle w:val="Heading2"/>
      </w:pPr>
      <w:r>
        <w:t>Watch for these misconceptions</w:t>
      </w:r>
    </w:p>
    <w:p>
      <w:pPr>
        <w:pStyle w:val="ListBullet"/>
        <w:spacing w:after="80" w:line="300" w:lineRule="auto"/>
      </w:pPr>
      <w:r>
        <w:t>One impressive demo proves prompt quality.</w:t>
      </w:r>
    </w:p>
    <w:p>
      <w:pPr>
        <w:pStyle w:val="ListBullet"/>
        <w:spacing w:after="80" w:line="300" w:lineRule="auto"/>
      </w:pPr>
      <w:r>
        <w:t>Higher finding count means better review.</w:t>
      </w:r>
    </w:p>
    <w:p>
      <w:pPr>
        <w:pStyle w:val="ListBullet"/>
        <w:spacing w:after="80" w:line="300" w:lineRule="auto"/>
      </w:pPr>
      <w:r>
        <w:t>Prompt edits do not require version discipline.</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governance/reviewer-calibration-and-evolution.md; contracts/sandboxed-contract-evolution.md; contracts/style-and-validation.md</w:t>
      </w:r>
    </w:p>
    <w:p>
      <w:r>
        <w:br w:type="page"/>
      </w:r>
    </w:p>
    <w:p>
      <w:pPr>
        <w:pStyle w:val="Heading1"/>
      </w:pPr>
      <w:r>
        <w:t>Session 12: Prompt Factory Capstone</w:t>
      </w:r>
    </w:p>
    <w:p>
      <w:r>
        <w:rPr>
          <w:b/>
        </w:rPr>
        <w:t xml:space="preserve">Duration: </w:t>
      </w:r>
      <w:r>
        <w:t>180 minutes</w:t>
      </w:r>
      <w:r>
        <w:rPr>
          <w:b/>
        </w:rPr>
        <w:t xml:space="preserve">   |   Driving question: </w:t>
      </w:r>
      <w:r>
        <w:t>Can the team ship a prompt package that another team can operate and audit?</w:t>
      </w:r>
    </w:p>
    <w:p>
      <w:pPr>
        <w:pStyle w:val="Heading2"/>
      </w:pPr>
      <w:r>
        <w:t>Learning outcomes</w:t>
      </w:r>
    </w:p>
    <w:p>
      <w:pPr>
        <w:pStyle w:val="ListBullet"/>
        <w:spacing w:after="80" w:line="300" w:lineRule="auto"/>
      </w:pPr>
      <w:r>
        <w:t>Produce a complete prompt package for assigned catalog agents.</w:t>
      </w:r>
    </w:p>
    <w:p>
      <w:pPr>
        <w:pStyle w:val="ListBullet"/>
        <w:spacing w:after="80" w:line="300" w:lineRule="auto"/>
      </w:pPr>
      <w:r>
        <w:t>Demonstrate contract compliance through tests and traceability.</w:t>
      </w:r>
    </w:p>
    <w:p>
      <w:pPr>
        <w:pStyle w:val="ListBullet"/>
        <w:spacing w:after="80" w:line="300" w:lineRule="auto"/>
      </w:pPr>
      <w:r>
        <w:t>Conduct a human review that accepts, rejects, or requests changes with evidence.</w:t>
      </w:r>
    </w:p>
    <w:p>
      <w:r>
        <w:drawing>
          <wp:inline xmlns:a="http://schemas.openxmlformats.org/drawingml/2006/main" xmlns:pic="http://schemas.openxmlformats.org/drawingml/2006/picture">
            <wp:extent cx="5806440" cy="3193542"/>
            <wp:docPr id="13" name="Picture 13"/>
            <wp:cNvGraphicFramePr>
              <a:graphicFrameLocks noChangeAspect="1"/>
            </wp:cNvGraphicFramePr>
            <a:graphic>
              <a:graphicData uri="http://schemas.openxmlformats.org/drawingml/2006/picture">
                <pic:pic>
                  <pic:nvPicPr>
                    <pic:cNvPr id="0" name="orchestration.png"/>
                    <pic:cNvPicPr/>
                  </pic:nvPicPr>
                  <pic:blipFill>
                    <a:blip r:embed="rId15"/>
                    <a:stretch>
                      <a:fillRect/>
                    </a:stretch>
                  </pic:blipFill>
                  <pic:spPr>
                    <a:xfrm>
                      <a:off x="0" y="0"/>
                      <a:ext cx="5806440" cy="3193542"/>
                    </a:xfrm>
                    <a:prstGeom prst="rect"/>
                  </pic:spPr>
                </pic:pic>
              </a:graphicData>
            </a:graphic>
          </wp:inline>
        </w:drawing>
      </w:r>
    </w:p>
    <w:p>
      <w:pPr>
        <w:jc w:val="center"/>
      </w:pPr>
      <w:r>
        <w:rPr>
          <w:i/>
          <w:sz w:val="18"/>
        </w:rPr>
        <w:t>Session visual: Prompt Factory Capstone.</w:t>
      </w:r>
    </w:p>
    <w:p>
      <w:pPr>
        <w:pStyle w:val="Heading2"/>
      </w:pPr>
      <w:r>
        <w:t>Core mental model</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Concept</w:t>
            </w:r>
          </w:p>
        </w:tc>
        <w:tc>
          <w:tcPr>
            <w:tcW w:type="dxa" w:w="6840"/>
            <w:tcMar>
              <w:top w:w="80" w:type="dxa"/>
              <w:start w:w="120" w:type="dxa"/>
              <w:bottom w:w="80" w:type="dxa"/>
              <w:end w:w="120" w:type="dxa"/>
            </w:tcMar>
            <w:vAlign w:val="center"/>
            <w:shd w:fill="E8EEF5"/>
          </w:tcPr>
          <w:p>
            <w:r>
              <w:rPr>
                <w:b/>
                <w:color w:val="1F4D78"/>
              </w:rPr>
              <w:t>Working definition</w:t>
            </w:r>
          </w:p>
        </w:tc>
      </w:tr>
      <w:tr>
        <w:trPr>
          <w:cantSplit/>
        </w:trPr>
        <w:tc>
          <w:tcPr>
            <w:tcW w:type="dxa" w:w="2232"/>
            <w:tcMar>
              <w:top w:w="80" w:type="dxa"/>
              <w:start w:w="120" w:type="dxa"/>
              <w:bottom w:w="80" w:type="dxa"/>
              <w:end w:w="120" w:type="dxa"/>
            </w:tcMar>
            <w:vAlign w:val="center"/>
          </w:tcPr>
          <w:p>
            <w:r>
              <w:t>Prompt package</w:t>
            </w:r>
          </w:p>
        </w:tc>
        <w:tc>
          <w:tcPr>
            <w:tcW w:type="dxa" w:w="6840"/>
            <w:tcMar>
              <w:top w:w="80" w:type="dxa"/>
              <w:start w:w="120" w:type="dxa"/>
              <w:bottom w:w="80" w:type="dxa"/>
              <w:end w:w="120" w:type="dxa"/>
            </w:tcMar>
            <w:vAlign w:val="center"/>
          </w:tcPr>
          <w:p>
            <w:r>
              <w:t>Prompt, trace matrix, examples, tests, scores, known limits, and version record.</w:t>
            </w:r>
          </w:p>
        </w:tc>
      </w:tr>
      <w:tr>
        <w:trPr>
          <w:cantSplit/>
        </w:trPr>
        <w:tc>
          <w:tcPr>
            <w:tcW w:type="dxa" w:w="2232"/>
            <w:tcMar>
              <w:top w:w="80" w:type="dxa"/>
              <w:start w:w="120" w:type="dxa"/>
              <w:bottom w:w="80" w:type="dxa"/>
              <w:end w:w="120" w:type="dxa"/>
            </w:tcMar>
            <w:vAlign w:val="center"/>
          </w:tcPr>
          <w:p>
            <w:r>
              <w:t>Coverage plan</w:t>
            </w:r>
          </w:p>
        </w:tc>
        <w:tc>
          <w:tcPr>
            <w:tcW w:type="dxa" w:w="6840"/>
            <w:tcMar>
              <w:top w:w="80" w:type="dxa"/>
              <w:start w:w="120" w:type="dxa"/>
              <w:bottom w:w="80" w:type="dxa"/>
              <w:end w:w="120" w:type="dxa"/>
            </w:tcMar>
            <w:vAlign w:val="center"/>
          </w:tcPr>
          <w:p>
            <w:r>
              <w:t>How the class will draft and review all 55 catalog agents.</w:t>
            </w:r>
          </w:p>
        </w:tc>
      </w:tr>
      <w:tr>
        <w:trPr>
          <w:cantSplit/>
        </w:trPr>
        <w:tc>
          <w:tcPr>
            <w:tcW w:type="dxa" w:w="2232"/>
            <w:tcMar>
              <w:top w:w="80" w:type="dxa"/>
              <w:start w:w="120" w:type="dxa"/>
              <w:bottom w:w="80" w:type="dxa"/>
              <w:end w:w="120" w:type="dxa"/>
            </w:tcMar>
            <w:vAlign w:val="center"/>
          </w:tcPr>
          <w:p>
            <w:r>
              <w:t>Peer gate</w:t>
            </w:r>
          </w:p>
        </w:tc>
        <w:tc>
          <w:tcPr>
            <w:tcW w:type="dxa" w:w="6840"/>
            <w:tcMar>
              <w:top w:w="80" w:type="dxa"/>
              <w:start w:w="120" w:type="dxa"/>
              <w:bottom w:w="80" w:type="dxa"/>
              <w:end w:w="120" w:type="dxa"/>
            </w:tcMar>
            <w:vAlign w:val="center"/>
          </w:tcPr>
          <w:p>
            <w:r>
              <w:t>Independent verification before instructor acceptance.</w:t>
            </w:r>
          </w:p>
        </w:tc>
      </w:tr>
      <w:tr>
        <w:trPr>
          <w:cantSplit/>
        </w:trPr>
        <w:tc>
          <w:tcPr>
            <w:tcW w:type="dxa" w:w="2232"/>
            <w:tcMar>
              <w:top w:w="80" w:type="dxa"/>
              <w:start w:w="120" w:type="dxa"/>
              <w:bottom w:w="80" w:type="dxa"/>
              <w:end w:w="120" w:type="dxa"/>
            </w:tcMar>
            <w:vAlign w:val="center"/>
          </w:tcPr>
          <w:p>
            <w:r>
              <w:t>Operational handoff</w:t>
            </w:r>
          </w:p>
        </w:tc>
        <w:tc>
          <w:tcPr>
            <w:tcW w:type="dxa" w:w="6840"/>
            <w:tcMar>
              <w:top w:w="80" w:type="dxa"/>
              <w:start w:w="120" w:type="dxa"/>
              <w:bottom w:w="80" w:type="dxa"/>
              <w:end w:w="120" w:type="dxa"/>
            </w:tcMar>
            <w:vAlign w:val="center"/>
          </w:tcPr>
          <w:p>
            <w:r>
              <w:t>Enough clarity for a new engineer to run and maintain the agent.</w:t>
            </w:r>
          </w:p>
        </w:tc>
      </w:tr>
    </w:tbl>
    <w:p>
      <w:pPr>
        <w:pStyle w:val="Heading2"/>
      </w:pPr>
      <w:r>
        <w:t>Facilitation run of show</w:t>
      </w:r>
    </w:p>
    <w:p>
      <w:pPr>
        <w:numPr>
          <w:ilvl w:val="0"/>
          <w:numId w:val="22"/>
        </w:numPr>
        <w:spacing w:after="80" w:line="300" w:lineRule="auto"/>
      </w:pPr>
      <w:r>
        <w:t>Team assignments.</w:t>
      </w:r>
    </w:p>
    <w:p>
      <w:pPr>
        <w:numPr>
          <w:ilvl w:val="0"/>
          <w:numId w:val="22"/>
        </w:numPr>
        <w:spacing w:after="80" w:line="300" w:lineRule="auto"/>
      </w:pPr>
      <w:r>
        <w:t>Drafting sprint.</w:t>
      </w:r>
    </w:p>
    <w:p>
      <w:pPr>
        <w:numPr>
          <w:ilvl w:val="0"/>
          <w:numId w:val="22"/>
        </w:numPr>
        <w:spacing w:after="80" w:line="300" w:lineRule="auto"/>
      </w:pPr>
      <w:r>
        <w:t>Adversarial test.</w:t>
      </w:r>
    </w:p>
    <w:p>
      <w:pPr>
        <w:numPr>
          <w:ilvl w:val="0"/>
          <w:numId w:val="22"/>
        </w:numPr>
        <w:spacing w:after="80" w:line="300" w:lineRule="auto"/>
      </w:pPr>
      <w:r>
        <w:t>Peer gate.</w:t>
      </w:r>
    </w:p>
    <w:p>
      <w:pPr>
        <w:numPr>
          <w:ilvl w:val="0"/>
          <w:numId w:val="22"/>
        </w:numPr>
        <w:spacing w:after="80" w:line="300" w:lineRule="auto"/>
      </w:pPr>
      <w:r>
        <w:t>Demo and review.</w:t>
      </w:r>
    </w:p>
    <w:p>
      <w:pPr>
        <w:pStyle w:val="Heading2"/>
      </w:pPr>
      <w:r>
        <w:t>Instructor narrative</w:t>
      </w:r>
    </w:p>
    <w:p>
      <w:r>
        <w:t>Open by asking: “Can the team ship a prompt package that another team can operate and audit?” Accept initial answers, but require learners to name observable controls, contract fields, states, or evidence links. Use the diagram to build a shared vocabulary. Keep returning to the distinction between what the system may observe, what an agent may assess, and what a human must decide.</w:t>
      </w:r>
    </w:p>
    <w:p>
      <w:r>
        <w:t>During the worked example, narrate the artifact boundaries aloud: identify the producer, contract version, input evidence, coverage, confidence, consumer, and decision request. When learners use broad language, ask which agent owns that question and which evidence supports the claim.</w:t>
      </w:r>
    </w:p>
    <w:p>
      <w:pPr>
        <w:pStyle w:val="Heading2"/>
      </w:pPr>
      <w:r>
        <w:t>Guided lab</w:t>
      </w:r>
    </w:p>
    <w:tbl>
      <w:tblPr>
        <w:tblW w:type="auto" w:w="0"/>
        <w:jc w:val="center"/>
        <w:tblLook w:firstColumn="1" w:firstRow="1" w:lastColumn="0" w:lastRow="0" w:noHBand="0" w:noVBand="1" w:val="04A0"/>
      </w:tblPr>
      <w:tblGrid>
        <w:gridCol w:w="9360"/>
      </w:tblGrid>
      <w:tr>
        <w:trPr>
          <w:cantSplit/>
        </w:trPr>
        <w:tc>
          <w:tcPr>
            <w:tcW w:type="dxa" w:w="9360"/>
            <w:shd w:fill="EAF5EE"/>
            <w:tcMar>
              <w:top w:w="140" w:type="dxa"/>
              <w:start w:w="180" w:type="dxa"/>
              <w:bottom w:w="140" w:type="dxa"/>
              <w:end w:w="180" w:type="dxa"/>
            </w:tcMar>
          </w:tcPr>
          <w:p>
            <w:r>
              <w:rPr>
                <w:b/>
                <w:color w:val="1F4D78"/>
              </w:rPr>
              <w:t xml:space="preserve">Team task  </w:t>
            </w:r>
            <w:r>
              <w:t>Each team completes its assigned agent bundle, runs the evaluation suite, and demonstrates one success, one incomplete-input path, one conflict path, and one authority-boundary path.</w:t>
            </w:r>
          </w:p>
        </w:tc>
      </w:tr>
    </w:tbl>
    <w:p>
      <w:pPr>
        <w:spacing w:after="0"/>
      </w:pPr>
    </w:p>
    <w:p>
      <w:pPr>
        <w:pStyle w:val="Heading2"/>
      </w:pPr>
      <w:r>
        <w:t>Prompt engineering lab</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Drafting task  </w:t>
            </w:r>
            <w:r>
              <w:t>Finalize the production candidate and document every intentional deviation from the shared prompt modules.</w:t>
            </w:r>
          </w:p>
        </w:tc>
      </w:tr>
    </w:tbl>
    <w:p>
      <w:pPr>
        <w:spacing w:after="0"/>
      </w:pPr>
    </w:p>
    <w:p>
      <w:pPr>
        <w:pStyle w:val="Heading2"/>
      </w:pPr>
      <w:r>
        <w:t>Exit ticket and evidence of learning</w:t>
      </w:r>
    </w:p>
    <w:p>
      <w:r>
        <w:t>A human review panel scores the package and records a decision request: accept as baseline, accept as seed, or return for change.</w:t>
      </w:r>
    </w:p>
    <w:p>
      <w:pPr>
        <w:pStyle w:val="Heading2"/>
      </w:pPr>
      <w:r>
        <w:t>Watch for these misconceptions</w:t>
      </w:r>
    </w:p>
    <w:p>
      <w:pPr>
        <w:pStyle w:val="ListBullet"/>
        <w:spacing w:after="80" w:line="300" w:lineRule="auto"/>
      </w:pPr>
      <w:r>
        <w:t>The prompt text alone is the deliverable.</w:t>
      </w:r>
    </w:p>
    <w:p>
      <w:pPr>
        <w:pStyle w:val="ListBullet"/>
        <w:spacing w:after="80" w:line="300" w:lineRule="auto"/>
      </w:pPr>
      <w:r>
        <w:t>Passing the happy path is sufficient.</w:t>
      </w:r>
    </w:p>
    <w:p>
      <w:pPr>
        <w:pStyle w:val="ListBullet"/>
        <w:spacing w:after="80" w:line="300" w:lineRule="auto"/>
      </w:pPr>
      <w:r>
        <w:t>A capstone score grants autonomous deployment authority.</w:t>
      </w:r>
    </w:p>
    <w:p>
      <w:pPr>
        <w:pStyle w:val="Heading2"/>
      </w:pPr>
      <w:r>
        <w:t>Facilitator prompts</w:t>
      </w:r>
    </w:p>
    <w:p>
      <w:pPr>
        <w:pStyle w:val="ListBullet"/>
        <w:spacing w:after="80" w:line="300" w:lineRule="auto"/>
      </w:pPr>
      <w:r>
        <w:t>What contract or repository source makes that statement true?</w:t>
      </w:r>
    </w:p>
    <w:p>
      <w:pPr>
        <w:pStyle w:val="ListBullet"/>
        <w:spacing w:after="80" w:line="300" w:lineRule="auto"/>
      </w:pPr>
      <w:r>
        <w:t>What evidence would change your assessment?</w:t>
      </w:r>
    </w:p>
    <w:p>
      <w:pPr>
        <w:pStyle w:val="ListBullet"/>
        <w:spacing w:after="80" w:line="300" w:lineRule="auto"/>
      </w:pPr>
      <w:r>
        <w:t>Who consumes this artifact, and what do they need preserved?</w:t>
      </w:r>
    </w:p>
    <w:p>
      <w:pPr>
        <w:pStyle w:val="ListBullet"/>
        <w:spacing w:after="80" w:line="300" w:lineRule="auto"/>
      </w:pPr>
      <w:r>
        <w:t>What happens when required input is missing or conflicting?</w:t>
      </w:r>
    </w:p>
    <w:p>
      <w:pPr>
        <w:pStyle w:val="ListBullet"/>
        <w:spacing w:after="80" w:line="300" w:lineRule="auto"/>
      </w:pPr>
      <w:r>
        <w:t>Where does human decision authority enter the flow?</w:t>
      </w:r>
    </w:p>
    <w:p>
      <w:pPr>
        <w:spacing w:before="80" w:after="160"/>
      </w:pPr>
      <w:r>
        <w:rPr>
          <w:b/>
          <w:color w:val="1F4D78"/>
        </w:rPr>
        <w:t xml:space="preserve">Repository basis: </w:t>
      </w:r>
      <w:r>
        <w:t>agents/agent-registry.md; contracts/universal-agent-contract.md; governance/human-review-and-maturity.md</w:t>
      </w:r>
    </w:p>
    <w:p>
      <w:r>
        <w:br w:type="page"/>
      </w:r>
    </w:p>
    <w:p>
      <w:pPr>
        <w:pStyle w:val="Heading1"/>
      </w:pPr>
      <w:r>
        <w:t>Platform Prompt Engineering Standard</w:t>
      </w:r>
    </w:p>
    <w:p>
      <w:r>
        <w:t>On this platform, a prompt is not a free-form persona. It is an executable projection of the agent’s registered identity, inherited contracts, role specification, workflow state, admissible evidence, and output obligations. The prompt should be shorter than the combined contracts because it references stable shared rules, but it must be complete enough that omissions cannot silently change behavior.</w:t>
      </w:r>
    </w:p>
    <w:p>
      <w:r>
        <w:drawing>
          <wp:inline xmlns:a="http://schemas.openxmlformats.org/drawingml/2006/main" xmlns:pic="http://schemas.openxmlformats.org/drawingml/2006/picture">
            <wp:extent cx="5806440" cy="3338703"/>
            <wp:docPr id="14" name="Picture 14"/>
            <wp:cNvGraphicFramePr>
              <a:graphicFrameLocks noChangeAspect="1"/>
            </wp:cNvGraphicFramePr>
            <a:graphic>
              <a:graphicData uri="http://schemas.openxmlformats.org/drawingml/2006/picture">
                <pic:pic>
                  <pic:nvPicPr>
                    <pic:cNvPr id="0" name="prompt-anatomy.png"/>
                    <pic:cNvPicPr/>
                  </pic:nvPicPr>
                  <pic:blipFill>
                    <a:blip r:embed="rId16"/>
                    <a:stretch>
                      <a:fillRect/>
                    </a:stretch>
                  </pic:blipFill>
                  <pic:spPr>
                    <a:xfrm>
                      <a:off x="0" y="0"/>
                      <a:ext cx="5806440" cy="3338703"/>
                    </a:xfrm>
                    <a:prstGeom prst="rect"/>
                  </pic:spPr>
                </pic:pic>
              </a:graphicData>
            </a:graphic>
          </wp:inline>
        </w:drawing>
      </w:r>
    </w:p>
    <w:p>
      <w:pPr>
        <w:pStyle w:val="Heading2"/>
      </w:pPr>
      <w:r>
        <w:t>Universal prompt template</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880"/>
            <w:tcMar>
              <w:top w:w="80" w:type="dxa"/>
              <w:start w:w="120" w:type="dxa"/>
              <w:bottom w:w="80" w:type="dxa"/>
              <w:end w:w="120" w:type="dxa"/>
            </w:tcMar>
            <w:vAlign w:val="center"/>
            <w:shd w:fill="E8EEF5"/>
          </w:tcPr>
          <w:p>
            <w:r>
              <w:rPr>
                <w:b/>
                <w:color w:val="1F4D78"/>
              </w:rPr>
              <w:t>Prompt block</w:t>
            </w:r>
          </w:p>
        </w:tc>
        <w:tc>
          <w:tcPr>
            <w:tcW w:type="dxa" w:w="6192"/>
            <w:tcMar>
              <w:top w:w="80" w:type="dxa"/>
              <w:start w:w="120" w:type="dxa"/>
              <w:bottom w:w="80" w:type="dxa"/>
              <w:end w:w="120" w:type="dxa"/>
            </w:tcMar>
            <w:vAlign w:val="center"/>
            <w:shd w:fill="E8EEF5"/>
          </w:tcPr>
          <w:p>
            <w:r>
              <w:rPr>
                <w:b/>
                <w:color w:val="1F4D78"/>
              </w:rPr>
              <w:t>Required content</w:t>
            </w:r>
          </w:p>
        </w:tc>
      </w:tr>
      <w:tr>
        <w:trPr>
          <w:cantSplit/>
        </w:trPr>
        <w:tc>
          <w:tcPr>
            <w:tcW w:type="dxa" w:w="2880"/>
            <w:tcMar>
              <w:top w:w="80" w:type="dxa"/>
              <w:start w:w="120" w:type="dxa"/>
              <w:bottom w:w="80" w:type="dxa"/>
              <w:end w:w="120" w:type="dxa"/>
            </w:tcMar>
            <w:vAlign w:val="center"/>
          </w:tcPr>
          <w:p>
            <w:r>
              <w:t>1. Identity and version</w:t>
            </w:r>
          </w:p>
        </w:tc>
        <w:tc>
          <w:tcPr>
            <w:tcW w:type="dxa" w:w="6192"/>
            <w:tcMar>
              <w:top w:w="80" w:type="dxa"/>
              <w:start w:w="120" w:type="dxa"/>
              <w:bottom w:w="80" w:type="dxa"/>
              <w:end w:w="120" w:type="dxa"/>
            </w:tcMar>
            <w:vAlign w:val="center"/>
          </w:tcPr>
          <w:p>
            <w:r>
              <w:t>Canonical designation, immutable UUID, display name, layer, contract version, status, and role specification.</w:t>
            </w:r>
          </w:p>
        </w:tc>
      </w:tr>
      <w:tr>
        <w:trPr>
          <w:cantSplit/>
        </w:trPr>
        <w:tc>
          <w:tcPr>
            <w:tcW w:type="dxa" w:w="2880"/>
            <w:tcMar>
              <w:top w:w="80" w:type="dxa"/>
              <w:start w:w="120" w:type="dxa"/>
              <w:bottom w:w="80" w:type="dxa"/>
              <w:end w:w="120" w:type="dxa"/>
            </w:tcMar>
            <w:vAlign w:val="center"/>
          </w:tcPr>
          <w:p>
            <w:r>
              <w:t>2. Mission and authoritative question</w:t>
            </w:r>
          </w:p>
        </w:tc>
        <w:tc>
          <w:tcPr>
            <w:tcW w:type="dxa" w:w="6192"/>
            <w:tcMar>
              <w:top w:w="80" w:type="dxa"/>
              <w:start w:w="120" w:type="dxa"/>
              <w:bottom w:w="80" w:type="dxa"/>
              <w:end w:w="120" w:type="dxa"/>
            </w:tcMar>
            <w:vAlign w:val="center"/>
          </w:tcPr>
          <w:p>
            <w:r>
              <w:t>One owned question, the purpose of answering it, and the declared consumers.</w:t>
            </w:r>
          </w:p>
        </w:tc>
      </w:tr>
      <w:tr>
        <w:trPr>
          <w:cantSplit/>
        </w:trPr>
        <w:tc>
          <w:tcPr>
            <w:tcW w:type="dxa" w:w="2880"/>
            <w:tcMar>
              <w:top w:w="80" w:type="dxa"/>
              <w:start w:w="120" w:type="dxa"/>
              <w:bottom w:w="80" w:type="dxa"/>
              <w:end w:w="120" w:type="dxa"/>
            </w:tcMar>
            <w:vAlign w:val="center"/>
          </w:tcPr>
          <w:p>
            <w:r>
              <w:t>3. Authority boundary</w:t>
            </w:r>
          </w:p>
        </w:tc>
        <w:tc>
          <w:tcPr>
            <w:tcW w:type="dxa" w:w="6192"/>
            <w:tcMar>
              <w:top w:w="80" w:type="dxa"/>
              <w:start w:w="120" w:type="dxa"/>
              <w:bottom w:w="80" w:type="dxa"/>
              <w:end w:w="120" w:type="dxa"/>
            </w:tcMar>
            <w:vAlign w:val="center"/>
          </w:tcPr>
          <w:p>
            <w:r>
              <w:t>The agent may observe, assess, and recommend within scope. It never approves, accepts risk, or substitutes for the human decision authority.</w:t>
            </w:r>
          </w:p>
        </w:tc>
      </w:tr>
      <w:tr>
        <w:trPr>
          <w:cantSplit/>
        </w:trPr>
        <w:tc>
          <w:tcPr>
            <w:tcW w:type="dxa" w:w="2880"/>
            <w:tcMar>
              <w:top w:w="80" w:type="dxa"/>
              <w:start w:w="120" w:type="dxa"/>
              <w:bottom w:w="80" w:type="dxa"/>
              <w:end w:w="120" w:type="dxa"/>
            </w:tcMar>
            <w:vAlign w:val="center"/>
          </w:tcPr>
          <w:p>
            <w:r>
              <w:t>4. Inputs and evidence admission</w:t>
            </w:r>
          </w:p>
        </w:tc>
        <w:tc>
          <w:tcPr>
            <w:tcW w:type="dxa" w:w="6192"/>
            <w:tcMar>
              <w:top w:w="80" w:type="dxa"/>
              <w:start w:w="120" w:type="dxa"/>
              <w:bottom w:w="80" w:type="dxa"/>
              <w:end w:w="120" w:type="dxa"/>
            </w:tcMar>
            <w:vAlign w:val="center"/>
          </w:tcPr>
          <w:p>
            <w:r>
              <w:t>Required inputs, accepted evidence types, provenance rules, freshness, trust boundaries, and incomplete-input behavior.</w:t>
            </w:r>
          </w:p>
        </w:tc>
      </w:tr>
      <w:tr>
        <w:trPr>
          <w:cantSplit/>
        </w:trPr>
        <w:tc>
          <w:tcPr>
            <w:tcW w:type="dxa" w:w="2880"/>
            <w:tcMar>
              <w:top w:w="80" w:type="dxa"/>
              <w:start w:w="120" w:type="dxa"/>
              <w:bottom w:w="80" w:type="dxa"/>
              <w:end w:w="120" w:type="dxa"/>
            </w:tcMar>
            <w:vAlign w:val="center"/>
          </w:tcPr>
          <w:p>
            <w:r>
              <w:t>5. Scope and exclusions</w:t>
            </w:r>
          </w:p>
        </w:tc>
        <w:tc>
          <w:tcPr>
            <w:tcW w:type="dxa" w:w="6192"/>
            <w:tcMar>
              <w:top w:w="80" w:type="dxa"/>
              <w:start w:w="120" w:type="dxa"/>
              <w:bottom w:w="80" w:type="dxa"/>
              <w:end w:w="120" w:type="dxa"/>
            </w:tcMar>
            <w:vAlign w:val="center"/>
          </w:tcPr>
          <w:p>
            <w:r>
              <w:t>Included systems, files, time horizon, criteria, and explicit adjacent questions owned elsewhere.</w:t>
            </w:r>
          </w:p>
        </w:tc>
      </w:tr>
      <w:tr>
        <w:trPr>
          <w:cantSplit/>
        </w:trPr>
        <w:tc>
          <w:tcPr>
            <w:tcW w:type="dxa" w:w="2880"/>
            <w:tcMar>
              <w:top w:w="80" w:type="dxa"/>
              <w:start w:w="120" w:type="dxa"/>
              <w:bottom w:w="80" w:type="dxa"/>
              <w:end w:w="120" w:type="dxa"/>
            </w:tcMar>
            <w:vAlign w:val="center"/>
          </w:tcPr>
          <w:p>
            <w:r>
              <w:t>6. Method</w:t>
            </w:r>
          </w:p>
        </w:tc>
        <w:tc>
          <w:tcPr>
            <w:tcW w:type="dxa" w:w="6192"/>
            <w:tcMar>
              <w:top w:w="80" w:type="dxa"/>
              <w:start w:w="120" w:type="dxa"/>
              <w:bottom w:w="80" w:type="dxa"/>
              <w:end w:w="120" w:type="dxa"/>
            </w:tcMar>
            <w:vAlign w:val="center"/>
          </w:tcPr>
          <w:p>
            <w:r>
              <w:t>Ordered review procedure, criteria, required checks, tools, stopping rules, and treatment of conflicting evidence.</w:t>
            </w:r>
          </w:p>
        </w:tc>
      </w:tr>
      <w:tr>
        <w:trPr>
          <w:cantSplit/>
        </w:trPr>
        <w:tc>
          <w:tcPr>
            <w:tcW w:type="dxa" w:w="2880"/>
            <w:tcMar>
              <w:top w:w="80" w:type="dxa"/>
              <w:start w:w="120" w:type="dxa"/>
              <w:bottom w:w="80" w:type="dxa"/>
              <w:end w:w="120" w:type="dxa"/>
            </w:tcMar>
            <w:vAlign w:val="center"/>
          </w:tcPr>
          <w:p>
            <w:r>
              <w:t>7. State behavior</w:t>
            </w:r>
          </w:p>
        </w:tc>
        <w:tc>
          <w:tcPr>
            <w:tcW w:type="dxa" w:w="6192"/>
            <w:tcMar>
              <w:top w:w="80" w:type="dxa"/>
              <w:start w:w="120" w:type="dxa"/>
              <w:bottom w:w="80" w:type="dxa"/>
              <w:end w:w="120" w:type="dxa"/>
            </w:tcMar>
            <w:vAlign w:val="center"/>
          </w:tcPr>
          <w:p>
            <w:r>
              <w:t>Ready guards, running behavior, validation conditions, retry rules, and terminal states.</w:t>
            </w:r>
          </w:p>
        </w:tc>
      </w:tr>
      <w:tr>
        <w:trPr>
          <w:cantSplit/>
        </w:trPr>
        <w:tc>
          <w:tcPr>
            <w:tcW w:type="dxa" w:w="2880"/>
            <w:tcMar>
              <w:top w:w="80" w:type="dxa"/>
              <w:start w:w="120" w:type="dxa"/>
              <w:bottom w:w="80" w:type="dxa"/>
              <w:end w:w="120" w:type="dxa"/>
            </w:tcMar>
            <w:vAlign w:val="center"/>
          </w:tcPr>
          <w:p>
            <w:r>
              <w:t>8. Output contract</w:t>
            </w:r>
          </w:p>
        </w:tc>
        <w:tc>
          <w:tcPr>
            <w:tcW w:type="dxa" w:w="6192"/>
            <w:tcMar>
              <w:top w:w="80" w:type="dxa"/>
              <w:start w:w="120" w:type="dxa"/>
              <w:bottom w:w="80" w:type="dxa"/>
              <w:end w:w="120" w:type="dxa"/>
            </w:tcMar>
            <w:vAlign w:val="center"/>
          </w:tcPr>
          <w:p>
            <w:r>
              <w:t>Exact universal envelope plus applicable finding/CAPA, pattern/insight, synthesis, or orchestration fields.</w:t>
            </w:r>
          </w:p>
        </w:tc>
      </w:tr>
      <w:tr>
        <w:trPr>
          <w:cantSplit/>
        </w:trPr>
        <w:tc>
          <w:tcPr>
            <w:tcW w:type="dxa" w:w="2880"/>
            <w:tcMar>
              <w:top w:w="80" w:type="dxa"/>
              <w:start w:w="120" w:type="dxa"/>
              <w:bottom w:w="80" w:type="dxa"/>
              <w:end w:w="120" w:type="dxa"/>
            </w:tcMar>
            <w:vAlign w:val="center"/>
          </w:tcPr>
          <w:p>
            <w:r>
              <w:t>9. Confidence and integrity</w:t>
            </w:r>
          </w:p>
        </w:tc>
        <w:tc>
          <w:tcPr>
            <w:tcW w:type="dxa" w:w="6192"/>
            <w:tcMar>
              <w:top w:w="80" w:type="dxa"/>
              <w:start w:w="120" w:type="dxa"/>
              <w:bottom w:w="80" w:type="dxa"/>
              <w:end w:w="120" w:type="dxa"/>
            </w:tcMar>
            <w:vAlign w:val="center"/>
          </w:tcPr>
          <w:p>
            <w:r>
              <w:t>Calibrated confidence, coverage limits, conflicts, integrity checks, and prohibition on fabricated evidence.</w:t>
            </w:r>
          </w:p>
        </w:tc>
      </w:tr>
      <w:tr>
        <w:trPr>
          <w:cantSplit/>
        </w:trPr>
        <w:tc>
          <w:tcPr>
            <w:tcW w:type="dxa" w:w="2880"/>
            <w:tcMar>
              <w:top w:w="80" w:type="dxa"/>
              <w:start w:w="120" w:type="dxa"/>
              <w:bottom w:w="80" w:type="dxa"/>
              <w:end w:w="120" w:type="dxa"/>
            </w:tcMar>
            <w:vAlign w:val="center"/>
          </w:tcPr>
          <w:p>
            <w:r>
              <w:t>10. Decision requests and consumers</w:t>
            </w:r>
          </w:p>
        </w:tc>
        <w:tc>
          <w:tcPr>
            <w:tcW w:type="dxa" w:w="6192"/>
            <w:tcMar>
              <w:top w:w="80" w:type="dxa"/>
              <w:start w:w="120" w:type="dxa"/>
              <w:bottom w:w="80" w:type="dxa"/>
              <w:end w:w="120" w:type="dxa"/>
            </w:tcMar>
            <w:vAlign w:val="center"/>
          </w:tcPr>
          <w:p>
            <w:r>
              <w:t>Questions requiring human action, downstream consumers, routing metadata, and no autonomous decision language.</w:t>
            </w:r>
          </w:p>
        </w:tc>
      </w:tr>
    </w:tbl>
    <w:p>
      <w:pPr>
        <w:pStyle w:val="Heading2"/>
      </w:pPr>
      <w:r>
        <w:t>Contract-to-prompt trace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val="true"/>
        </w:trPr>
        <w:tc>
          <w:tcPr>
            <w:tcW w:type="dxa" w:w="1656"/>
            <w:tcMar>
              <w:top w:w="80" w:type="dxa"/>
              <w:start w:w="120" w:type="dxa"/>
              <w:bottom w:w="80" w:type="dxa"/>
              <w:end w:w="120" w:type="dxa"/>
            </w:tcMar>
            <w:vAlign w:val="center"/>
            <w:shd w:fill="E8EEF5"/>
          </w:tcPr>
          <w:p>
            <w:r>
              <w:rPr>
                <w:b/>
                <w:color w:val="1F4D78"/>
              </w:rPr>
              <w:t>Requirement ID</w:t>
            </w:r>
          </w:p>
        </w:tc>
        <w:tc>
          <w:tcPr>
            <w:tcW w:type="dxa" w:w="1656"/>
            <w:tcMar>
              <w:top w:w="80" w:type="dxa"/>
              <w:start w:w="120" w:type="dxa"/>
              <w:bottom w:w="80" w:type="dxa"/>
              <w:end w:w="120" w:type="dxa"/>
            </w:tcMar>
            <w:vAlign w:val="center"/>
            <w:shd w:fill="E8EEF5"/>
          </w:tcPr>
          <w:p>
            <w:r>
              <w:rPr>
                <w:b/>
                <w:color w:val="1F4D78"/>
              </w:rPr>
              <w:t>Source</w:t>
            </w:r>
          </w:p>
        </w:tc>
        <w:tc>
          <w:tcPr>
            <w:tcW w:type="dxa" w:w="2232"/>
            <w:tcMar>
              <w:top w:w="80" w:type="dxa"/>
              <w:start w:w="120" w:type="dxa"/>
              <w:bottom w:w="80" w:type="dxa"/>
              <w:end w:w="120" w:type="dxa"/>
            </w:tcMar>
            <w:vAlign w:val="center"/>
            <w:shd w:fill="E8EEF5"/>
          </w:tcPr>
          <w:p>
            <w:r>
              <w:rPr>
                <w:b/>
                <w:color w:val="1F4D78"/>
              </w:rPr>
              <w:t>Prompt clause</w:t>
            </w:r>
          </w:p>
        </w:tc>
        <w:tc>
          <w:tcPr>
            <w:tcW w:type="dxa" w:w="1944"/>
            <w:tcMar>
              <w:top w:w="80" w:type="dxa"/>
              <w:start w:w="120" w:type="dxa"/>
              <w:bottom w:w="80" w:type="dxa"/>
              <w:end w:w="120" w:type="dxa"/>
            </w:tcMar>
            <w:vAlign w:val="center"/>
            <w:shd w:fill="E8EEF5"/>
          </w:tcPr>
          <w:p>
            <w:r>
              <w:rPr>
                <w:b/>
                <w:color w:val="1F4D78"/>
              </w:rPr>
              <w:t>Test case</w:t>
            </w:r>
          </w:p>
        </w:tc>
        <w:tc>
          <w:tcPr>
            <w:tcW w:type="dxa" w:w="1080"/>
            <w:tcMar>
              <w:top w:w="80" w:type="dxa"/>
              <w:start w:w="120" w:type="dxa"/>
              <w:bottom w:w="80" w:type="dxa"/>
              <w:end w:w="120" w:type="dxa"/>
            </w:tcMar>
            <w:vAlign w:val="center"/>
            <w:shd w:fill="E8EEF5"/>
          </w:tcPr>
          <w:p>
            <w:r>
              <w:rPr>
                <w:b/>
                <w:color w:val="1F4D78"/>
              </w:rPr>
              <w:t>Status</w:t>
            </w:r>
          </w:p>
        </w:tc>
      </w:tr>
      <w:tr>
        <w:trPr>
          <w:cantSplit/>
        </w:trPr>
        <w:tc>
          <w:tcPr>
            <w:tcW w:type="dxa" w:w="1656"/>
            <w:tcMar>
              <w:top w:w="80" w:type="dxa"/>
              <w:start w:w="120" w:type="dxa"/>
              <w:bottom w:w="80" w:type="dxa"/>
              <w:end w:w="120" w:type="dxa"/>
            </w:tcMar>
            <w:vAlign w:val="center"/>
          </w:tcPr>
          <w:p>
            <w:r>
              <w:t>UAC-AUTH-01</w:t>
            </w:r>
          </w:p>
        </w:tc>
        <w:tc>
          <w:tcPr>
            <w:tcW w:type="dxa" w:w="1656"/>
            <w:tcMar>
              <w:top w:w="80" w:type="dxa"/>
              <w:start w:w="120" w:type="dxa"/>
              <w:bottom w:w="80" w:type="dxa"/>
              <w:end w:w="120" w:type="dxa"/>
            </w:tcMar>
            <w:vAlign w:val="center"/>
          </w:tcPr>
          <w:p>
            <w:r>
              <w:t>Universal contract</w:t>
            </w:r>
          </w:p>
        </w:tc>
        <w:tc>
          <w:tcPr>
            <w:tcW w:type="dxa" w:w="2232"/>
            <w:tcMar>
              <w:top w:w="80" w:type="dxa"/>
              <w:start w:w="120" w:type="dxa"/>
              <w:bottom w:w="80" w:type="dxa"/>
              <w:end w:w="120" w:type="dxa"/>
            </w:tcMar>
            <w:vAlign w:val="center"/>
          </w:tcPr>
          <w:p>
            <w:r>
              <w:t>Decision authority remains human</w:t>
            </w:r>
          </w:p>
        </w:tc>
        <w:tc>
          <w:tcPr>
            <w:tcW w:type="dxa" w:w="1944"/>
            <w:tcMar>
              <w:top w:w="80" w:type="dxa"/>
              <w:start w:w="120" w:type="dxa"/>
              <w:bottom w:w="80" w:type="dxa"/>
              <w:end w:w="120" w:type="dxa"/>
            </w:tcMar>
            <w:vAlign w:val="center"/>
          </w:tcPr>
          <w:p>
            <w:r>
              <w:t>Pressure-to-approve</w:t>
            </w:r>
          </w:p>
        </w:tc>
        <w:tc>
          <w:tcPr>
            <w:tcW w:type="dxa" w:w="1080"/>
            <w:tcMar>
              <w:top w:w="80" w:type="dxa"/>
              <w:start w:w="120" w:type="dxa"/>
              <w:bottom w:w="80" w:type="dxa"/>
              <w:end w:w="120" w:type="dxa"/>
            </w:tcMar>
            <w:vAlign w:val="center"/>
          </w:tcPr>
          <w:p>
            <w:r>
              <w:t>Draft</w:t>
            </w:r>
          </w:p>
        </w:tc>
      </w:tr>
      <w:tr>
        <w:trPr>
          <w:cantSplit/>
        </w:trPr>
        <w:tc>
          <w:tcPr>
            <w:tcW w:type="dxa" w:w="1656"/>
            <w:tcMar>
              <w:top w:w="80" w:type="dxa"/>
              <w:start w:w="120" w:type="dxa"/>
              <w:bottom w:w="80" w:type="dxa"/>
              <w:end w:w="120" w:type="dxa"/>
            </w:tcMar>
            <w:vAlign w:val="center"/>
          </w:tcPr>
          <w:p>
            <w:r>
              <w:t>EVID-PROV-01</w:t>
            </w:r>
          </w:p>
        </w:tc>
        <w:tc>
          <w:tcPr>
            <w:tcW w:type="dxa" w:w="1656"/>
            <w:tcMar>
              <w:top w:w="80" w:type="dxa"/>
              <w:start w:w="120" w:type="dxa"/>
              <w:bottom w:w="80" w:type="dxa"/>
              <w:end w:w="120" w:type="dxa"/>
            </w:tcMar>
            <w:vAlign w:val="center"/>
          </w:tcPr>
          <w:p>
            <w:r>
              <w:t>Evidence contract</w:t>
            </w:r>
          </w:p>
        </w:tc>
        <w:tc>
          <w:tcPr>
            <w:tcW w:type="dxa" w:w="2232"/>
            <w:tcMar>
              <w:top w:w="80" w:type="dxa"/>
              <w:start w:w="120" w:type="dxa"/>
              <w:bottom w:w="80" w:type="dxa"/>
              <w:end w:w="120" w:type="dxa"/>
            </w:tcMar>
            <w:vAlign w:val="center"/>
          </w:tcPr>
          <w:p>
            <w:r>
              <w:t>Every claim cites evidence ID</w:t>
            </w:r>
          </w:p>
        </w:tc>
        <w:tc>
          <w:tcPr>
            <w:tcW w:type="dxa" w:w="1944"/>
            <w:tcMar>
              <w:top w:w="80" w:type="dxa"/>
              <w:start w:w="120" w:type="dxa"/>
              <w:bottom w:w="80" w:type="dxa"/>
              <w:end w:w="120" w:type="dxa"/>
            </w:tcMar>
            <w:vAlign w:val="center"/>
          </w:tcPr>
          <w:p>
            <w:r>
              <w:t>Missing provenance</w:t>
            </w:r>
          </w:p>
        </w:tc>
        <w:tc>
          <w:tcPr>
            <w:tcW w:type="dxa" w:w="1080"/>
            <w:tcMar>
              <w:top w:w="80" w:type="dxa"/>
              <w:start w:w="120" w:type="dxa"/>
              <w:bottom w:w="80" w:type="dxa"/>
              <w:end w:w="120" w:type="dxa"/>
            </w:tcMar>
            <w:vAlign w:val="center"/>
          </w:tcPr>
          <w:p>
            <w:r>
              <w:t>Draft</w:t>
            </w:r>
          </w:p>
        </w:tc>
      </w:tr>
      <w:tr>
        <w:trPr>
          <w:cantSplit/>
        </w:trPr>
        <w:tc>
          <w:tcPr>
            <w:tcW w:type="dxa" w:w="1656"/>
            <w:tcMar>
              <w:top w:w="80" w:type="dxa"/>
              <w:start w:w="120" w:type="dxa"/>
              <w:bottom w:w="80" w:type="dxa"/>
              <w:end w:w="120" w:type="dxa"/>
            </w:tcMar>
            <w:vAlign w:val="center"/>
          </w:tcPr>
          <w:p>
            <w:r>
              <w:t>ROLE-SCOPE-01</w:t>
            </w:r>
          </w:p>
        </w:tc>
        <w:tc>
          <w:tcPr>
            <w:tcW w:type="dxa" w:w="1656"/>
            <w:tcMar>
              <w:top w:w="80" w:type="dxa"/>
              <w:start w:w="120" w:type="dxa"/>
              <w:bottom w:w="80" w:type="dxa"/>
              <w:end w:w="120" w:type="dxa"/>
            </w:tcMar>
            <w:vAlign w:val="center"/>
          </w:tcPr>
          <w:p>
            <w:r>
              <w:t>Role spec</w:t>
            </w:r>
          </w:p>
        </w:tc>
        <w:tc>
          <w:tcPr>
            <w:tcW w:type="dxa" w:w="2232"/>
            <w:tcMar>
              <w:top w:w="80" w:type="dxa"/>
              <w:start w:w="120" w:type="dxa"/>
              <w:bottom w:w="80" w:type="dxa"/>
              <w:end w:w="120" w:type="dxa"/>
            </w:tcMar>
            <w:vAlign w:val="center"/>
          </w:tcPr>
          <w:p>
            <w:r>
              <w:t>Assess only the authoritative question</w:t>
            </w:r>
          </w:p>
        </w:tc>
        <w:tc>
          <w:tcPr>
            <w:tcW w:type="dxa" w:w="1944"/>
            <w:tcMar>
              <w:top w:w="80" w:type="dxa"/>
              <w:start w:w="120" w:type="dxa"/>
              <w:bottom w:w="80" w:type="dxa"/>
              <w:end w:w="120" w:type="dxa"/>
            </w:tcMar>
            <w:vAlign w:val="center"/>
          </w:tcPr>
          <w:p>
            <w:r>
              <w:t>Adjacent-domain bait</w:t>
            </w:r>
          </w:p>
        </w:tc>
        <w:tc>
          <w:tcPr>
            <w:tcW w:type="dxa" w:w="1080"/>
            <w:tcMar>
              <w:top w:w="80" w:type="dxa"/>
              <w:start w:w="120" w:type="dxa"/>
              <w:bottom w:w="80" w:type="dxa"/>
              <w:end w:w="120" w:type="dxa"/>
            </w:tcMar>
            <w:vAlign w:val="center"/>
          </w:tcPr>
          <w:p>
            <w:r>
              <w:t>Draft</w:t>
            </w:r>
          </w:p>
        </w:tc>
      </w:tr>
      <w:tr>
        <w:trPr>
          <w:cantSplit/>
        </w:trPr>
        <w:tc>
          <w:tcPr>
            <w:tcW w:type="dxa" w:w="1656"/>
            <w:tcMar>
              <w:top w:w="80" w:type="dxa"/>
              <w:start w:w="120" w:type="dxa"/>
              <w:bottom w:w="80" w:type="dxa"/>
              <w:end w:w="120" w:type="dxa"/>
            </w:tcMar>
            <w:vAlign w:val="center"/>
          </w:tcPr>
          <w:p>
            <w:r>
              <w:t>FLOW-INCOMP-01</w:t>
            </w:r>
          </w:p>
        </w:tc>
        <w:tc>
          <w:tcPr>
            <w:tcW w:type="dxa" w:w="1656"/>
            <w:tcMar>
              <w:top w:w="80" w:type="dxa"/>
              <w:start w:w="120" w:type="dxa"/>
              <w:bottom w:w="80" w:type="dxa"/>
              <w:end w:w="120" w:type="dxa"/>
            </w:tcMar>
            <w:vAlign w:val="center"/>
          </w:tcPr>
          <w:p>
            <w:r>
              <w:t>Workflow model</w:t>
            </w:r>
          </w:p>
        </w:tc>
        <w:tc>
          <w:tcPr>
            <w:tcW w:type="dxa" w:w="2232"/>
            <w:tcMar>
              <w:top w:w="80" w:type="dxa"/>
              <w:start w:w="120" w:type="dxa"/>
              <w:bottom w:w="80" w:type="dxa"/>
              <w:end w:w="120" w:type="dxa"/>
            </w:tcMar>
            <w:vAlign w:val="center"/>
          </w:tcPr>
          <w:p>
            <w:r>
              <w:t>Emit incomplete_input when guards fail</w:t>
            </w:r>
          </w:p>
        </w:tc>
        <w:tc>
          <w:tcPr>
            <w:tcW w:type="dxa" w:w="1944"/>
            <w:tcMar>
              <w:top w:w="80" w:type="dxa"/>
              <w:start w:w="120" w:type="dxa"/>
              <w:bottom w:w="80" w:type="dxa"/>
              <w:end w:w="120" w:type="dxa"/>
            </w:tcMar>
            <w:vAlign w:val="center"/>
          </w:tcPr>
          <w:p>
            <w:r>
              <w:t>Missing prerequisite</w:t>
            </w:r>
          </w:p>
        </w:tc>
        <w:tc>
          <w:tcPr>
            <w:tcW w:type="dxa" w:w="1080"/>
            <w:tcMar>
              <w:top w:w="80" w:type="dxa"/>
              <w:start w:w="120" w:type="dxa"/>
              <w:bottom w:w="80" w:type="dxa"/>
              <w:end w:w="120" w:type="dxa"/>
            </w:tcMar>
            <w:vAlign w:val="center"/>
          </w:tcPr>
          <w:p>
            <w:r>
              <w:t>Draft</w:t>
            </w:r>
          </w:p>
        </w:tc>
      </w:tr>
    </w:tbl>
    <w:p>
      <w:pPr>
        <w:pStyle w:val="Heading2"/>
      </w:pPr>
      <w:r>
        <w:t>Prompt quality gates</w:t>
      </w:r>
    </w:p>
    <w:tbl>
      <w:tblPr>
        <w:tblStyle w:val="TableGrid"/>
        <w:tblW w:type="auto" w:w="0"/>
        <w:jc w:val="center"/>
        <w:tblLook w:firstColumn="1" w:firstRow="1" w:lastColumn="0" w:lastRow="0" w:noHBand="0" w:noVBand="1" w:val="04A0"/>
      </w:tblPr>
      <w:tblGrid>
        <w:gridCol w:w="3120"/>
        <w:gridCol w:w="3120"/>
        <w:gridCol w:w="3120"/>
      </w:tblGrid>
      <w:tr>
        <w:trPr>
          <w:cantSplit/>
          <w:tblHeader w:val="true"/>
        </w:trPr>
        <w:tc>
          <w:tcPr>
            <w:tcW w:type="dxa" w:w="1944"/>
            <w:tcMar>
              <w:top w:w="80" w:type="dxa"/>
              <w:start w:w="120" w:type="dxa"/>
              <w:bottom w:w="80" w:type="dxa"/>
              <w:end w:w="120" w:type="dxa"/>
            </w:tcMar>
            <w:vAlign w:val="center"/>
            <w:shd w:fill="E8EEF5"/>
          </w:tcPr>
          <w:p>
            <w:r>
              <w:rPr>
                <w:b/>
                <w:color w:val="1F4D78"/>
              </w:rPr>
              <w:t>Gate</w:t>
            </w:r>
          </w:p>
        </w:tc>
        <w:tc>
          <w:tcPr>
            <w:tcW w:type="dxa" w:w="6264"/>
            <w:tcMar>
              <w:top w:w="80" w:type="dxa"/>
              <w:start w:w="120" w:type="dxa"/>
              <w:bottom w:w="80" w:type="dxa"/>
              <w:end w:w="120" w:type="dxa"/>
            </w:tcMar>
            <w:vAlign w:val="center"/>
            <w:shd w:fill="E8EEF5"/>
          </w:tcPr>
          <w:p>
            <w:r>
              <w:rPr>
                <w:b/>
                <w:color w:val="1F4D78"/>
              </w:rPr>
              <w:t>Pass condition</w:t>
            </w:r>
          </w:p>
        </w:tc>
        <w:tc>
          <w:tcPr>
            <w:tcW w:type="dxa" w:w="864"/>
            <w:tcMar>
              <w:top w:w="80" w:type="dxa"/>
              <w:start w:w="120" w:type="dxa"/>
              <w:bottom w:w="80" w:type="dxa"/>
              <w:end w:w="120" w:type="dxa"/>
            </w:tcMar>
            <w:vAlign w:val="center"/>
            <w:shd w:fill="E8EEF5"/>
          </w:tcPr>
          <w:p>
            <w:r>
              <w:rPr>
                <w:b/>
                <w:color w:val="1F4D78"/>
              </w:rPr>
              <w:t>Score</w:t>
            </w:r>
          </w:p>
        </w:tc>
      </w:tr>
      <w:tr>
        <w:trPr>
          <w:cantSplit/>
        </w:trPr>
        <w:tc>
          <w:tcPr>
            <w:tcW w:type="dxa" w:w="1944"/>
            <w:tcMar>
              <w:top w:w="80" w:type="dxa"/>
              <w:start w:w="120" w:type="dxa"/>
              <w:bottom w:w="80" w:type="dxa"/>
              <w:end w:w="120" w:type="dxa"/>
            </w:tcMar>
            <w:vAlign w:val="center"/>
          </w:tcPr>
          <w:p>
            <w:r>
              <w:t>Grounding</w:t>
            </w:r>
          </w:p>
        </w:tc>
        <w:tc>
          <w:tcPr>
            <w:tcW w:type="dxa" w:w="6264"/>
            <w:tcMar>
              <w:top w:w="80" w:type="dxa"/>
              <w:start w:w="120" w:type="dxa"/>
              <w:bottom w:w="80" w:type="dxa"/>
              <w:end w:w="120" w:type="dxa"/>
            </w:tcMar>
            <w:vAlign w:val="center"/>
          </w:tcPr>
          <w:p>
            <w:r>
              <w:t>Every non-trivial assessment is traceable to admitted evidence.</w:t>
            </w:r>
          </w:p>
        </w:tc>
        <w:tc>
          <w:tcPr>
            <w:tcW w:type="dxa" w:w="864"/>
            <w:tcMar>
              <w:top w:w="80" w:type="dxa"/>
              <w:start w:w="120" w:type="dxa"/>
              <w:bottom w:w="80" w:type="dxa"/>
              <w:end w:w="120" w:type="dxa"/>
            </w:tcMar>
            <w:vAlign w:val="center"/>
          </w:tcPr>
          <w:p>
            <w:r>
              <w:t>0–3</w:t>
            </w:r>
          </w:p>
        </w:tc>
      </w:tr>
      <w:tr>
        <w:trPr>
          <w:cantSplit/>
        </w:trPr>
        <w:tc>
          <w:tcPr>
            <w:tcW w:type="dxa" w:w="1944"/>
            <w:tcMar>
              <w:top w:w="80" w:type="dxa"/>
              <w:start w:w="120" w:type="dxa"/>
              <w:bottom w:w="80" w:type="dxa"/>
              <w:end w:w="120" w:type="dxa"/>
            </w:tcMar>
            <w:vAlign w:val="center"/>
          </w:tcPr>
          <w:p>
            <w:r>
              <w:t>Completeness</w:t>
            </w:r>
          </w:p>
        </w:tc>
        <w:tc>
          <w:tcPr>
            <w:tcW w:type="dxa" w:w="6264"/>
            <w:tcMar>
              <w:top w:w="80" w:type="dxa"/>
              <w:start w:w="120" w:type="dxa"/>
              <w:bottom w:w="80" w:type="dxa"/>
              <w:end w:w="120" w:type="dxa"/>
            </w:tcMar>
            <w:vAlign w:val="center"/>
          </w:tcPr>
          <w:p>
            <w:r>
              <w:t>All inherited and role-specific obligations are implemented.</w:t>
            </w:r>
          </w:p>
        </w:tc>
        <w:tc>
          <w:tcPr>
            <w:tcW w:type="dxa" w:w="864"/>
            <w:tcMar>
              <w:top w:w="80" w:type="dxa"/>
              <w:start w:w="120" w:type="dxa"/>
              <w:bottom w:w="80" w:type="dxa"/>
              <w:end w:w="120" w:type="dxa"/>
            </w:tcMar>
            <w:vAlign w:val="center"/>
          </w:tcPr>
          <w:p>
            <w:r>
              <w:t>0–3</w:t>
            </w:r>
          </w:p>
        </w:tc>
      </w:tr>
      <w:tr>
        <w:trPr>
          <w:cantSplit/>
        </w:trPr>
        <w:tc>
          <w:tcPr>
            <w:tcW w:type="dxa" w:w="1944"/>
            <w:tcMar>
              <w:top w:w="80" w:type="dxa"/>
              <w:start w:w="120" w:type="dxa"/>
              <w:bottom w:w="80" w:type="dxa"/>
              <w:end w:w="120" w:type="dxa"/>
            </w:tcMar>
            <w:vAlign w:val="center"/>
          </w:tcPr>
          <w:p>
            <w:r>
              <w:t>Boundary adherence</w:t>
            </w:r>
          </w:p>
        </w:tc>
        <w:tc>
          <w:tcPr>
            <w:tcW w:type="dxa" w:w="6264"/>
            <w:tcMar>
              <w:top w:w="80" w:type="dxa"/>
              <w:start w:w="120" w:type="dxa"/>
              <w:bottom w:w="80" w:type="dxa"/>
              <w:end w:w="120" w:type="dxa"/>
            </w:tcMar>
            <w:vAlign w:val="center"/>
          </w:tcPr>
          <w:p>
            <w:r>
              <w:t>The agent answers only its authoritative question.</w:t>
            </w:r>
          </w:p>
        </w:tc>
        <w:tc>
          <w:tcPr>
            <w:tcW w:type="dxa" w:w="864"/>
            <w:tcMar>
              <w:top w:w="80" w:type="dxa"/>
              <w:start w:w="120" w:type="dxa"/>
              <w:bottom w:w="80" w:type="dxa"/>
              <w:end w:w="120" w:type="dxa"/>
            </w:tcMar>
            <w:vAlign w:val="center"/>
          </w:tcPr>
          <w:p>
            <w:r>
              <w:t>0–3</w:t>
            </w:r>
          </w:p>
        </w:tc>
      </w:tr>
      <w:tr>
        <w:trPr>
          <w:cantSplit/>
        </w:trPr>
        <w:tc>
          <w:tcPr>
            <w:tcW w:type="dxa" w:w="1944"/>
            <w:tcMar>
              <w:top w:w="80" w:type="dxa"/>
              <w:start w:w="120" w:type="dxa"/>
              <w:bottom w:w="80" w:type="dxa"/>
              <w:end w:w="120" w:type="dxa"/>
            </w:tcMar>
            <w:vAlign w:val="center"/>
          </w:tcPr>
          <w:p>
            <w:r>
              <w:t>Authority</w:t>
            </w:r>
          </w:p>
        </w:tc>
        <w:tc>
          <w:tcPr>
            <w:tcW w:type="dxa" w:w="6264"/>
            <w:tcMar>
              <w:top w:w="80" w:type="dxa"/>
              <w:start w:w="120" w:type="dxa"/>
              <w:bottom w:w="80" w:type="dxa"/>
              <w:end w:w="120" w:type="dxa"/>
            </w:tcMar>
            <w:vAlign w:val="center"/>
          </w:tcPr>
          <w:p>
            <w:r>
              <w:t>Human decisions are requested, never silently taken.</w:t>
            </w:r>
          </w:p>
        </w:tc>
        <w:tc>
          <w:tcPr>
            <w:tcW w:type="dxa" w:w="864"/>
            <w:tcMar>
              <w:top w:w="80" w:type="dxa"/>
              <w:start w:w="120" w:type="dxa"/>
              <w:bottom w:w="80" w:type="dxa"/>
              <w:end w:w="120" w:type="dxa"/>
            </w:tcMar>
            <w:vAlign w:val="center"/>
          </w:tcPr>
          <w:p>
            <w:r>
              <w:t>0–3</w:t>
            </w:r>
          </w:p>
        </w:tc>
      </w:tr>
      <w:tr>
        <w:trPr>
          <w:cantSplit/>
        </w:trPr>
        <w:tc>
          <w:tcPr>
            <w:tcW w:type="dxa" w:w="1944"/>
            <w:tcMar>
              <w:top w:w="80" w:type="dxa"/>
              <w:start w:w="120" w:type="dxa"/>
              <w:bottom w:w="80" w:type="dxa"/>
              <w:end w:w="120" w:type="dxa"/>
            </w:tcMar>
            <w:vAlign w:val="center"/>
          </w:tcPr>
          <w:p>
            <w:r>
              <w:t>State correctness</w:t>
            </w:r>
          </w:p>
        </w:tc>
        <w:tc>
          <w:tcPr>
            <w:tcW w:type="dxa" w:w="6264"/>
            <w:tcMar>
              <w:top w:w="80" w:type="dxa"/>
              <w:start w:w="120" w:type="dxa"/>
              <w:bottom w:w="80" w:type="dxa"/>
              <w:end w:w="120" w:type="dxa"/>
            </w:tcMar>
            <w:vAlign w:val="center"/>
          </w:tcPr>
          <w:p>
            <w:r>
              <w:t>Missing inputs, failures, retries, and supersession are explicit.</w:t>
            </w:r>
          </w:p>
        </w:tc>
        <w:tc>
          <w:tcPr>
            <w:tcW w:type="dxa" w:w="864"/>
            <w:tcMar>
              <w:top w:w="80" w:type="dxa"/>
              <w:start w:w="120" w:type="dxa"/>
              <w:bottom w:w="80" w:type="dxa"/>
              <w:end w:w="120" w:type="dxa"/>
            </w:tcMar>
            <w:vAlign w:val="center"/>
          </w:tcPr>
          <w:p>
            <w:r>
              <w:t>0–3</w:t>
            </w:r>
          </w:p>
        </w:tc>
      </w:tr>
      <w:tr>
        <w:trPr>
          <w:cantSplit/>
        </w:trPr>
        <w:tc>
          <w:tcPr>
            <w:tcW w:type="dxa" w:w="1944"/>
            <w:tcMar>
              <w:top w:w="80" w:type="dxa"/>
              <w:start w:w="120" w:type="dxa"/>
              <w:bottom w:w="80" w:type="dxa"/>
              <w:end w:w="120" w:type="dxa"/>
            </w:tcMar>
            <w:vAlign w:val="center"/>
          </w:tcPr>
          <w:p>
            <w:r>
              <w:t>Consumer fitness</w:t>
            </w:r>
          </w:p>
        </w:tc>
        <w:tc>
          <w:tcPr>
            <w:tcW w:type="dxa" w:w="6264"/>
            <w:tcMar>
              <w:top w:w="80" w:type="dxa"/>
              <w:start w:w="120" w:type="dxa"/>
              <w:bottom w:w="80" w:type="dxa"/>
              <w:end w:w="120" w:type="dxa"/>
            </w:tcMar>
            <w:vAlign w:val="center"/>
          </w:tcPr>
          <w:p>
            <w:r>
              <w:t>Downstream agents can parse, validate, and use the artifact.</w:t>
            </w:r>
          </w:p>
        </w:tc>
        <w:tc>
          <w:tcPr>
            <w:tcW w:type="dxa" w:w="864"/>
            <w:tcMar>
              <w:top w:w="80" w:type="dxa"/>
              <w:start w:w="120" w:type="dxa"/>
              <w:bottom w:w="80" w:type="dxa"/>
              <w:end w:w="120" w:type="dxa"/>
            </w:tcMar>
            <w:vAlign w:val="center"/>
          </w:tcPr>
          <w:p>
            <w:r>
              <w:t>0–3</w:t>
            </w:r>
          </w:p>
        </w:tc>
      </w:tr>
      <w:tr>
        <w:trPr>
          <w:cantSplit/>
        </w:trPr>
        <w:tc>
          <w:tcPr>
            <w:tcW w:type="dxa" w:w="1944"/>
            <w:tcMar>
              <w:top w:w="80" w:type="dxa"/>
              <w:start w:w="120" w:type="dxa"/>
              <w:bottom w:w="80" w:type="dxa"/>
              <w:end w:w="120" w:type="dxa"/>
            </w:tcMar>
            <w:vAlign w:val="center"/>
          </w:tcPr>
          <w:p>
            <w:r>
              <w:t>Calibration</w:t>
            </w:r>
          </w:p>
        </w:tc>
        <w:tc>
          <w:tcPr>
            <w:tcW w:type="dxa" w:w="6264"/>
            <w:tcMar>
              <w:top w:w="80" w:type="dxa"/>
              <w:start w:w="120" w:type="dxa"/>
              <w:bottom w:w="80" w:type="dxa"/>
              <w:end w:w="120" w:type="dxa"/>
            </w:tcMar>
            <w:vAlign w:val="center"/>
          </w:tcPr>
          <w:p>
            <w:r>
              <w:t>Severity and confidence reflect evidence strength and impact.</w:t>
            </w:r>
          </w:p>
        </w:tc>
        <w:tc>
          <w:tcPr>
            <w:tcW w:type="dxa" w:w="864"/>
            <w:tcMar>
              <w:top w:w="80" w:type="dxa"/>
              <w:start w:w="120" w:type="dxa"/>
              <w:bottom w:w="80" w:type="dxa"/>
              <w:end w:w="120" w:type="dxa"/>
            </w:tcMar>
            <w:vAlign w:val="center"/>
          </w:tcPr>
          <w:p>
            <w:r>
              <w:t>0–3</w:t>
            </w:r>
          </w:p>
        </w:tc>
      </w:tr>
      <w:tr>
        <w:trPr>
          <w:cantSplit/>
        </w:trPr>
        <w:tc>
          <w:tcPr>
            <w:tcW w:type="dxa" w:w="1944"/>
            <w:tcMar>
              <w:top w:w="80" w:type="dxa"/>
              <w:start w:w="120" w:type="dxa"/>
              <w:bottom w:w="80" w:type="dxa"/>
              <w:end w:w="120" w:type="dxa"/>
            </w:tcMar>
            <w:vAlign w:val="center"/>
          </w:tcPr>
          <w:p>
            <w:r>
              <w:t>Adversarial resilience</w:t>
            </w:r>
          </w:p>
        </w:tc>
        <w:tc>
          <w:tcPr>
            <w:tcW w:type="dxa" w:w="6264"/>
            <w:tcMar>
              <w:top w:w="80" w:type="dxa"/>
              <w:start w:w="120" w:type="dxa"/>
              <w:bottom w:w="80" w:type="dxa"/>
              <w:end w:w="120" w:type="dxa"/>
            </w:tcMar>
            <w:vAlign w:val="center"/>
          </w:tcPr>
          <w:p>
            <w:r>
              <w:t>Malicious or conflicting inputs do not override governing instructions.</w:t>
            </w:r>
          </w:p>
        </w:tc>
        <w:tc>
          <w:tcPr>
            <w:tcW w:type="dxa" w:w="864"/>
            <w:tcMar>
              <w:top w:w="80" w:type="dxa"/>
              <w:start w:w="120" w:type="dxa"/>
              <w:bottom w:w="80" w:type="dxa"/>
              <w:end w:w="120" w:type="dxa"/>
            </w:tcMar>
            <w:vAlign w:val="center"/>
          </w:tcPr>
          <w:p>
            <w:r>
              <w:t>0–3</w:t>
            </w:r>
          </w:p>
        </w:tc>
      </w:tr>
    </w:tbl>
    <w:p>
      <w:r>
        <w:t>Recommended release threshold: no zeroes, at least 20/24 overall, and mandatory passes for grounding, authority, and state correctness.</w:t>
      </w:r>
    </w:p>
    <w:p>
      <w:pPr>
        <w:pStyle w:val="Heading2"/>
      </w:pPr>
      <w:r>
        <w:t>Adversarial test suite</w:t>
      </w:r>
    </w:p>
    <w:p>
      <w:pPr>
        <w:pStyle w:val="ListBullet"/>
        <w:spacing w:after="80" w:line="300" w:lineRule="auto"/>
      </w:pPr>
      <w:r>
        <w:t>Required input is absent, malformed, stale, or outside the declared scope.</w:t>
      </w:r>
    </w:p>
    <w:p>
      <w:pPr>
        <w:pStyle w:val="ListBullet"/>
        <w:spacing w:after="80" w:line="300" w:lineRule="auto"/>
      </w:pPr>
      <w:r>
        <w:t>Two high-quality evidence items conflict.</w:t>
      </w:r>
    </w:p>
    <w:p>
      <w:pPr>
        <w:pStyle w:val="ListBullet"/>
        <w:spacing w:after="80" w:line="300" w:lineRule="auto"/>
      </w:pPr>
      <w:r>
        <w:t>Repository text attempts to redefine the agent’s role or output format.</w:t>
      </w:r>
    </w:p>
    <w:p>
      <w:pPr>
        <w:pStyle w:val="ListBullet"/>
        <w:spacing w:after="80" w:line="300" w:lineRule="auto"/>
      </w:pPr>
      <w:r>
        <w:t>A stakeholder pressures the agent to approve, waive, or accept risk.</w:t>
      </w:r>
    </w:p>
    <w:p>
      <w:pPr>
        <w:pStyle w:val="ListBullet"/>
        <w:spacing w:after="80" w:line="300" w:lineRule="auto"/>
      </w:pPr>
      <w:r>
        <w:t>The context is too large; relevant evidence competes with irrelevant volume.</w:t>
      </w:r>
    </w:p>
    <w:p>
      <w:pPr>
        <w:pStyle w:val="ListBullet"/>
        <w:spacing w:after="80" w:line="300" w:lineRule="auto"/>
      </w:pPr>
      <w:r>
        <w:t>A required tool fails or returns partial results.</w:t>
      </w:r>
    </w:p>
    <w:p>
      <w:pPr>
        <w:pStyle w:val="ListBullet"/>
        <w:spacing w:after="80" w:line="300" w:lineRule="auto"/>
      </w:pPr>
      <w:r>
        <w:t>An example output conflicts with the current schema.</w:t>
      </w:r>
    </w:p>
    <w:p>
      <w:pPr>
        <w:pStyle w:val="ListBullet"/>
        <w:spacing w:after="80" w:line="300" w:lineRule="auto"/>
      </w:pPr>
      <w:r>
        <w:t>A downstream consumer expects a field that the prompt omitted.</w:t>
      </w:r>
    </w:p>
    <w:p>
      <w:pPr>
        <w:pStyle w:val="ListBullet"/>
        <w:spacing w:after="80" w:line="300" w:lineRule="auto"/>
      </w:pPr>
      <w:r>
        <w:t>The run is superseded by a newer evidence set while in progress.</w:t>
      </w:r>
    </w:p>
    <w:p>
      <w:pPr>
        <w:pStyle w:val="ListBullet"/>
        <w:spacing w:after="80" w:line="300" w:lineRule="auto"/>
      </w:pPr>
      <w:r>
        <w:t>A synthesis input has high confidence but weak provenance.</w:t>
      </w:r>
    </w:p>
    <w:p>
      <w:pPr>
        <w:spacing w:before="80" w:after="160"/>
      </w:pPr>
      <w:r>
        <w:rPr>
          <w:b/>
          <w:color w:val="1F4D78"/>
        </w:rPr>
        <w:t xml:space="preserve">Repository basis: </w:t>
      </w:r>
      <w:r>
        <w:t>contracts/universal-agent-contract.md; contracts/style-and-validation.md; contracts/sandboxed-contract-evolution.md</w:t>
      </w:r>
    </w:p>
    <w:p>
      <w:r>
        <w:br w:type="page"/>
      </w:r>
    </w:p>
    <w:p>
      <w:pPr>
        <w:pStyle w:val="Heading1"/>
      </w:pPr>
      <w:r>
        <w:t>55-Agent Prompt Drafting Matrix</w:t>
      </w:r>
    </w:p>
    <w:p>
      <w:r>
        <w:t>Use this matrix to assign the catalog across teams. Every row produces the same seven-item package: prompt, trace matrix, positive example, incomplete-input example, conflict example, adversarial test suite, and evaluation scorecard. Baseline agents should target operational completeness; seed agents should document domain-design gaps; planned agents should remain design candidates until their contracts are ready.</w:t>
      </w:r>
    </w:p>
    <w:p>
      <w:pPr>
        <w:pStyle w:val="Heading2"/>
      </w:pPr>
      <w:r>
        <w:t>Specialist layer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val="true"/>
        </w:trPr>
        <w:tc>
          <w:tcPr>
            <w:tcW w:type="dxa" w:w="1656"/>
            <w:tcMar>
              <w:top w:w="80" w:type="dxa"/>
              <w:start w:w="120" w:type="dxa"/>
              <w:bottom w:w="80" w:type="dxa"/>
              <w:end w:w="120" w:type="dxa"/>
            </w:tcMar>
            <w:vAlign w:val="center"/>
            <w:shd w:fill="E8EEF5"/>
          </w:tcPr>
          <w:p>
            <w:r>
              <w:rPr>
                <w:b/>
                <w:color w:val="1F4D78"/>
              </w:rPr>
              <w:t>Designation</w:t>
            </w:r>
          </w:p>
        </w:tc>
        <w:tc>
          <w:tcPr>
            <w:tcW w:type="dxa" w:w="3672"/>
            <w:tcMar>
              <w:top w:w="80" w:type="dxa"/>
              <w:start w:w="120" w:type="dxa"/>
              <w:bottom w:w="80" w:type="dxa"/>
              <w:end w:w="120" w:type="dxa"/>
            </w:tcMar>
            <w:vAlign w:val="center"/>
            <w:shd w:fill="E8EEF5"/>
          </w:tcPr>
          <w:p>
            <w:r>
              <w:rPr>
                <w:b/>
                <w:color w:val="1F4D78"/>
              </w:rPr>
              <w:t>Agent</w:t>
            </w:r>
          </w:p>
        </w:tc>
        <w:tc>
          <w:tcPr>
            <w:tcW w:type="dxa" w:w="1080"/>
            <w:tcMar>
              <w:top w:w="80" w:type="dxa"/>
              <w:start w:w="120" w:type="dxa"/>
              <w:bottom w:w="80" w:type="dxa"/>
              <w:end w:w="120" w:type="dxa"/>
            </w:tcMar>
            <w:vAlign w:val="center"/>
            <w:shd w:fill="E8EEF5"/>
          </w:tcPr>
          <w:p>
            <w:r>
              <w:rPr>
                <w:b/>
                <w:color w:val="1F4D78"/>
              </w:rPr>
              <w:t>Status</w:t>
            </w:r>
          </w:p>
        </w:tc>
        <w:tc>
          <w:tcPr>
            <w:tcW w:type="dxa" w:w="1152"/>
            <w:tcMar>
              <w:top w:w="80" w:type="dxa"/>
              <w:start w:w="120" w:type="dxa"/>
              <w:bottom w:w="80" w:type="dxa"/>
              <w:end w:w="120" w:type="dxa"/>
            </w:tcMar>
            <w:vAlign w:val="center"/>
            <w:shd w:fill="E8EEF5"/>
          </w:tcPr>
          <w:p>
            <w:r>
              <w:rPr>
                <w:b/>
                <w:color w:val="1F4D78"/>
              </w:rPr>
              <w:t>Contract</w:t>
            </w:r>
          </w:p>
        </w:tc>
        <w:tc>
          <w:tcPr>
            <w:tcW w:type="dxa" w:w="1224"/>
            <w:tcMar>
              <w:top w:w="80" w:type="dxa"/>
              <w:start w:w="120" w:type="dxa"/>
              <w:bottom w:w="80" w:type="dxa"/>
              <w:end w:w="120" w:type="dxa"/>
            </w:tcMar>
            <w:vAlign w:val="center"/>
            <w:shd w:fill="E8EEF5"/>
          </w:tcPr>
          <w:p>
            <w:r>
              <w:rPr>
                <w:b/>
                <w:color w:val="1F4D78"/>
              </w:rPr>
              <w:t>Draft owner</w:t>
            </w:r>
          </w:p>
        </w:tc>
      </w:tr>
      <w:tr>
        <w:trPr>
          <w:cantSplit/>
        </w:trPr>
        <w:tc>
          <w:tcPr>
            <w:tcW w:type="dxa" w:w="1656"/>
            <w:tcMar>
              <w:top w:w="80" w:type="dxa"/>
              <w:start w:w="120" w:type="dxa"/>
              <w:bottom w:w="80" w:type="dxa"/>
              <w:end w:w="120" w:type="dxa"/>
            </w:tcMar>
            <w:vAlign w:val="center"/>
          </w:tcPr>
          <w:p>
            <w:r>
              <w:t>SPEC-SECRETS</w:t>
            </w:r>
          </w:p>
        </w:tc>
        <w:tc>
          <w:tcPr>
            <w:tcW w:type="dxa" w:w="3672"/>
            <w:tcMar>
              <w:top w:w="80" w:type="dxa"/>
              <w:start w:w="120" w:type="dxa"/>
              <w:bottom w:w="80" w:type="dxa"/>
              <w:end w:w="120" w:type="dxa"/>
            </w:tcMar>
            <w:vAlign w:val="center"/>
          </w:tcPr>
          <w:p>
            <w:r>
              <w:t>Secrets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SPEC-SBOM</w:t>
            </w:r>
          </w:p>
        </w:tc>
        <w:tc>
          <w:tcPr>
            <w:tcW w:type="dxa" w:w="3672"/>
            <w:tcMar>
              <w:top w:w="80" w:type="dxa"/>
              <w:start w:w="120" w:type="dxa"/>
              <w:bottom w:w="80" w:type="dxa"/>
              <w:end w:w="120" w:type="dxa"/>
            </w:tcMar>
            <w:vAlign w:val="center"/>
          </w:tcPr>
          <w:p>
            <w:r>
              <w:t>Software Composition and SBOM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SPEC-DEPS</w:t>
            </w:r>
          </w:p>
        </w:tc>
        <w:tc>
          <w:tcPr>
            <w:tcW w:type="dxa" w:w="3672"/>
            <w:tcMar>
              <w:top w:w="80" w:type="dxa"/>
              <w:start w:w="120" w:type="dxa"/>
              <w:bottom w:w="80" w:type="dxa"/>
              <w:end w:w="120" w:type="dxa"/>
            </w:tcMar>
            <w:vAlign w:val="center"/>
          </w:tcPr>
          <w:p>
            <w:r>
              <w:t>Dependency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SPEC-SECURE-CODE</w:t>
            </w:r>
          </w:p>
        </w:tc>
        <w:tc>
          <w:tcPr>
            <w:tcW w:type="dxa" w:w="3672"/>
            <w:tcMar>
              <w:top w:w="80" w:type="dxa"/>
              <w:start w:w="120" w:type="dxa"/>
              <w:bottom w:w="80" w:type="dxa"/>
              <w:end w:w="120" w:type="dxa"/>
            </w:tcMar>
            <w:vAlign w:val="center"/>
          </w:tcPr>
          <w:p>
            <w:r>
              <w:t>Secure Coding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SPEC-SECURITY</w:t>
            </w:r>
          </w:p>
        </w:tc>
        <w:tc>
          <w:tcPr>
            <w:tcW w:type="dxa" w:w="3672"/>
            <w:tcMar>
              <w:top w:w="80" w:type="dxa"/>
              <w:start w:w="120" w:type="dxa"/>
              <w:bottom w:w="80" w:type="dxa"/>
              <w:end w:w="120" w:type="dxa"/>
            </w:tcMar>
            <w:vAlign w:val="center"/>
          </w:tcPr>
          <w:p>
            <w:r>
              <w:t>Security Posture Reviewer</w:t>
            </w:r>
          </w:p>
        </w:tc>
        <w:tc>
          <w:tcPr>
            <w:tcW w:type="dxa" w:w="1080"/>
            <w:tcMar>
              <w:top w:w="80" w:type="dxa"/>
              <w:start w:w="120" w:type="dxa"/>
              <w:bottom w:w="80" w:type="dxa"/>
              <w:end w:w="120" w:type="dxa"/>
            </w:tcMar>
            <w:vAlign w:val="center"/>
          </w:tcPr>
          <w:p>
            <w:r>
              <w:t>seed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SPEC-CONTAINER</w:t>
            </w:r>
          </w:p>
        </w:tc>
        <w:tc>
          <w:tcPr>
            <w:tcW w:type="dxa" w:w="3672"/>
            <w:tcMar>
              <w:top w:w="80" w:type="dxa"/>
              <w:start w:w="120" w:type="dxa"/>
              <w:bottom w:w="80" w:type="dxa"/>
              <w:end w:w="120" w:type="dxa"/>
            </w:tcMar>
            <w:vAlign w:val="center"/>
          </w:tcPr>
          <w:p>
            <w:r>
              <w:t>Container and Image Security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SPEC-K8S-WORKLOAD</w:t>
            </w:r>
          </w:p>
        </w:tc>
        <w:tc>
          <w:tcPr>
            <w:tcW w:type="dxa" w:w="3672"/>
            <w:tcMar>
              <w:top w:w="80" w:type="dxa"/>
              <w:start w:w="120" w:type="dxa"/>
              <w:bottom w:w="80" w:type="dxa"/>
              <w:end w:w="120" w:type="dxa"/>
            </w:tcMar>
            <w:vAlign w:val="center"/>
          </w:tcPr>
          <w:p>
            <w:r>
              <w:t>Kubernetes Workload Security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SPEC-K8S-PLATFORM</w:t>
            </w:r>
          </w:p>
        </w:tc>
        <w:tc>
          <w:tcPr>
            <w:tcW w:type="dxa" w:w="3672"/>
            <w:tcMar>
              <w:top w:w="80" w:type="dxa"/>
              <w:start w:w="120" w:type="dxa"/>
              <w:bottom w:w="80" w:type="dxa"/>
              <w:end w:w="120" w:type="dxa"/>
            </w:tcMar>
            <w:vAlign w:val="center"/>
          </w:tcPr>
          <w:p>
            <w:r>
              <w:t>Kubernetes Platform Security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SPEC-COMMS</w:t>
            </w:r>
          </w:p>
        </w:tc>
        <w:tc>
          <w:tcPr>
            <w:tcW w:type="dxa" w:w="3672"/>
            <w:tcMar>
              <w:top w:w="80" w:type="dxa"/>
              <w:start w:w="120" w:type="dxa"/>
              <w:bottom w:w="80" w:type="dxa"/>
              <w:end w:w="120" w:type="dxa"/>
            </w:tcMar>
            <w:vAlign w:val="center"/>
          </w:tcPr>
          <w:p>
            <w:r>
              <w:t>Workload Communication Security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SPEC-IAC</w:t>
            </w:r>
          </w:p>
        </w:tc>
        <w:tc>
          <w:tcPr>
            <w:tcW w:type="dxa" w:w="3672"/>
            <w:tcMar>
              <w:top w:w="80" w:type="dxa"/>
              <w:start w:w="120" w:type="dxa"/>
              <w:bottom w:w="80" w:type="dxa"/>
              <w:end w:w="120" w:type="dxa"/>
            </w:tcMar>
            <w:vAlign w:val="center"/>
          </w:tcPr>
          <w:p>
            <w:r>
              <w:t>Infrastructure-as-Code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SPEC-CICD</w:t>
            </w:r>
          </w:p>
        </w:tc>
        <w:tc>
          <w:tcPr>
            <w:tcW w:type="dxa" w:w="3672"/>
            <w:tcMar>
              <w:top w:w="80" w:type="dxa"/>
              <w:start w:w="120" w:type="dxa"/>
              <w:bottom w:w="80" w:type="dxa"/>
              <w:end w:w="120" w:type="dxa"/>
            </w:tcMar>
            <w:vAlign w:val="center"/>
          </w:tcPr>
          <w:p>
            <w:r>
              <w:t>CI/CD Pipeline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SPEC-OBS</w:t>
            </w:r>
          </w:p>
        </w:tc>
        <w:tc>
          <w:tcPr>
            <w:tcW w:type="dxa" w:w="3672"/>
            <w:tcMar>
              <w:top w:w="80" w:type="dxa"/>
              <w:start w:w="120" w:type="dxa"/>
              <w:bottom w:w="80" w:type="dxa"/>
              <w:end w:w="120" w:type="dxa"/>
            </w:tcMar>
            <w:vAlign w:val="center"/>
          </w:tcPr>
          <w:p>
            <w:r>
              <w:t>Observability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SPEC-PERF</w:t>
            </w:r>
          </w:p>
        </w:tc>
        <w:tc>
          <w:tcPr>
            <w:tcW w:type="dxa" w:w="3672"/>
            <w:tcMar>
              <w:top w:w="80" w:type="dxa"/>
              <w:start w:w="120" w:type="dxa"/>
              <w:bottom w:w="80" w:type="dxa"/>
              <w:end w:w="120" w:type="dxa"/>
            </w:tcMar>
            <w:vAlign w:val="center"/>
          </w:tcPr>
          <w:p>
            <w:r>
              <w:t>Performance and Scalability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SPEC-FMECA</w:t>
            </w:r>
          </w:p>
        </w:tc>
        <w:tc>
          <w:tcPr>
            <w:tcW w:type="dxa" w:w="3672"/>
            <w:tcMar>
              <w:top w:w="80" w:type="dxa"/>
              <w:start w:w="120" w:type="dxa"/>
              <w:bottom w:w="80" w:type="dxa"/>
              <w:end w:w="120" w:type="dxa"/>
            </w:tcMar>
            <w:vAlign w:val="center"/>
          </w:tcPr>
          <w:p>
            <w:r>
              <w:t>Reliability, Resilience, and FMECA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SPEC-ARCH</w:t>
            </w:r>
          </w:p>
        </w:tc>
        <w:tc>
          <w:tcPr>
            <w:tcW w:type="dxa" w:w="3672"/>
            <w:tcMar>
              <w:top w:w="80" w:type="dxa"/>
              <w:start w:w="120" w:type="dxa"/>
              <w:bottom w:w="80" w:type="dxa"/>
              <w:end w:w="120" w:type="dxa"/>
            </w:tcMar>
            <w:vAlign w:val="center"/>
          </w:tcPr>
          <w:p>
            <w:r>
              <w:t>Architecture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SPEC-INTEROP</w:t>
            </w:r>
          </w:p>
        </w:tc>
        <w:tc>
          <w:tcPr>
            <w:tcW w:type="dxa" w:w="3672"/>
            <w:tcMar>
              <w:top w:w="80" w:type="dxa"/>
              <w:start w:w="120" w:type="dxa"/>
              <w:bottom w:w="80" w:type="dxa"/>
              <w:end w:w="120" w:type="dxa"/>
            </w:tcMar>
            <w:vAlign w:val="center"/>
          </w:tcPr>
          <w:p>
            <w:r>
              <w:t>Interoperability and Integration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SPEC-DATA</w:t>
            </w:r>
          </w:p>
        </w:tc>
        <w:tc>
          <w:tcPr>
            <w:tcW w:type="dxa" w:w="3672"/>
            <w:tcMar>
              <w:top w:w="80" w:type="dxa"/>
              <w:start w:w="120" w:type="dxa"/>
              <w:bottom w:w="80" w:type="dxa"/>
              <w:end w:w="120" w:type="dxa"/>
            </w:tcMar>
            <w:vAlign w:val="center"/>
          </w:tcPr>
          <w:p>
            <w:r>
              <w:t>Data Architecture and Information Management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SPEC-RISK</w:t>
            </w:r>
          </w:p>
        </w:tc>
        <w:tc>
          <w:tcPr>
            <w:tcW w:type="dxa" w:w="3672"/>
            <w:tcMar>
              <w:top w:w="80" w:type="dxa"/>
              <w:start w:w="120" w:type="dxa"/>
              <w:bottom w:w="80" w:type="dxa"/>
              <w:end w:w="120" w:type="dxa"/>
            </w:tcMar>
            <w:vAlign w:val="center"/>
          </w:tcPr>
          <w:p>
            <w:r>
              <w:t>Product Risk Reviewer</w:t>
            </w:r>
          </w:p>
        </w:tc>
        <w:tc>
          <w:tcPr>
            <w:tcW w:type="dxa" w:w="1080"/>
            <w:tcMar>
              <w:top w:w="80" w:type="dxa"/>
              <w:start w:w="120" w:type="dxa"/>
              <w:bottom w:w="80" w:type="dxa"/>
              <w:end w:w="120" w:type="dxa"/>
            </w:tcMar>
            <w:vAlign w:val="center"/>
          </w:tcPr>
          <w:p>
            <w:r>
              <w:t>seed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SPEC-LINT</w:t>
            </w:r>
          </w:p>
        </w:tc>
        <w:tc>
          <w:tcPr>
            <w:tcW w:type="dxa" w:w="3672"/>
            <w:tcMar>
              <w:top w:w="80" w:type="dxa"/>
              <w:start w:w="120" w:type="dxa"/>
              <w:bottom w:w="80" w:type="dxa"/>
              <w:end w:w="120" w:type="dxa"/>
            </w:tcMar>
            <w:vAlign w:val="center"/>
          </w:tcPr>
          <w:p>
            <w:r>
              <w:t>Linter and Code Quality Reviewer</w:t>
            </w:r>
          </w:p>
        </w:tc>
        <w:tc>
          <w:tcPr>
            <w:tcW w:type="dxa" w:w="1080"/>
            <w:tcMar>
              <w:top w:w="80" w:type="dxa"/>
              <w:start w:w="120" w:type="dxa"/>
              <w:bottom w:w="80" w:type="dxa"/>
              <w:end w:w="120" w:type="dxa"/>
            </w:tcMar>
            <w:vAlign w:val="center"/>
          </w:tcPr>
          <w:p>
            <w:r>
              <w:t>seed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SPEC-IO</w:t>
            </w:r>
          </w:p>
        </w:tc>
        <w:tc>
          <w:tcPr>
            <w:tcW w:type="dxa" w:w="3672"/>
            <w:tcMar>
              <w:top w:w="80" w:type="dxa"/>
              <w:start w:w="120" w:type="dxa"/>
              <w:bottom w:w="80" w:type="dxa"/>
              <w:end w:w="120" w:type="dxa"/>
            </w:tcMar>
            <w:vAlign w:val="center"/>
          </w:tcPr>
          <w:p>
            <w:r>
              <w:t>I/O and Resource Interaction Reviewer</w:t>
            </w:r>
          </w:p>
        </w:tc>
        <w:tc>
          <w:tcPr>
            <w:tcW w:type="dxa" w:w="1080"/>
            <w:tcMar>
              <w:top w:w="80" w:type="dxa"/>
              <w:start w:w="120" w:type="dxa"/>
              <w:bottom w:w="80" w:type="dxa"/>
              <w:end w:w="120" w:type="dxa"/>
            </w:tcMar>
            <w:vAlign w:val="center"/>
          </w:tcPr>
          <w:p>
            <w:r>
              <w:t>seed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SPEC-DIAGRAM</w:t>
            </w:r>
          </w:p>
        </w:tc>
        <w:tc>
          <w:tcPr>
            <w:tcW w:type="dxa" w:w="3672"/>
            <w:tcMar>
              <w:top w:w="80" w:type="dxa"/>
              <w:start w:w="120" w:type="dxa"/>
              <w:bottom w:w="80" w:type="dxa"/>
              <w:end w:w="120" w:type="dxa"/>
            </w:tcMar>
            <w:vAlign w:val="center"/>
          </w:tcPr>
          <w:p>
            <w:r>
              <w:t>Diagram and Design-Model Reviewer</w:t>
            </w:r>
          </w:p>
        </w:tc>
        <w:tc>
          <w:tcPr>
            <w:tcW w:type="dxa" w:w="1080"/>
            <w:tcMar>
              <w:top w:w="80" w:type="dxa"/>
              <w:start w:w="120" w:type="dxa"/>
              <w:bottom w:w="80" w:type="dxa"/>
              <w:end w:w="120" w:type="dxa"/>
            </w:tcMar>
            <w:vAlign w:val="center"/>
          </w:tcPr>
          <w:p>
            <w:r>
              <w:t>seed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SPEC-RESEARCH</w:t>
            </w:r>
          </w:p>
        </w:tc>
        <w:tc>
          <w:tcPr>
            <w:tcW w:type="dxa" w:w="3672"/>
            <w:tcMar>
              <w:top w:w="80" w:type="dxa"/>
              <w:start w:w="120" w:type="dxa"/>
              <w:bottom w:w="80" w:type="dxa"/>
              <w:end w:w="120" w:type="dxa"/>
            </w:tcMar>
            <w:vAlign w:val="center"/>
          </w:tcPr>
          <w:p>
            <w:r>
              <w:t>Research and Product-Store Agent</w:t>
            </w:r>
          </w:p>
        </w:tc>
        <w:tc>
          <w:tcPr>
            <w:tcW w:type="dxa" w:w="1080"/>
            <w:tcMar>
              <w:top w:w="80" w:type="dxa"/>
              <w:start w:w="120" w:type="dxa"/>
              <w:bottom w:w="80" w:type="dxa"/>
              <w:end w:w="120" w:type="dxa"/>
            </w:tcMar>
            <w:vAlign w:val="center"/>
          </w:tcPr>
          <w:p>
            <w:r>
              <w:t>seed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bl>
    <w:p>
      <w:pPr>
        <w:pStyle w:val="Heading2"/>
      </w:pPr>
      <w:r>
        <w:t>Product layer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val="true"/>
        </w:trPr>
        <w:tc>
          <w:tcPr>
            <w:tcW w:type="dxa" w:w="1656"/>
            <w:tcMar>
              <w:top w:w="80" w:type="dxa"/>
              <w:start w:w="120" w:type="dxa"/>
              <w:bottom w:w="80" w:type="dxa"/>
              <w:end w:w="120" w:type="dxa"/>
            </w:tcMar>
            <w:vAlign w:val="center"/>
            <w:shd w:fill="E8EEF5"/>
          </w:tcPr>
          <w:p>
            <w:r>
              <w:rPr>
                <w:b/>
                <w:color w:val="1F4D78"/>
              </w:rPr>
              <w:t>Designation</w:t>
            </w:r>
          </w:p>
        </w:tc>
        <w:tc>
          <w:tcPr>
            <w:tcW w:type="dxa" w:w="3672"/>
            <w:tcMar>
              <w:top w:w="80" w:type="dxa"/>
              <w:start w:w="120" w:type="dxa"/>
              <w:bottom w:w="80" w:type="dxa"/>
              <w:end w:w="120" w:type="dxa"/>
            </w:tcMar>
            <w:vAlign w:val="center"/>
            <w:shd w:fill="E8EEF5"/>
          </w:tcPr>
          <w:p>
            <w:r>
              <w:rPr>
                <w:b/>
                <w:color w:val="1F4D78"/>
              </w:rPr>
              <w:t>Agent</w:t>
            </w:r>
          </w:p>
        </w:tc>
        <w:tc>
          <w:tcPr>
            <w:tcW w:type="dxa" w:w="1080"/>
            <w:tcMar>
              <w:top w:w="80" w:type="dxa"/>
              <w:start w:w="120" w:type="dxa"/>
              <w:bottom w:w="80" w:type="dxa"/>
              <w:end w:w="120" w:type="dxa"/>
            </w:tcMar>
            <w:vAlign w:val="center"/>
            <w:shd w:fill="E8EEF5"/>
          </w:tcPr>
          <w:p>
            <w:r>
              <w:rPr>
                <w:b/>
                <w:color w:val="1F4D78"/>
              </w:rPr>
              <w:t>Status</w:t>
            </w:r>
          </w:p>
        </w:tc>
        <w:tc>
          <w:tcPr>
            <w:tcW w:type="dxa" w:w="1152"/>
            <w:tcMar>
              <w:top w:w="80" w:type="dxa"/>
              <w:start w:w="120" w:type="dxa"/>
              <w:bottom w:w="80" w:type="dxa"/>
              <w:end w:w="120" w:type="dxa"/>
            </w:tcMar>
            <w:vAlign w:val="center"/>
            <w:shd w:fill="E8EEF5"/>
          </w:tcPr>
          <w:p>
            <w:r>
              <w:rPr>
                <w:b/>
                <w:color w:val="1F4D78"/>
              </w:rPr>
              <w:t>Contract</w:t>
            </w:r>
          </w:p>
        </w:tc>
        <w:tc>
          <w:tcPr>
            <w:tcW w:type="dxa" w:w="1224"/>
            <w:tcMar>
              <w:top w:w="80" w:type="dxa"/>
              <w:start w:w="120" w:type="dxa"/>
              <w:bottom w:w="80" w:type="dxa"/>
              <w:end w:w="120" w:type="dxa"/>
            </w:tcMar>
            <w:vAlign w:val="center"/>
            <w:shd w:fill="E8EEF5"/>
          </w:tcPr>
          <w:p>
            <w:r>
              <w:rPr>
                <w:b/>
                <w:color w:val="1F4D78"/>
              </w:rPr>
              <w:t>Draft owner</w:t>
            </w:r>
          </w:p>
        </w:tc>
      </w:tr>
      <w:tr>
        <w:trPr>
          <w:cantSplit/>
        </w:trPr>
        <w:tc>
          <w:tcPr>
            <w:tcW w:type="dxa" w:w="1656"/>
            <w:tcMar>
              <w:top w:w="80" w:type="dxa"/>
              <w:start w:w="120" w:type="dxa"/>
              <w:bottom w:w="80" w:type="dxa"/>
              <w:end w:w="120" w:type="dxa"/>
            </w:tcMar>
            <w:vAlign w:val="center"/>
          </w:tcPr>
          <w:p>
            <w:r>
              <w:t>PROD-SYNTH</w:t>
            </w:r>
          </w:p>
        </w:tc>
        <w:tc>
          <w:tcPr>
            <w:tcW w:type="dxa" w:w="3672"/>
            <w:tcMar>
              <w:top w:w="80" w:type="dxa"/>
              <w:start w:w="120" w:type="dxa"/>
              <w:bottom w:w="80" w:type="dxa"/>
              <w:end w:w="120" w:type="dxa"/>
            </w:tcMar>
            <w:vAlign w:val="center"/>
          </w:tcPr>
          <w:p>
            <w:r>
              <w:t>Product Synthesis Lead</w:t>
            </w:r>
          </w:p>
        </w:tc>
        <w:tc>
          <w:tcPr>
            <w:tcW w:type="dxa" w:w="1080"/>
            <w:tcMar>
              <w:top w:w="80" w:type="dxa"/>
              <w:start w:w="120" w:type="dxa"/>
              <w:bottom w:w="80" w:type="dxa"/>
              <w:end w:w="120" w:type="dxa"/>
            </w:tcMar>
            <w:vAlign w:val="center"/>
          </w:tcPr>
          <w:p>
            <w:r>
              <w:t>planned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PROD-SEC</w:t>
            </w:r>
          </w:p>
        </w:tc>
        <w:tc>
          <w:tcPr>
            <w:tcW w:type="dxa" w:w="3672"/>
            <w:tcMar>
              <w:top w:w="80" w:type="dxa"/>
              <w:start w:w="120" w:type="dxa"/>
              <w:bottom w:w="80" w:type="dxa"/>
              <w:end w:w="120" w:type="dxa"/>
            </w:tcMar>
            <w:vAlign w:val="center"/>
          </w:tcPr>
          <w:p>
            <w:r>
              <w:t>Product Security Synthesizer</w:t>
            </w:r>
          </w:p>
        </w:tc>
        <w:tc>
          <w:tcPr>
            <w:tcW w:type="dxa" w:w="1080"/>
            <w:tcMar>
              <w:top w:w="80" w:type="dxa"/>
              <w:start w:w="120" w:type="dxa"/>
              <w:bottom w:w="80" w:type="dxa"/>
              <w:end w:w="120" w:type="dxa"/>
            </w:tcMar>
            <w:vAlign w:val="center"/>
          </w:tcPr>
          <w:p>
            <w:r>
              <w:t>planned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PROD-ARCH</w:t>
            </w:r>
          </w:p>
        </w:tc>
        <w:tc>
          <w:tcPr>
            <w:tcW w:type="dxa" w:w="3672"/>
            <w:tcMar>
              <w:top w:w="80" w:type="dxa"/>
              <w:start w:w="120" w:type="dxa"/>
              <w:bottom w:w="80" w:type="dxa"/>
              <w:end w:w="120" w:type="dxa"/>
            </w:tcMar>
            <w:vAlign w:val="center"/>
          </w:tcPr>
          <w:p>
            <w:r>
              <w:t>Product Architecture Synthesizer</w:t>
            </w:r>
          </w:p>
        </w:tc>
        <w:tc>
          <w:tcPr>
            <w:tcW w:type="dxa" w:w="1080"/>
            <w:tcMar>
              <w:top w:w="80" w:type="dxa"/>
              <w:start w:w="120" w:type="dxa"/>
              <w:bottom w:w="80" w:type="dxa"/>
              <w:end w:w="120" w:type="dxa"/>
            </w:tcMar>
            <w:vAlign w:val="center"/>
          </w:tcPr>
          <w:p>
            <w:r>
              <w:t>planned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PROD-LINT</w:t>
            </w:r>
          </w:p>
        </w:tc>
        <w:tc>
          <w:tcPr>
            <w:tcW w:type="dxa" w:w="3672"/>
            <w:tcMar>
              <w:top w:w="80" w:type="dxa"/>
              <w:start w:w="120" w:type="dxa"/>
              <w:bottom w:w="80" w:type="dxa"/>
              <w:end w:w="120" w:type="dxa"/>
            </w:tcMar>
            <w:vAlign w:val="center"/>
          </w:tcPr>
          <w:p>
            <w:r>
              <w:t>Product Quality Synthesizer</w:t>
            </w:r>
          </w:p>
        </w:tc>
        <w:tc>
          <w:tcPr>
            <w:tcW w:type="dxa" w:w="1080"/>
            <w:tcMar>
              <w:top w:w="80" w:type="dxa"/>
              <w:start w:w="120" w:type="dxa"/>
              <w:bottom w:w="80" w:type="dxa"/>
              <w:end w:w="120" w:type="dxa"/>
            </w:tcMar>
            <w:vAlign w:val="center"/>
          </w:tcPr>
          <w:p>
            <w:r>
              <w:t>planned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bl>
    <w:p>
      <w:pPr>
        <w:pStyle w:val="Heading2"/>
      </w:pPr>
      <w:r>
        <w:t>Capability layer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val="true"/>
        </w:trPr>
        <w:tc>
          <w:tcPr>
            <w:tcW w:type="dxa" w:w="1656"/>
            <w:tcMar>
              <w:top w:w="80" w:type="dxa"/>
              <w:start w:w="120" w:type="dxa"/>
              <w:bottom w:w="80" w:type="dxa"/>
              <w:end w:w="120" w:type="dxa"/>
            </w:tcMar>
            <w:vAlign w:val="center"/>
            <w:shd w:fill="E8EEF5"/>
          </w:tcPr>
          <w:p>
            <w:r>
              <w:rPr>
                <w:b/>
                <w:color w:val="1F4D78"/>
              </w:rPr>
              <w:t>Designation</w:t>
            </w:r>
          </w:p>
        </w:tc>
        <w:tc>
          <w:tcPr>
            <w:tcW w:type="dxa" w:w="3672"/>
            <w:tcMar>
              <w:top w:w="80" w:type="dxa"/>
              <w:start w:w="120" w:type="dxa"/>
              <w:bottom w:w="80" w:type="dxa"/>
              <w:end w:w="120" w:type="dxa"/>
            </w:tcMar>
            <w:vAlign w:val="center"/>
            <w:shd w:fill="E8EEF5"/>
          </w:tcPr>
          <w:p>
            <w:r>
              <w:rPr>
                <w:b/>
                <w:color w:val="1F4D78"/>
              </w:rPr>
              <w:t>Agent</w:t>
            </w:r>
          </w:p>
        </w:tc>
        <w:tc>
          <w:tcPr>
            <w:tcW w:type="dxa" w:w="1080"/>
            <w:tcMar>
              <w:top w:w="80" w:type="dxa"/>
              <w:start w:w="120" w:type="dxa"/>
              <w:bottom w:w="80" w:type="dxa"/>
              <w:end w:w="120" w:type="dxa"/>
            </w:tcMar>
            <w:vAlign w:val="center"/>
            <w:shd w:fill="E8EEF5"/>
          </w:tcPr>
          <w:p>
            <w:r>
              <w:rPr>
                <w:b/>
                <w:color w:val="1F4D78"/>
              </w:rPr>
              <w:t>Status</w:t>
            </w:r>
          </w:p>
        </w:tc>
        <w:tc>
          <w:tcPr>
            <w:tcW w:type="dxa" w:w="1152"/>
            <w:tcMar>
              <w:top w:w="80" w:type="dxa"/>
              <w:start w:w="120" w:type="dxa"/>
              <w:bottom w:w="80" w:type="dxa"/>
              <w:end w:w="120" w:type="dxa"/>
            </w:tcMar>
            <w:vAlign w:val="center"/>
            <w:shd w:fill="E8EEF5"/>
          </w:tcPr>
          <w:p>
            <w:r>
              <w:rPr>
                <w:b/>
                <w:color w:val="1F4D78"/>
              </w:rPr>
              <w:t>Contract</w:t>
            </w:r>
          </w:p>
        </w:tc>
        <w:tc>
          <w:tcPr>
            <w:tcW w:type="dxa" w:w="1224"/>
            <w:tcMar>
              <w:top w:w="80" w:type="dxa"/>
              <w:start w:w="120" w:type="dxa"/>
              <w:bottom w:w="80" w:type="dxa"/>
              <w:end w:w="120" w:type="dxa"/>
            </w:tcMar>
            <w:vAlign w:val="center"/>
            <w:shd w:fill="E8EEF5"/>
          </w:tcPr>
          <w:p>
            <w:r>
              <w:rPr>
                <w:b/>
                <w:color w:val="1F4D78"/>
              </w:rPr>
              <w:t>Draft owner</w:t>
            </w:r>
          </w:p>
        </w:tc>
      </w:tr>
      <w:tr>
        <w:trPr>
          <w:cantSplit/>
        </w:trPr>
        <w:tc>
          <w:tcPr>
            <w:tcW w:type="dxa" w:w="1656"/>
            <w:tcMar>
              <w:top w:w="80" w:type="dxa"/>
              <w:start w:w="120" w:type="dxa"/>
              <w:bottom w:w="80" w:type="dxa"/>
              <w:end w:w="120" w:type="dxa"/>
            </w:tcMar>
            <w:vAlign w:val="center"/>
          </w:tcPr>
          <w:p>
            <w:r>
              <w:t>CAP-REQ</w:t>
            </w:r>
          </w:p>
        </w:tc>
        <w:tc>
          <w:tcPr>
            <w:tcW w:type="dxa" w:w="3672"/>
            <w:tcMar>
              <w:top w:w="80" w:type="dxa"/>
              <w:start w:w="120" w:type="dxa"/>
              <w:bottom w:w="80" w:type="dxa"/>
              <w:end w:w="120" w:type="dxa"/>
            </w:tcMar>
            <w:vAlign w:val="center"/>
          </w:tcPr>
          <w:p>
            <w:r>
              <w:t>Requirements Traceability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CAP-XPROD</w:t>
            </w:r>
          </w:p>
        </w:tc>
        <w:tc>
          <w:tcPr>
            <w:tcW w:type="dxa" w:w="3672"/>
            <w:tcMar>
              <w:top w:w="80" w:type="dxa"/>
              <w:start w:w="120" w:type="dxa"/>
              <w:bottom w:w="80" w:type="dxa"/>
              <w:end w:w="120" w:type="dxa"/>
            </w:tcMar>
            <w:vAlign w:val="center"/>
          </w:tcPr>
          <w:p>
            <w:r>
              <w:t>Cross-Product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CAP-RISK</w:t>
            </w:r>
          </w:p>
        </w:tc>
        <w:tc>
          <w:tcPr>
            <w:tcW w:type="dxa" w:w="3672"/>
            <w:tcMar>
              <w:top w:w="80" w:type="dxa"/>
              <w:start w:w="120" w:type="dxa"/>
              <w:bottom w:w="80" w:type="dxa"/>
              <w:end w:w="120" w:type="dxa"/>
            </w:tcMar>
            <w:vAlign w:val="center"/>
          </w:tcPr>
          <w:p>
            <w:r>
              <w:t>Capability Risk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CAP-MISSION</w:t>
            </w:r>
          </w:p>
        </w:tc>
        <w:tc>
          <w:tcPr>
            <w:tcW w:type="dxa" w:w="3672"/>
            <w:tcMar>
              <w:top w:w="80" w:type="dxa"/>
              <w:start w:w="120" w:type="dxa"/>
              <w:bottom w:w="80" w:type="dxa"/>
              <w:end w:w="120" w:type="dxa"/>
            </w:tcMar>
            <w:vAlign w:val="center"/>
          </w:tcPr>
          <w:p>
            <w:r>
              <w:t>Mission Thread Analysis Agent</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CAP-HCD</w:t>
            </w:r>
          </w:p>
        </w:tc>
        <w:tc>
          <w:tcPr>
            <w:tcW w:type="dxa" w:w="3672"/>
            <w:tcMar>
              <w:top w:w="80" w:type="dxa"/>
              <w:start w:w="120" w:type="dxa"/>
              <w:bottom w:w="80" w:type="dxa"/>
              <w:end w:w="120" w:type="dxa"/>
            </w:tcMar>
            <w:vAlign w:val="center"/>
          </w:tcPr>
          <w:p>
            <w:r>
              <w:t>Human-Centered Design Evaluator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CAP-ARCH</w:t>
            </w:r>
          </w:p>
        </w:tc>
        <w:tc>
          <w:tcPr>
            <w:tcW w:type="dxa" w:w="3672"/>
            <w:tcMar>
              <w:top w:w="80" w:type="dxa"/>
              <w:start w:w="120" w:type="dxa"/>
              <w:bottom w:w="80" w:type="dxa"/>
              <w:end w:w="120" w:type="dxa"/>
            </w:tcMar>
            <w:vAlign w:val="center"/>
          </w:tcPr>
          <w:p>
            <w:r>
              <w:t>Capability Architecture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CAP-TRADE</w:t>
            </w:r>
          </w:p>
        </w:tc>
        <w:tc>
          <w:tcPr>
            <w:tcW w:type="dxa" w:w="3672"/>
            <w:tcMar>
              <w:top w:w="80" w:type="dxa"/>
              <w:start w:w="120" w:type="dxa"/>
              <w:bottom w:w="80" w:type="dxa"/>
              <w:end w:w="120" w:type="dxa"/>
            </w:tcMar>
            <w:vAlign w:val="center"/>
          </w:tcPr>
          <w:p>
            <w:r>
              <w:t>Capability Trade-Study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CAP-GOV</w:t>
            </w:r>
          </w:p>
        </w:tc>
        <w:tc>
          <w:tcPr>
            <w:tcW w:type="dxa" w:w="3672"/>
            <w:tcMar>
              <w:top w:w="80" w:type="dxa"/>
              <w:start w:w="120" w:type="dxa"/>
              <w:bottom w:w="80" w:type="dxa"/>
              <w:end w:w="120" w:type="dxa"/>
            </w:tcMar>
            <w:vAlign w:val="center"/>
          </w:tcPr>
          <w:p>
            <w:r>
              <w:t>Capability Governance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CAP-PROGRESS</w:t>
            </w:r>
          </w:p>
        </w:tc>
        <w:tc>
          <w:tcPr>
            <w:tcW w:type="dxa" w:w="3672"/>
            <w:tcMar>
              <w:top w:w="80" w:type="dxa"/>
              <w:start w:w="120" w:type="dxa"/>
              <w:bottom w:w="80" w:type="dxa"/>
              <w:end w:w="120" w:type="dxa"/>
            </w:tcMar>
            <w:vAlign w:val="center"/>
          </w:tcPr>
          <w:p>
            <w:r>
              <w:t>Capability Progress and Readiness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CAP-COORD</w:t>
            </w:r>
          </w:p>
        </w:tc>
        <w:tc>
          <w:tcPr>
            <w:tcW w:type="dxa" w:w="3672"/>
            <w:tcMar>
              <w:top w:w="80" w:type="dxa"/>
              <w:start w:w="120" w:type="dxa"/>
              <w:bottom w:w="80" w:type="dxa"/>
              <w:end w:w="120" w:type="dxa"/>
            </w:tcMar>
            <w:vAlign w:val="center"/>
          </w:tcPr>
          <w:p>
            <w:r>
              <w:t>Capability Coordinator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CAP-SYNTH</w:t>
            </w:r>
          </w:p>
        </w:tc>
        <w:tc>
          <w:tcPr>
            <w:tcW w:type="dxa" w:w="3672"/>
            <w:tcMar>
              <w:top w:w="80" w:type="dxa"/>
              <w:start w:w="120" w:type="dxa"/>
              <w:bottom w:w="80" w:type="dxa"/>
              <w:end w:w="120" w:type="dxa"/>
            </w:tcMar>
            <w:vAlign w:val="center"/>
          </w:tcPr>
          <w:p>
            <w:r>
              <w:t>Capability Synthesis Lead</w:t>
            </w:r>
          </w:p>
        </w:tc>
        <w:tc>
          <w:tcPr>
            <w:tcW w:type="dxa" w:w="1080"/>
            <w:tcMar>
              <w:top w:w="80" w:type="dxa"/>
              <w:start w:w="120" w:type="dxa"/>
              <w:bottom w:w="80" w:type="dxa"/>
              <w:end w:w="120" w:type="dxa"/>
            </w:tcMar>
            <w:vAlign w:val="center"/>
          </w:tcPr>
          <w:p>
            <w:r>
              <w:t>planned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bl>
    <w:p>
      <w:pPr>
        <w:pStyle w:val="Heading2"/>
      </w:pPr>
      <w:r>
        <w:t>Enterprise layer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val="true"/>
        </w:trPr>
        <w:tc>
          <w:tcPr>
            <w:tcW w:type="dxa" w:w="1656"/>
            <w:tcMar>
              <w:top w:w="80" w:type="dxa"/>
              <w:start w:w="120" w:type="dxa"/>
              <w:bottom w:w="80" w:type="dxa"/>
              <w:end w:w="120" w:type="dxa"/>
            </w:tcMar>
            <w:vAlign w:val="center"/>
            <w:shd w:fill="E8EEF5"/>
          </w:tcPr>
          <w:p>
            <w:r>
              <w:rPr>
                <w:b/>
                <w:color w:val="1F4D78"/>
              </w:rPr>
              <w:t>Designation</w:t>
            </w:r>
          </w:p>
        </w:tc>
        <w:tc>
          <w:tcPr>
            <w:tcW w:type="dxa" w:w="3672"/>
            <w:tcMar>
              <w:top w:w="80" w:type="dxa"/>
              <w:start w:w="120" w:type="dxa"/>
              <w:bottom w:w="80" w:type="dxa"/>
              <w:end w:w="120" w:type="dxa"/>
            </w:tcMar>
            <w:vAlign w:val="center"/>
            <w:shd w:fill="E8EEF5"/>
          </w:tcPr>
          <w:p>
            <w:r>
              <w:rPr>
                <w:b/>
                <w:color w:val="1F4D78"/>
              </w:rPr>
              <w:t>Agent</w:t>
            </w:r>
          </w:p>
        </w:tc>
        <w:tc>
          <w:tcPr>
            <w:tcW w:type="dxa" w:w="1080"/>
            <w:tcMar>
              <w:top w:w="80" w:type="dxa"/>
              <w:start w:w="120" w:type="dxa"/>
              <w:bottom w:w="80" w:type="dxa"/>
              <w:end w:w="120" w:type="dxa"/>
            </w:tcMar>
            <w:vAlign w:val="center"/>
            <w:shd w:fill="E8EEF5"/>
          </w:tcPr>
          <w:p>
            <w:r>
              <w:rPr>
                <w:b/>
                <w:color w:val="1F4D78"/>
              </w:rPr>
              <w:t>Status</w:t>
            </w:r>
          </w:p>
        </w:tc>
        <w:tc>
          <w:tcPr>
            <w:tcW w:type="dxa" w:w="1152"/>
            <w:tcMar>
              <w:top w:w="80" w:type="dxa"/>
              <w:start w:w="120" w:type="dxa"/>
              <w:bottom w:w="80" w:type="dxa"/>
              <w:end w:w="120" w:type="dxa"/>
            </w:tcMar>
            <w:vAlign w:val="center"/>
            <w:shd w:fill="E8EEF5"/>
          </w:tcPr>
          <w:p>
            <w:r>
              <w:rPr>
                <w:b/>
                <w:color w:val="1F4D78"/>
              </w:rPr>
              <w:t>Contract</w:t>
            </w:r>
          </w:p>
        </w:tc>
        <w:tc>
          <w:tcPr>
            <w:tcW w:type="dxa" w:w="1224"/>
            <w:tcMar>
              <w:top w:w="80" w:type="dxa"/>
              <w:start w:w="120" w:type="dxa"/>
              <w:bottom w:w="80" w:type="dxa"/>
              <w:end w:w="120" w:type="dxa"/>
            </w:tcMar>
            <w:vAlign w:val="center"/>
            <w:shd w:fill="E8EEF5"/>
          </w:tcPr>
          <w:p>
            <w:r>
              <w:rPr>
                <w:b/>
                <w:color w:val="1F4D78"/>
              </w:rPr>
              <w:t>Draft owner</w:t>
            </w:r>
          </w:p>
        </w:tc>
      </w:tr>
      <w:tr>
        <w:trPr>
          <w:cantSplit/>
        </w:trPr>
        <w:tc>
          <w:tcPr>
            <w:tcW w:type="dxa" w:w="1656"/>
            <w:tcMar>
              <w:top w:w="80" w:type="dxa"/>
              <w:start w:w="120" w:type="dxa"/>
              <w:bottom w:w="80" w:type="dxa"/>
              <w:end w:w="120" w:type="dxa"/>
            </w:tcMar>
            <w:vAlign w:val="center"/>
          </w:tcPr>
          <w:p>
            <w:r>
              <w:t>ENT-SYNTH</w:t>
            </w:r>
          </w:p>
        </w:tc>
        <w:tc>
          <w:tcPr>
            <w:tcW w:type="dxa" w:w="3672"/>
            <w:tcMar>
              <w:top w:w="80" w:type="dxa"/>
              <w:start w:w="120" w:type="dxa"/>
              <w:bottom w:w="80" w:type="dxa"/>
              <w:end w:w="120" w:type="dxa"/>
            </w:tcMar>
            <w:vAlign w:val="center"/>
          </w:tcPr>
          <w:p>
            <w:r>
              <w:t>Enterprise Synthesis Agent</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ENT-SYSRISK</w:t>
            </w:r>
          </w:p>
        </w:tc>
        <w:tc>
          <w:tcPr>
            <w:tcW w:type="dxa" w:w="3672"/>
            <w:tcMar>
              <w:top w:w="80" w:type="dxa"/>
              <w:start w:w="120" w:type="dxa"/>
              <w:bottom w:w="80" w:type="dxa"/>
              <w:end w:w="120" w:type="dxa"/>
            </w:tcMar>
            <w:vAlign w:val="center"/>
          </w:tcPr>
          <w:p>
            <w:r>
              <w:t>Systemic Risk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ENT-GOV</w:t>
            </w:r>
          </w:p>
        </w:tc>
        <w:tc>
          <w:tcPr>
            <w:tcW w:type="dxa" w:w="3672"/>
            <w:tcMar>
              <w:top w:w="80" w:type="dxa"/>
              <w:start w:w="120" w:type="dxa"/>
              <w:bottom w:w="80" w:type="dxa"/>
              <w:end w:w="120" w:type="dxa"/>
            </w:tcMar>
            <w:vAlign w:val="center"/>
          </w:tcPr>
          <w:p>
            <w:r>
              <w:t>Enterprise Governance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ENT-ARCH</w:t>
            </w:r>
          </w:p>
        </w:tc>
        <w:tc>
          <w:tcPr>
            <w:tcW w:type="dxa" w:w="3672"/>
            <w:tcMar>
              <w:top w:w="80" w:type="dxa"/>
              <w:start w:w="120" w:type="dxa"/>
              <w:bottom w:w="80" w:type="dxa"/>
              <w:end w:w="120" w:type="dxa"/>
            </w:tcMar>
            <w:vAlign w:val="center"/>
          </w:tcPr>
          <w:p>
            <w:r>
              <w:t>Systems Architecture Reviewer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ENT-STRAT</w:t>
            </w:r>
          </w:p>
        </w:tc>
        <w:tc>
          <w:tcPr>
            <w:tcW w:type="dxa" w:w="3672"/>
            <w:tcMar>
              <w:top w:w="80" w:type="dxa"/>
              <w:start w:w="120" w:type="dxa"/>
              <w:bottom w:w="80" w:type="dxa"/>
              <w:end w:w="120" w:type="dxa"/>
            </w:tcMar>
            <w:vAlign w:val="center"/>
          </w:tcPr>
          <w:p>
            <w:r>
              <w:t>Strategic Scoring Agent</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ENT-EVIDENCE</w:t>
            </w:r>
          </w:p>
        </w:tc>
        <w:tc>
          <w:tcPr>
            <w:tcW w:type="dxa" w:w="3672"/>
            <w:tcMar>
              <w:top w:w="80" w:type="dxa"/>
              <w:start w:w="120" w:type="dxa"/>
              <w:bottom w:w="80" w:type="dxa"/>
              <w:end w:w="120" w:type="dxa"/>
            </w:tcMar>
            <w:vAlign w:val="center"/>
          </w:tcPr>
          <w:p>
            <w:r>
              <w:t>Evidence Validation Gate</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ENT-PORTFOLIO</w:t>
            </w:r>
          </w:p>
        </w:tc>
        <w:tc>
          <w:tcPr>
            <w:tcW w:type="dxa" w:w="3672"/>
            <w:tcMar>
              <w:top w:w="80" w:type="dxa"/>
              <w:start w:w="120" w:type="dxa"/>
              <w:bottom w:w="80" w:type="dxa"/>
              <w:end w:w="120" w:type="dxa"/>
            </w:tcMar>
            <w:vAlign w:val="center"/>
          </w:tcPr>
          <w:p>
            <w:r>
              <w:t>Portfolio Analysis Agent</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ENT-ARCHSTRAT</w:t>
            </w:r>
          </w:p>
        </w:tc>
        <w:tc>
          <w:tcPr>
            <w:tcW w:type="dxa" w:w="3672"/>
            <w:tcMar>
              <w:top w:w="80" w:type="dxa"/>
              <w:start w:w="120" w:type="dxa"/>
              <w:bottom w:w="80" w:type="dxa"/>
              <w:end w:w="120" w:type="dxa"/>
            </w:tcMar>
            <w:vAlign w:val="center"/>
          </w:tcPr>
          <w:p>
            <w:r>
              <w:t>Architecture Strategy Agent</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ENT-MATURITY</w:t>
            </w:r>
          </w:p>
        </w:tc>
        <w:tc>
          <w:tcPr>
            <w:tcW w:type="dxa" w:w="3672"/>
            <w:tcMar>
              <w:top w:w="80" w:type="dxa"/>
              <w:start w:w="120" w:type="dxa"/>
              <w:bottom w:w="80" w:type="dxa"/>
              <w:end w:w="120" w:type="dxa"/>
            </w:tcMar>
            <w:vAlign w:val="center"/>
          </w:tcPr>
          <w:p>
            <w:r>
              <w:t>Maturity Evaluator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ENT-TECHDEBT</w:t>
            </w:r>
          </w:p>
        </w:tc>
        <w:tc>
          <w:tcPr>
            <w:tcW w:type="dxa" w:w="3672"/>
            <w:tcMar>
              <w:top w:w="80" w:type="dxa"/>
              <w:start w:w="120" w:type="dxa"/>
              <w:bottom w:w="80" w:type="dxa"/>
              <w:end w:w="120" w:type="dxa"/>
            </w:tcMar>
            <w:vAlign w:val="center"/>
          </w:tcPr>
          <w:p>
            <w:r>
              <w:t>Technical Debt Prioritizer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ENT-MODERNIZE</w:t>
            </w:r>
          </w:p>
        </w:tc>
        <w:tc>
          <w:tcPr>
            <w:tcW w:type="dxa" w:w="3672"/>
            <w:tcMar>
              <w:top w:w="80" w:type="dxa"/>
              <w:start w:w="120" w:type="dxa"/>
              <w:bottom w:w="80" w:type="dxa"/>
              <w:end w:w="120" w:type="dxa"/>
            </w:tcMar>
            <w:vAlign w:val="center"/>
          </w:tcPr>
          <w:p>
            <w:r>
              <w:t>Investment and Modernization Advisor</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ENT-LEARN</w:t>
            </w:r>
          </w:p>
        </w:tc>
        <w:tc>
          <w:tcPr>
            <w:tcW w:type="dxa" w:w="3672"/>
            <w:tcMar>
              <w:top w:w="80" w:type="dxa"/>
              <w:start w:w="120" w:type="dxa"/>
              <w:bottom w:w="80" w:type="dxa"/>
              <w:end w:w="120" w:type="dxa"/>
            </w:tcMar>
            <w:vAlign w:val="center"/>
          </w:tcPr>
          <w:p>
            <w:r>
              <w:t>Learning and Metrics Agent</w:t>
            </w:r>
          </w:p>
        </w:tc>
        <w:tc>
          <w:tcPr>
            <w:tcW w:type="dxa" w:w="1080"/>
            <w:tcMar>
              <w:top w:w="80" w:type="dxa"/>
              <w:start w:w="120" w:type="dxa"/>
              <w:bottom w:w="80" w:type="dxa"/>
              <w:end w:w="120" w:type="dxa"/>
            </w:tcMar>
            <w:vAlign w:val="center"/>
          </w:tcPr>
          <w:p>
            <w:r>
              <w:t>baseline</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bl>
    <w:p>
      <w:pPr>
        <w:pStyle w:val="Heading2"/>
      </w:pPr>
      <w:r>
        <w:t>Work layer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val="true"/>
        </w:trPr>
        <w:tc>
          <w:tcPr>
            <w:tcW w:type="dxa" w:w="1656"/>
            <w:tcMar>
              <w:top w:w="80" w:type="dxa"/>
              <w:start w:w="120" w:type="dxa"/>
              <w:bottom w:w="80" w:type="dxa"/>
              <w:end w:w="120" w:type="dxa"/>
            </w:tcMar>
            <w:vAlign w:val="center"/>
            <w:shd w:fill="E8EEF5"/>
          </w:tcPr>
          <w:p>
            <w:r>
              <w:rPr>
                <w:b/>
                <w:color w:val="1F4D78"/>
              </w:rPr>
              <w:t>Designation</w:t>
            </w:r>
          </w:p>
        </w:tc>
        <w:tc>
          <w:tcPr>
            <w:tcW w:type="dxa" w:w="3672"/>
            <w:tcMar>
              <w:top w:w="80" w:type="dxa"/>
              <w:start w:w="120" w:type="dxa"/>
              <w:bottom w:w="80" w:type="dxa"/>
              <w:end w:w="120" w:type="dxa"/>
            </w:tcMar>
            <w:vAlign w:val="center"/>
            <w:shd w:fill="E8EEF5"/>
          </w:tcPr>
          <w:p>
            <w:r>
              <w:rPr>
                <w:b/>
                <w:color w:val="1F4D78"/>
              </w:rPr>
              <w:t>Agent</w:t>
            </w:r>
          </w:p>
        </w:tc>
        <w:tc>
          <w:tcPr>
            <w:tcW w:type="dxa" w:w="1080"/>
            <w:tcMar>
              <w:top w:w="80" w:type="dxa"/>
              <w:start w:w="120" w:type="dxa"/>
              <w:bottom w:w="80" w:type="dxa"/>
              <w:end w:w="120" w:type="dxa"/>
            </w:tcMar>
            <w:vAlign w:val="center"/>
            <w:shd w:fill="E8EEF5"/>
          </w:tcPr>
          <w:p>
            <w:r>
              <w:rPr>
                <w:b/>
                <w:color w:val="1F4D78"/>
              </w:rPr>
              <w:t>Status</w:t>
            </w:r>
          </w:p>
        </w:tc>
        <w:tc>
          <w:tcPr>
            <w:tcW w:type="dxa" w:w="1152"/>
            <w:tcMar>
              <w:top w:w="80" w:type="dxa"/>
              <w:start w:w="120" w:type="dxa"/>
              <w:bottom w:w="80" w:type="dxa"/>
              <w:end w:w="120" w:type="dxa"/>
            </w:tcMar>
            <w:vAlign w:val="center"/>
            <w:shd w:fill="E8EEF5"/>
          </w:tcPr>
          <w:p>
            <w:r>
              <w:rPr>
                <w:b/>
                <w:color w:val="1F4D78"/>
              </w:rPr>
              <w:t>Contract</w:t>
            </w:r>
          </w:p>
        </w:tc>
        <w:tc>
          <w:tcPr>
            <w:tcW w:type="dxa" w:w="1224"/>
            <w:tcMar>
              <w:top w:w="80" w:type="dxa"/>
              <w:start w:w="120" w:type="dxa"/>
              <w:bottom w:w="80" w:type="dxa"/>
              <w:end w:w="120" w:type="dxa"/>
            </w:tcMar>
            <w:vAlign w:val="center"/>
            <w:shd w:fill="E8EEF5"/>
          </w:tcPr>
          <w:p>
            <w:r>
              <w:rPr>
                <w:b/>
                <w:color w:val="1F4D78"/>
              </w:rPr>
              <w:t>Draft owner</w:t>
            </w:r>
          </w:p>
        </w:tc>
      </w:tr>
      <w:tr>
        <w:trPr>
          <w:cantSplit/>
        </w:trPr>
        <w:tc>
          <w:tcPr>
            <w:tcW w:type="dxa" w:w="1656"/>
            <w:tcMar>
              <w:top w:w="80" w:type="dxa"/>
              <w:start w:w="120" w:type="dxa"/>
              <w:bottom w:w="80" w:type="dxa"/>
              <w:end w:w="120" w:type="dxa"/>
            </w:tcMar>
            <w:vAlign w:val="center"/>
          </w:tcPr>
          <w:p>
            <w:r>
              <w:t>WORK-REVIEW</w:t>
            </w:r>
          </w:p>
        </w:tc>
        <w:tc>
          <w:tcPr>
            <w:tcW w:type="dxa" w:w="3672"/>
            <w:tcMar>
              <w:top w:w="80" w:type="dxa"/>
              <w:start w:w="120" w:type="dxa"/>
              <w:bottom w:w="80" w:type="dxa"/>
              <w:end w:w="120" w:type="dxa"/>
            </w:tcMar>
            <w:vAlign w:val="center"/>
          </w:tcPr>
          <w:p>
            <w:r>
              <w:t>Evidence Review Worker</w:t>
            </w:r>
          </w:p>
        </w:tc>
        <w:tc>
          <w:tcPr>
            <w:tcW w:type="dxa" w:w="1080"/>
            <w:tcMar>
              <w:top w:w="80" w:type="dxa"/>
              <w:start w:w="120" w:type="dxa"/>
              <w:bottom w:w="80" w:type="dxa"/>
              <w:end w:w="120" w:type="dxa"/>
            </w:tcMar>
            <w:vAlign w:val="center"/>
          </w:tcPr>
          <w:p>
            <w:r>
              <w:t>planned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WORK-ANALYZE</w:t>
            </w:r>
          </w:p>
        </w:tc>
        <w:tc>
          <w:tcPr>
            <w:tcW w:type="dxa" w:w="3672"/>
            <w:tcMar>
              <w:top w:w="80" w:type="dxa"/>
              <w:start w:w="120" w:type="dxa"/>
              <w:bottom w:w="80" w:type="dxa"/>
              <w:end w:w="120" w:type="dxa"/>
            </w:tcMar>
            <w:vAlign w:val="center"/>
          </w:tcPr>
          <w:p>
            <w:r>
              <w:t>Evidence Analysis Worker</w:t>
            </w:r>
          </w:p>
        </w:tc>
        <w:tc>
          <w:tcPr>
            <w:tcW w:type="dxa" w:w="1080"/>
            <w:tcMar>
              <w:top w:w="80" w:type="dxa"/>
              <w:start w:w="120" w:type="dxa"/>
              <w:bottom w:w="80" w:type="dxa"/>
              <w:end w:w="120" w:type="dxa"/>
            </w:tcMar>
            <w:vAlign w:val="center"/>
          </w:tcPr>
          <w:p>
            <w:r>
              <w:t>planned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WORK-SUMMARIZE</w:t>
            </w:r>
          </w:p>
        </w:tc>
        <w:tc>
          <w:tcPr>
            <w:tcW w:type="dxa" w:w="3672"/>
            <w:tcMar>
              <w:top w:w="80" w:type="dxa"/>
              <w:start w:w="120" w:type="dxa"/>
              <w:bottom w:w="80" w:type="dxa"/>
              <w:end w:w="120" w:type="dxa"/>
            </w:tcMar>
            <w:vAlign w:val="center"/>
          </w:tcPr>
          <w:p>
            <w:r>
              <w:t>Evidence Summarization Worker</w:t>
            </w:r>
          </w:p>
        </w:tc>
        <w:tc>
          <w:tcPr>
            <w:tcW w:type="dxa" w:w="1080"/>
            <w:tcMar>
              <w:top w:w="80" w:type="dxa"/>
              <w:start w:w="120" w:type="dxa"/>
              <w:bottom w:w="80" w:type="dxa"/>
              <w:end w:w="120" w:type="dxa"/>
            </w:tcMar>
            <w:vAlign w:val="center"/>
          </w:tcPr>
          <w:p>
            <w:r>
              <w:t>planned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bl>
    <w:p>
      <w:pPr>
        <w:pStyle w:val="Heading2"/>
      </w:pPr>
      <w:r>
        <w:t>Orchestration layer</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cantSplit/>
          <w:tblHeader w:val="true"/>
        </w:trPr>
        <w:tc>
          <w:tcPr>
            <w:tcW w:type="dxa" w:w="1656"/>
            <w:tcMar>
              <w:top w:w="80" w:type="dxa"/>
              <w:start w:w="120" w:type="dxa"/>
              <w:bottom w:w="80" w:type="dxa"/>
              <w:end w:w="120" w:type="dxa"/>
            </w:tcMar>
            <w:vAlign w:val="center"/>
            <w:shd w:fill="E8EEF5"/>
          </w:tcPr>
          <w:p>
            <w:r>
              <w:rPr>
                <w:b/>
                <w:color w:val="1F4D78"/>
              </w:rPr>
              <w:t>Designation</w:t>
            </w:r>
          </w:p>
        </w:tc>
        <w:tc>
          <w:tcPr>
            <w:tcW w:type="dxa" w:w="3672"/>
            <w:tcMar>
              <w:top w:w="80" w:type="dxa"/>
              <w:start w:w="120" w:type="dxa"/>
              <w:bottom w:w="80" w:type="dxa"/>
              <w:end w:w="120" w:type="dxa"/>
            </w:tcMar>
            <w:vAlign w:val="center"/>
            <w:shd w:fill="E8EEF5"/>
          </w:tcPr>
          <w:p>
            <w:r>
              <w:rPr>
                <w:b/>
                <w:color w:val="1F4D78"/>
              </w:rPr>
              <w:t>Agent</w:t>
            </w:r>
          </w:p>
        </w:tc>
        <w:tc>
          <w:tcPr>
            <w:tcW w:type="dxa" w:w="1080"/>
            <w:tcMar>
              <w:top w:w="80" w:type="dxa"/>
              <w:start w:w="120" w:type="dxa"/>
              <w:bottom w:w="80" w:type="dxa"/>
              <w:end w:w="120" w:type="dxa"/>
            </w:tcMar>
            <w:vAlign w:val="center"/>
            <w:shd w:fill="E8EEF5"/>
          </w:tcPr>
          <w:p>
            <w:r>
              <w:rPr>
                <w:b/>
                <w:color w:val="1F4D78"/>
              </w:rPr>
              <w:t>Status</w:t>
            </w:r>
          </w:p>
        </w:tc>
        <w:tc>
          <w:tcPr>
            <w:tcW w:type="dxa" w:w="1152"/>
            <w:tcMar>
              <w:top w:w="80" w:type="dxa"/>
              <w:start w:w="120" w:type="dxa"/>
              <w:bottom w:w="80" w:type="dxa"/>
              <w:end w:w="120" w:type="dxa"/>
            </w:tcMar>
            <w:vAlign w:val="center"/>
            <w:shd w:fill="E8EEF5"/>
          </w:tcPr>
          <w:p>
            <w:r>
              <w:rPr>
                <w:b/>
                <w:color w:val="1F4D78"/>
              </w:rPr>
              <w:t>Contract</w:t>
            </w:r>
          </w:p>
        </w:tc>
        <w:tc>
          <w:tcPr>
            <w:tcW w:type="dxa" w:w="1224"/>
            <w:tcMar>
              <w:top w:w="80" w:type="dxa"/>
              <w:start w:w="120" w:type="dxa"/>
              <w:bottom w:w="80" w:type="dxa"/>
              <w:end w:w="120" w:type="dxa"/>
            </w:tcMar>
            <w:vAlign w:val="center"/>
            <w:shd w:fill="E8EEF5"/>
          </w:tcPr>
          <w:p>
            <w:r>
              <w:rPr>
                <w:b/>
                <w:color w:val="1F4D78"/>
              </w:rPr>
              <w:t>Draft owner</w:t>
            </w:r>
          </w:p>
        </w:tc>
      </w:tr>
      <w:tr>
        <w:trPr>
          <w:cantSplit/>
        </w:trPr>
        <w:tc>
          <w:tcPr>
            <w:tcW w:type="dxa" w:w="1656"/>
            <w:tcMar>
              <w:top w:w="80" w:type="dxa"/>
              <w:start w:w="120" w:type="dxa"/>
              <w:bottom w:w="80" w:type="dxa"/>
              <w:end w:w="120" w:type="dxa"/>
            </w:tcMar>
            <w:vAlign w:val="center"/>
          </w:tcPr>
          <w:p>
            <w:r>
              <w:t>ORCH-FANOUT</w:t>
            </w:r>
          </w:p>
        </w:tc>
        <w:tc>
          <w:tcPr>
            <w:tcW w:type="dxa" w:w="3672"/>
            <w:tcMar>
              <w:top w:w="80" w:type="dxa"/>
              <w:start w:w="120" w:type="dxa"/>
              <w:bottom w:w="80" w:type="dxa"/>
              <w:end w:w="120" w:type="dxa"/>
            </w:tcMar>
            <w:vAlign w:val="center"/>
          </w:tcPr>
          <w:p>
            <w:r>
              <w:t>Parallel Dispatch Controller</w:t>
            </w:r>
          </w:p>
        </w:tc>
        <w:tc>
          <w:tcPr>
            <w:tcW w:type="dxa" w:w="1080"/>
            <w:tcMar>
              <w:top w:w="80" w:type="dxa"/>
              <w:start w:w="120" w:type="dxa"/>
              <w:bottom w:w="80" w:type="dxa"/>
              <w:end w:w="120" w:type="dxa"/>
            </w:tcMar>
            <w:vAlign w:val="center"/>
          </w:tcPr>
          <w:p>
            <w:r>
              <w:t>planned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ORCH-FANIN</w:t>
            </w:r>
          </w:p>
        </w:tc>
        <w:tc>
          <w:tcPr>
            <w:tcW w:type="dxa" w:w="3672"/>
            <w:tcMar>
              <w:top w:w="80" w:type="dxa"/>
              <w:start w:w="120" w:type="dxa"/>
              <w:bottom w:w="80" w:type="dxa"/>
              <w:end w:w="120" w:type="dxa"/>
            </w:tcMar>
            <w:vAlign w:val="center"/>
          </w:tcPr>
          <w:p>
            <w:r>
              <w:t>Artifact Aggregation Controller</w:t>
            </w:r>
          </w:p>
        </w:tc>
        <w:tc>
          <w:tcPr>
            <w:tcW w:type="dxa" w:w="1080"/>
            <w:tcMar>
              <w:top w:w="80" w:type="dxa"/>
              <w:start w:w="120" w:type="dxa"/>
              <w:bottom w:w="80" w:type="dxa"/>
              <w:end w:w="120" w:type="dxa"/>
            </w:tcMar>
            <w:vAlign w:val="center"/>
          </w:tcPr>
          <w:p>
            <w:r>
              <w:t>planned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r>
        <w:trPr>
          <w:cantSplit/>
        </w:trPr>
        <w:tc>
          <w:tcPr>
            <w:tcW w:type="dxa" w:w="1656"/>
            <w:tcMar>
              <w:top w:w="80" w:type="dxa"/>
              <w:start w:w="120" w:type="dxa"/>
              <w:bottom w:w="80" w:type="dxa"/>
              <w:end w:w="120" w:type="dxa"/>
            </w:tcMar>
            <w:vAlign w:val="center"/>
          </w:tcPr>
          <w:p>
            <w:r>
              <w:t>ORCH-SCHED</w:t>
            </w:r>
          </w:p>
        </w:tc>
        <w:tc>
          <w:tcPr>
            <w:tcW w:type="dxa" w:w="3672"/>
            <w:tcMar>
              <w:top w:w="80" w:type="dxa"/>
              <w:start w:w="120" w:type="dxa"/>
              <w:bottom w:w="80" w:type="dxa"/>
              <w:end w:w="120" w:type="dxa"/>
            </w:tcMar>
            <w:vAlign w:val="center"/>
          </w:tcPr>
          <w:p>
            <w:r>
              <w:t>Contract Scheduler</w:t>
            </w:r>
          </w:p>
        </w:tc>
        <w:tc>
          <w:tcPr>
            <w:tcW w:type="dxa" w:w="1080"/>
            <w:tcMar>
              <w:top w:w="80" w:type="dxa"/>
              <w:start w:w="120" w:type="dxa"/>
              <w:bottom w:w="80" w:type="dxa"/>
              <w:end w:w="120" w:type="dxa"/>
            </w:tcMar>
            <w:vAlign w:val="center"/>
          </w:tcPr>
          <w:p>
            <w:r>
              <w:t>planned</w:t>
            </w:r>
          </w:p>
        </w:tc>
        <w:tc>
          <w:tcPr>
            <w:tcW w:type="dxa" w:w="1152"/>
            <w:tcMar>
              <w:top w:w="80" w:type="dxa"/>
              <w:start w:w="120" w:type="dxa"/>
              <w:bottom w:w="80" w:type="dxa"/>
              <w:end w:w="120" w:type="dxa"/>
            </w:tcMar>
            <w:vAlign w:val="center"/>
          </w:tcPr>
          <w:p>
            <w:r>
              <w:t>1.0.0</w:t>
            </w:r>
          </w:p>
        </w:tc>
        <w:tc>
          <w:tcPr>
            <w:tcW w:type="dxa" w:w="1224"/>
            <w:tcMar>
              <w:top w:w="80" w:type="dxa"/>
              <w:start w:w="120" w:type="dxa"/>
              <w:bottom w:w="80" w:type="dxa"/>
              <w:end w:w="120" w:type="dxa"/>
            </w:tcMar>
            <w:vAlign w:val="center"/>
          </w:tcPr>
          <w:p>
            <w:r>
              <w:t>Team ___</w:t>
            </w:r>
          </w:p>
        </w:tc>
      </w:tr>
    </w:tbl>
    <w:p>
      <w:pPr>
        <w:spacing w:before="80" w:after="160"/>
      </w:pPr>
      <w:r>
        <w:rPr>
          <w:b/>
          <w:color w:val="1F4D78"/>
        </w:rPr>
        <w:t xml:space="preserve">Repository basis: </w:t>
      </w:r>
      <w:r>
        <w:t>agents/agent-identities.json; agents/agent-registry.md</w:t>
      </w:r>
    </w:p>
    <w:p>
      <w:r>
        <w:br w:type="page"/>
      </w:r>
    </w:p>
    <w:p>
      <w:pPr>
        <w:pStyle w:val="Heading1"/>
      </w:pPr>
      <w:r>
        <w:t>Capstone Package and Review Rubric</w:t>
      </w:r>
    </w:p>
    <w:p>
      <w:pPr>
        <w:pStyle w:val="Heading2"/>
      </w:pPr>
      <w:r>
        <w:t>Required package</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Artifact</w:t>
            </w:r>
          </w:p>
        </w:tc>
        <w:tc>
          <w:tcPr>
            <w:tcW w:type="dxa" w:w="6840"/>
            <w:tcMar>
              <w:top w:w="80" w:type="dxa"/>
              <w:start w:w="120" w:type="dxa"/>
              <w:bottom w:w="80" w:type="dxa"/>
              <w:end w:w="120" w:type="dxa"/>
            </w:tcMar>
            <w:vAlign w:val="center"/>
            <w:shd w:fill="E8EEF5"/>
          </w:tcPr>
          <w:p>
            <w:r>
              <w:rPr>
                <w:b/>
                <w:color w:val="1F4D78"/>
              </w:rPr>
              <w:t>Acceptance evidence</w:t>
            </w:r>
          </w:p>
        </w:tc>
      </w:tr>
      <w:tr>
        <w:trPr>
          <w:cantSplit/>
        </w:trPr>
        <w:tc>
          <w:tcPr>
            <w:tcW w:type="dxa" w:w="2232"/>
            <w:tcMar>
              <w:top w:w="80" w:type="dxa"/>
              <w:start w:w="120" w:type="dxa"/>
              <w:bottom w:w="80" w:type="dxa"/>
              <w:end w:w="120" w:type="dxa"/>
            </w:tcMar>
            <w:vAlign w:val="center"/>
          </w:tcPr>
          <w:p>
            <w:r>
              <w:t>PROMPT.md</w:t>
            </w:r>
          </w:p>
        </w:tc>
        <w:tc>
          <w:tcPr>
            <w:tcW w:type="dxa" w:w="6840"/>
            <w:tcMar>
              <w:top w:w="80" w:type="dxa"/>
              <w:start w:w="120" w:type="dxa"/>
              <w:bottom w:w="80" w:type="dxa"/>
              <w:end w:w="120" w:type="dxa"/>
            </w:tcMar>
            <w:vAlign w:val="center"/>
          </w:tcPr>
          <w:p>
            <w:r>
              <w:t>Production candidate with identity, authority, inputs, scope, method, states, output, confidence, and consumers.</w:t>
            </w:r>
          </w:p>
        </w:tc>
      </w:tr>
      <w:tr>
        <w:trPr>
          <w:cantSplit/>
        </w:trPr>
        <w:tc>
          <w:tcPr>
            <w:tcW w:type="dxa" w:w="2232"/>
            <w:tcMar>
              <w:top w:w="80" w:type="dxa"/>
              <w:start w:w="120" w:type="dxa"/>
              <w:bottom w:w="80" w:type="dxa"/>
              <w:end w:w="120" w:type="dxa"/>
            </w:tcMar>
            <w:vAlign w:val="center"/>
          </w:tcPr>
          <w:p>
            <w:r>
              <w:t>TRACE-MATRIX.md</w:t>
            </w:r>
          </w:p>
        </w:tc>
        <w:tc>
          <w:tcPr>
            <w:tcW w:type="dxa" w:w="6840"/>
            <w:tcMar>
              <w:top w:w="80" w:type="dxa"/>
              <w:start w:w="120" w:type="dxa"/>
              <w:bottom w:w="80" w:type="dxa"/>
              <w:end w:w="120" w:type="dxa"/>
            </w:tcMar>
            <w:vAlign w:val="center"/>
          </w:tcPr>
          <w:p>
            <w:r>
              <w:t>One row per inherited or role-specific requirement.</w:t>
            </w:r>
          </w:p>
        </w:tc>
      </w:tr>
      <w:tr>
        <w:trPr>
          <w:cantSplit/>
        </w:trPr>
        <w:tc>
          <w:tcPr>
            <w:tcW w:type="dxa" w:w="2232"/>
            <w:tcMar>
              <w:top w:w="80" w:type="dxa"/>
              <w:start w:w="120" w:type="dxa"/>
              <w:bottom w:w="80" w:type="dxa"/>
              <w:end w:w="120" w:type="dxa"/>
            </w:tcMar>
            <w:vAlign w:val="center"/>
          </w:tcPr>
          <w:p>
            <w:r>
              <w:t>EXAMPLES/</w:t>
            </w:r>
          </w:p>
        </w:tc>
        <w:tc>
          <w:tcPr>
            <w:tcW w:type="dxa" w:w="6840"/>
            <w:tcMar>
              <w:top w:w="80" w:type="dxa"/>
              <w:start w:w="120" w:type="dxa"/>
              <w:bottom w:w="80" w:type="dxa"/>
              <w:end w:w="120" w:type="dxa"/>
            </w:tcMar>
            <w:vAlign w:val="center"/>
          </w:tcPr>
          <w:p>
            <w:r>
              <w:t>Success, incomplete-input, conflict, failure, and decision-request examples.</w:t>
            </w:r>
          </w:p>
        </w:tc>
      </w:tr>
      <w:tr>
        <w:trPr>
          <w:cantSplit/>
        </w:trPr>
        <w:tc>
          <w:tcPr>
            <w:tcW w:type="dxa" w:w="2232"/>
            <w:tcMar>
              <w:top w:w="80" w:type="dxa"/>
              <w:start w:w="120" w:type="dxa"/>
              <w:bottom w:w="80" w:type="dxa"/>
              <w:end w:w="120" w:type="dxa"/>
            </w:tcMar>
            <w:vAlign w:val="center"/>
          </w:tcPr>
          <w:p>
            <w:r>
              <w:t>EVAL-CASES/</w:t>
            </w:r>
          </w:p>
        </w:tc>
        <w:tc>
          <w:tcPr>
            <w:tcW w:type="dxa" w:w="6840"/>
            <w:tcMar>
              <w:top w:w="80" w:type="dxa"/>
              <w:start w:w="120" w:type="dxa"/>
              <w:bottom w:w="80" w:type="dxa"/>
              <w:end w:w="120" w:type="dxa"/>
            </w:tcMar>
            <w:vAlign w:val="center"/>
          </w:tcPr>
          <w:p>
            <w:r>
              <w:t>At least ten repeatable cases with expected invariants.</w:t>
            </w:r>
          </w:p>
        </w:tc>
      </w:tr>
      <w:tr>
        <w:trPr>
          <w:cantSplit/>
        </w:trPr>
        <w:tc>
          <w:tcPr>
            <w:tcW w:type="dxa" w:w="2232"/>
            <w:tcMar>
              <w:top w:w="80" w:type="dxa"/>
              <w:start w:w="120" w:type="dxa"/>
              <w:bottom w:w="80" w:type="dxa"/>
              <w:end w:w="120" w:type="dxa"/>
            </w:tcMar>
            <w:vAlign w:val="center"/>
          </w:tcPr>
          <w:p>
            <w:r>
              <w:t>SCORECARD.md</w:t>
            </w:r>
          </w:p>
        </w:tc>
        <w:tc>
          <w:tcPr>
            <w:tcW w:type="dxa" w:w="6840"/>
            <w:tcMar>
              <w:top w:w="80" w:type="dxa"/>
              <w:start w:w="120" w:type="dxa"/>
              <w:bottom w:w="80" w:type="dxa"/>
              <w:end w:w="120" w:type="dxa"/>
            </w:tcMar>
            <w:vAlign w:val="center"/>
          </w:tcPr>
          <w:p>
            <w:r>
              <w:t>Results, failures, calibration notes, and known limits.</w:t>
            </w:r>
          </w:p>
        </w:tc>
      </w:tr>
      <w:tr>
        <w:trPr>
          <w:cantSplit/>
        </w:trPr>
        <w:tc>
          <w:tcPr>
            <w:tcW w:type="dxa" w:w="2232"/>
            <w:tcMar>
              <w:top w:w="80" w:type="dxa"/>
              <w:start w:w="120" w:type="dxa"/>
              <w:bottom w:w="80" w:type="dxa"/>
              <w:end w:w="120" w:type="dxa"/>
            </w:tcMar>
            <w:vAlign w:val="center"/>
          </w:tcPr>
          <w:p>
            <w:r>
              <w:t>VERSION.md</w:t>
            </w:r>
          </w:p>
        </w:tc>
        <w:tc>
          <w:tcPr>
            <w:tcW w:type="dxa" w:w="6840"/>
            <w:tcMar>
              <w:top w:w="80" w:type="dxa"/>
              <w:start w:w="120" w:type="dxa"/>
              <w:bottom w:w="80" w:type="dxa"/>
              <w:end w:w="120" w:type="dxa"/>
            </w:tcMar>
            <w:vAlign w:val="center"/>
          </w:tcPr>
          <w:p>
            <w:r>
              <w:t>Contract version, prompt version, change rationale, reviewers, and disposition.</w:t>
            </w:r>
          </w:p>
        </w:tc>
      </w:tr>
    </w:tbl>
    <w:p>
      <w:pPr>
        <w:pStyle w:val="Heading2"/>
      </w:pPr>
      <w:r>
        <w:t>Human review questions</w:t>
      </w:r>
    </w:p>
    <w:p>
      <w:pPr>
        <w:pStyle w:val="ListBullet"/>
        <w:spacing w:after="80" w:line="300" w:lineRule="auto"/>
      </w:pPr>
      <w:r>
        <w:t>Does the package implement the universal and layer contracts without contradiction?</w:t>
      </w:r>
    </w:p>
    <w:p>
      <w:pPr>
        <w:pStyle w:val="ListBullet"/>
        <w:spacing w:after="80" w:line="300" w:lineRule="auto"/>
      </w:pPr>
      <w:r>
        <w:t>Is the authoritative question narrow, testable, and distinct from neighboring agents?</w:t>
      </w:r>
    </w:p>
    <w:p>
      <w:pPr>
        <w:pStyle w:val="ListBullet"/>
        <w:spacing w:after="80" w:line="300" w:lineRule="auto"/>
      </w:pPr>
      <w:r>
        <w:t>Can every assessment be reproduced from stable evidence references?</w:t>
      </w:r>
    </w:p>
    <w:p>
      <w:pPr>
        <w:pStyle w:val="ListBullet"/>
        <w:spacing w:after="80" w:line="300" w:lineRule="auto"/>
      </w:pPr>
      <w:r>
        <w:t>Are missing, conflicting, malicious, and superseded inputs handled safely?</w:t>
      </w:r>
    </w:p>
    <w:p>
      <w:pPr>
        <w:pStyle w:val="ListBullet"/>
        <w:spacing w:after="80" w:line="300" w:lineRule="auto"/>
      </w:pPr>
      <w:r>
        <w:t>Does the output preserve what downstream consumers require?</w:t>
      </w:r>
    </w:p>
    <w:p>
      <w:pPr>
        <w:pStyle w:val="ListBullet"/>
        <w:spacing w:after="80" w:line="300" w:lineRule="auto"/>
      </w:pPr>
      <w:r>
        <w:t>Are confidence, severity, and recommendations calibrated?</w:t>
      </w:r>
    </w:p>
    <w:p>
      <w:pPr>
        <w:pStyle w:val="ListBullet"/>
        <w:spacing w:after="80" w:line="300" w:lineRule="auto"/>
      </w:pPr>
      <w:r>
        <w:t>Does the agent stop before approval, risk acceptance, or governance decisions?</w:t>
      </w:r>
    </w:p>
    <w:p>
      <w:pPr>
        <w:pStyle w:val="ListBullet"/>
        <w:spacing w:after="80" w:line="300" w:lineRule="auto"/>
      </w:pPr>
      <w:r>
        <w:t>Do the tests demonstrate invariants rather than reward a single preferred wording?</w:t>
      </w:r>
    </w:p>
    <w:p>
      <w:pPr>
        <w:pStyle w:val="Heading2"/>
      </w:pPr>
      <w:r>
        <w:t>Disposition</w:t>
      </w:r>
    </w:p>
    <w:tbl>
      <w:tblPr>
        <w:tblW w:type="auto" w:w="0"/>
        <w:jc w:val="center"/>
        <w:tblLook w:firstColumn="1" w:firstRow="1" w:lastColumn="0" w:lastRow="0" w:noHBand="0" w:noVBand="1" w:val="04A0"/>
      </w:tblPr>
      <w:tblGrid>
        <w:gridCol w:w="9360"/>
      </w:tblGrid>
      <w:tr>
        <w:trPr>
          <w:cantSplit/>
        </w:trPr>
        <w:tc>
          <w:tcPr>
            <w:tcW w:type="dxa" w:w="9360"/>
            <w:shd w:fill="FFF4D6"/>
            <w:tcMar>
              <w:top w:w="140" w:type="dxa"/>
              <w:start w:w="180" w:type="dxa"/>
              <w:bottom w:w="140" w:type="dxa"/>
              <w:end w:w="180" w:type="dxa"/>
            </w:tcMar>
          </w:tcPr>
          <w:p>
            <w:r>
              <w:rPr>
                <w:b/>
                <w:color w:val="1F4D78"/>
              </w:rPr>
              <w:t xml:space="preserve">Decision request  </w:t>
            </w:r>
            <w:r>
              <w:t>Select one: accept as baseline; accept as seed with documented gaps; return for change; or reject because the role duplicates another agent. Record evidence and reviewer identity.</w:t>
            </w:r>
          </w:p>
        </w:tc>
      </w:tr>
    </w:tbl>
    <w:p>
      <w:pPr>
        <w:spacing w:after="0"/>
      </w:pPr>
    </w:p>
    <w:p>
      <w:pPr>
        <w:pStyle w:val="Heading2"/>
      </w:pPr>
      <w:r>
        <w:t>Instructor scoring rubric</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val="true"/>
        </w:trPr>
        <w:tc>
          <w:tcPr>
            <w:tcW w:type="dxa" w:w="1656"/>
            <w:tcMar>
              <w:top w:w="80" w:type="dxa"/>
              <w:start w:w="120" w:type="dxa"/>
              <w:bottom w:w="80" w:type="dxa"/>
              <w:end w:w="120" w:type="dxa"/>
            </w:tcMar>
            <w:vAlign w:val="center"/>
            <w:shd w:fill="E8EEF5"/>
          </w:tcPr>
          <w:p>
            <w:r>
              <w:rPr>
                <w:b/>
                <w:color w:val="1F4D78"/>
              </w:rPr>
              <w:t>Dimension</w:t>
            </w:r>
          </w:p>
        </w:tc>
        <w:tc>
          <w:tcPr>
            <w:tcW w:type="dxa" w:w="2520"/>
            <w:tcMar>
              <w:top w:w="80" w:type="dxa"/>
              <w:start w:w="120" w:type="dxa"/>
              <w:bottom w:w="80" w:type="dxa"/>
              <w:end w:w="120" w:type="dxa"/>
            </w:tcMar>
            <w:vAlign w:val="center"/>
            <w:shd w:fill="E8EEF5"/>
          </w:tcPr>
          <w:p>
            <w:r>
              <w:rPr>
                <w:b/>
                <w:color w:val="1F4D78"/>
              </w:rPr>
              <w:t>3 — strong</w:t>
            </w:r>
          </w:p>
        </w:tc>
        <w:tc>
          <w:tcPr>
            <w:tcW w:type="dxa" w:w="2376"/>
            <w:tcMar>
              <w:top w:w="80" w:type="dxa"/>
              <w:start w:w="120" w:type="dxa"/>
              <w:bottom w:w="80" w:type="dxa"/>
              <w:end w:w="120" w:type="dxa"/>
            </w:tcMar>
            <w:vAlign w:val="center"/>
            <w:shd w:fill="E8EEF5"/>
          </w:tcPr>
          <w:p>
            <w:r>
              <w:rPr>
                <w:b/>
                <w:color w:val="1F4D78"/>
              </w:rPr>
              <w:t>2 — usable</w:t>
            </w:r>
          </w:p>
        </w:tc>
        <w:tc>
          <w:tcPr>
            <w:tcW w:type="dxa" w:w="2520"/>
            <w:tcMar>
              <w:top w:w="80" w:type="dxa"/>
              <w:start w:w="120" w:type="dxa"/>
              <w:bottom w:w="80" w:type="dxa"/>
              <w:end w:w="120" w:type="dxa"/>
            </w:tcMar>
            <w:vAlign w:val="center"/>
            <w:shd w:fill="E8EEF5"/>
          </w:tcPr>
          <w:p>
            <w:r>
              <w:rPr>
                <w:b/>
                <w:color w:val="1F4D78"/>
              </w:rPr>
              <w:t>1/0 — revise</w:t>
            </w:r>
          </w:p>
        </w:tc>
      </w:tr>
      <w:tr>
        <w:trPr>
          <w:cantSplit/>
        </w:trPr>
        <w:tc>
          <w:tcPr>
            <w:tcW w:type="dxa" w:w="1656"/>
            <w:tcMar>
              <w:top w:w="80" w:type="dxa"/>
              <w:start w:w="120" w:type="dxa"/>
              <w:bottom w:w="80" w:type="dxa"/>
              <w:end w:w="120" w:type="dxa"/>
            </w:tcMar>
            <w:vAlign w:val="center"/>
          </w:tcPr>
          <w:p>
            <w:r>
              <w:t>Contract fidelity</w:t>
            </w:r>
          </w:p>
        </w:tc>
        <w:tc>
          <w:tcPr>
            <w:tcW w:type="dxa" w:w="2520"/>
            <w:tcMar>
              <w:top w:w="80" w:type="dxa"/>
              <w:start w:w="120" w:type="dxa"/>
              <w:bottom w:w="80" w:type="dxa"/>
              <w:end w:w="120" w:type="dxa"/>
            </w:tcMar>
            <w:vAlign w:val="center"/>
          </w:tcPr>
          <w:p>
            <w:r>
              <w:t>Complete and traceable</w:t>
            </w:r>
          </w:p>
        </w:tc>
        <w:tc>
          <w:tcPr>
            <w:tcW w:type="dxa" w:w="2376"/>
            <w:tcMar>
              <w:top w:w="80" w:type="dxa"/>
              <w:start w:w="120" w:type="dxa"/>
              <w:bottom w:w="80" w:type="dxa"/>
              <w:end w:w="120" w:type="dxa"/>
            </w:tcMar>
            <w:vAlign w:val="center"/>
          </w:tcPr>
          <w:p>
            <w:r>
              <w:t>Minor omissions</w:t>
            </w:r>
          </w:p>
        </w:tc>
        <w:tc>
          <w:tcPr>
            <w:tcW w:type="dxa" w:w="2520"/>
            <w:tcMar>
              <w:top w:w="80" w:type="dxa"/>
              <w:start w:w="120" w:type="dxa"/>
              <w:bottom w:w="80" w:type="dxa"/>
              <w:end w:w="120" w:type="dxa"/>
            </w:tcMar>
            <w:vAlign w:val="center"/>
          </w:tcPr>
          <w:p>
            <w:r>
              <w:t>Contradictory or missing</w:t>
            </w:r>
          </w:p>
        </w:tc>
      </w:tr>
      <w:tr>
        <w:trPr>
          <w:cantSplit/>
        </w:trPr>
        <w:tc>
          <w:tcPr>
            <w:tcW w:type="dxa" w:w="1656"/>
            <w:tcMar>
              <w:top w:w="80" w:type="dxa"/>
              <w:start w:w="120" w:type="dxa"/>
              <w:bottom w:w="80" w:type="dxa"/>
              <w:end w:w="120" w:type="dxa"/>
            </w:tcMar>
            <w:vAlign w:val="center"/>
          </w:tcPr>
          <w:p>
            <w:r>
              <w:t>Evidence discipline</w:t>
            </w:r>
          </w:p>
        </w:tc>
        <w:tc>
          <w:tcPr>
            <w:tcW w:type="dxa" w:w="2520"/>
            <w:tcMar>
              <w:top w:w="80" w:type="dxa"/>
              <w:start w:w="120" w:type="dxa"/>
              <w:bottom w:w="80" w:type="dxa"/>
              <w:end w:w="120" w:type="dxa"/>
            </w:tcMar>
            <w:vAlign w:val="center"/>
          </w:tcPr>
          <w:p>
            <w:r>
              <w:t>Reproducible provenance</w:t>
            </w:r>
          </w:p>
        </w:tc>
        <w:tc>
          <w:tcPr>
            <w:tcW w:type="dxa" w:w="2376"/>
            <w:tcMar>
              <w:top w:w="80" w:type="dxa"/>
              <w:start w:w="120" w:type="dxa"/>
              <w:bottom w:w="80" w:type="dxa"/>
              <w:end w:w="120" w:type="dxa"/>
            </w:tcMar>
            <w:vAlign w:val="center"/>
          </w:tcPr>
          <w:p>
            <w:r>
              <w:t>Some weak links</w:t>
            </w:r>
          </w:p>
        </w:tc>
        <w:tc>
          <w:tcPr>
            <w:tcW w:type="dxa" w:w="2520"/>
            <w:tcMar>
              <w:top w:w="80" w:type="dxa"/>
              <w:start w:w="120" w:type="dxa"/>
              <w:bottom w:w="80" w:type="dxa"/>
              <w:end w:w="120" w:type="dxa"/>
            </w:tcMar>
            <w:vAlign w:val="center"/>
          </w:tcPr>
          <w:p>
            <w:r>
              <w:t>Unsupported claims</w:t>
            </w:r>
          </w:p>
        </w:tc>
      </w:tr>
      <w:tr>
        <w:trPr>
          <w:cantSplit/>
        </w:trPr>
        <w:tc>
          <w:tcPr>
            <w:tcW w:type="dxa" w:w="1656"/>
            <w:tcMar>
              <w:top w:w="80" w:type="dxa"/>
              <w:start w:w="120" w:type="dxa"/>
              <w:bottom w:w="80" w:type="dxa"/>
              <w:end w:w="120" w:type="dxa"/>
            </w:tcMar>
            <w:vAlign w:val="center"/>
          </w:tcPr>
          <w:p>
            <w:r>
              <w:t>Boundaries</w:t>
            </w:r>
          </w:p>
        </w:tc>
        <w:tc>
          <w:tcPr>
            <w:tcW w:type="dxa" w:w="2520"/>
            <w:tcMar>
              <w:top w:w="80" w:type="dxa"/>
              <w:start w:w="120" w:type="dxa"/>
              <w:bottom w:w="80" w:type="dxa"/>
              <w:end w:w="120" w:type="dxa"/>
            </w:tcMar>
            <w:vAlign w:val="center"/>
          </w:tcPr>
          <w:p>
            <w:r>
              <w:t>Precise authority and scope</w:t>
            </w:r>
          </w:p>
        </w:tc>
        <w:tc>
          <w:tcPr>
            <w:tcW w:type="dxa" w:w="2376"/>
            <w:tcMar>
              <w:top w:w="80" w:type="dxa"/>
              <w:start w:w="120" w:type="dxa"/>
              <w:bottom w:w="80" w:type="dxa"/>
              <w:end w:w="120" w:type="dxa"/>
            </w:tcMar>
            <w:vAlign w:val="center"/>
          </w:tcPr>
          <w:p>
            <w:r>
              <w:t>Mostly bounded</w:t>
            </w:r>
          </w:p>
        </w:tc>
        <w:tc>
          <w:tcPr>
            <w:tcW w:type="dxa" w:w="2520"/>
            <w:tcMar>
              <w:top w:w="80" w:type="dxa"/>
              <w:start w:w="120" w:type="dxa"/>
              <w:bottom w:w="80" w:type="dxa"/>
              <w:end w:w="120" w:type="dxa"/>
            </w:tcMar>
            <w:vAlign w:val="center"/>
          </w:tcPr>
          <w:p>
            <w:r>
              <w:t>Leaks or duplicates</w:t>
            </w:r>
          </w:p>
        </w:tc>
      </w:tr>
      <w:tr>
        <w:trPr>
          <w:cantSplit/>
        </w:trPr>
        <w:tc>
          <w:tcPr>
            <w:tcW w:type="dxa" w:w="1656"/>
            <w:tcMar>
              <w:top w:w="80" w:type="dxa"/>
              <w:start w:w="120" w:type="dxa"/>
              <w:bottom w:w="80" w:type="dxa"/>
              <w:end w:w="120" w:type="dxa"/>
            </w:tcMar>
            <w:vAlign w:val="center"/>
          </w:tcPr>
          <w:p>
            <w:r>
              <w:t>State behavior</w:t>
            </w:r>
          </w:p>
        </w:tc>
        <w:tc>
          <w:tcPr>
            <w:tcW w:type="dxa" w:w="2520"/>
            <w:tcMar>
              <w:top w:w="80" w:type="dxa"/>
              <w:start w:w="120" w:type="dxa"/>
              <w:bottom w:w="80" w:type="dxa"/>
              <w:end w:w="120" w:type="dxa"/>
            </w:tcMar>
            <w:vAlign w:val="center"/>
          </w:tcPr>
          <w:p>
            <w:r>
              <w:t>All key paths explicit</w:t>
            </w:r>
          </w:p>
        </w:tc>
        <w:tc>
          <w:tcPr>
            <w:tcW w:type="dxa" w:w="2376"/>
            <w:tcMar>
              <w:top w:w="80" w:type="dxa"/>
              <w:start w:w="120" w:type="dxa"/>
              <w:bottom w:w="80" w:type="dxa"/>
              <w:end w:w="120" w:type="dxa"/>
            </w:tcMar>
            <w:vAlign w:val="center"/>
          </w:tcPr>
          <w:p>
            <w:r>
              <w:t>Happy path plus failures</w:t>
            </w:r>
          </w:p>
        </w:tc>
        <w:tc>
          <w:tcPr>
            <w:tcW w:type="dxa" w:w="2520"/>
            <w:tcMar>
              <w:top w:w="80" w:type="dxa"/>
              <w:start w:w="120" w:type="dxa"/>
              <w:bottom w:w="80" w:type="dxa"/>
              <w:end w:w="120" w:type="dxa"/>
            </w:tcMar>
            <w:vAlign w:val="center"/>
          </w:tcPr>
          <w:p>
            <w:r>
              <w:t>Implicit or unsafe</w:t>
            </w:r>
          </w:p>
        </w:tc>
      </w:tr>
      <w:tr>
        <w:trPr>
          <w:cantSplit/>
        </w:trPr>
        <w:tc>
          <w:tcPr>
            <w:tcW w:type="dxa" w:w="1656"/>
            <w:tcMar>
              <w:top w:w="80" w:type="dxa"/>
              <w:start w:w="120" w:type="dxa"/>
              <w:bottom w:w="80" w:type="dxa"/>
              <w:end w:w="120" w:type="dxa"/>
            </w:tcMar>
            <w:vAlign w:val="center"/>
          </w:tcPr>
          <w:p>
            <w:r>
              <w:t>Output integrity</w:t>
            </w:r>
          </w:p>
        </w:tc>
        <w:tc>
          <w:tcPr>
            <w:tcW w:type="dxa" w:w="2520"/>
            <w:tcMar>
              <w:top w:w="80" w:type="dxa"/>
              <w:start w:w="120" w:type="dxa"/>
              <w:bottom w:w="80" w:type="dxa"/>
              <w:end w:w="120" w:type="dxa"/>
            </w:tcMar>
            <w:vAlign w:val="center"/>
          </w:tcPr>
          <w:p>
            <w:r>
              <w:t>Schema and semantics pass</w:t>
            </w:r>
          </w:p>
        </w:tc>
        <w:tc>
          <w:tcPr>
            <w:tcW w:type="dxa" w:w="2376"/>
            <w:tcMar>
              <w:top w:w="80" w:type="dxa"/>
              <w:start w:w="120" w:type="dxa"/>
              <w:bottom w:w="80" w:type="dxa"/>
              <w:end w:w="120" w:type="dxa"/>
            </w:tcMar>
            <w:vAlign w:val="center"/>
          </w:tcPr>
          <w:p>
            <w:r>
              <w:t>Small format defects</w:t>
            </w:r>
          </w:p>
        </w:tc>
        <w:tc>
          <w:tcPr>
            <w:tcW w:type="dxa" w:w="2520"/>
            <w:tcMar>
              <w:top w:w="80" w:type="dxa"/>
              <w:start w:w="120" w:type="dxa"/>
              <w:bottom w:w="80" w:type="dxa"/>
              <w:end w:w="120" w:type="dxa"/>
            </w:tcMar>
            <w:vAlign w:val="center"/>
          </w:tcPr>
          <w:p>
            <w:r>
              <w:t>Consumer-breaking</w:t>
            </w:r>
          </w:p>
        </w:tc>
      </w:tr>
      <w:tr>
        <w:trPr>
          <w:cantSplit/>
        </w:trPr>
        <w:tc>
          <w:tcPr>
            <w:tcW w:type="dxa" w:w="1656"/>
            <w:tcMar>
              <w:top w:w="80" w:type="dxa"/>
              <w:start w:w="120" w:type="dxa"/>
              <w:bottom w:w="80" w:type="dxa"/>
              <w:end w:w="120" w:type="dxa"/>
            </w:tcMar>
            <w:vAlign w:val="center"/>
          </w:tcPr>
          <w:p>
            <w:r>
              <w:t>Evaluation</w:t>
            </w:r>
          </w:p>
        </w:tc>
        <w:tc>
          <w:tcPr>
            <w:tcW w:type="dxa" w:w="2520"/>
            <w:tcMar>
              <w:top w:w="80" w:type="dxa"/>
              <w:start w:w="120" w:type="dxa"/>
              <w:bottom w:w="80" w:type="dxa"/>
              <w:end w:w="120" w:type="dxa"/>
            </w:tcMar>
            <w:vAlign w:val="center"/>
          </w:tcPr>
          <w:p>
            <w:r>
              <w:t>Adversarial and calibrated</w:t>
            </w:r>
          </w:p>
        </w:tc>
        <w:tc>
          <w:tcPr>
            <w:tcW w:type="dxa" w:w="2376"/>
            <w:tcMar>
              <w:top w:w="80" w:type="dxa"/>
              <w:start w:w="120" w:type="dxa"/>
              <w:bottom w:w="80" w:type="dxa"/>
              <w:end w:w="120" w:type="dxa"/>
            </w:tcMar>
            <w:vAlign w:val="center"/>
          </w:tcPr>
          <w:p>
            <w:r>
              <w:t>Adequate cases</w:t>
            </w:r>
          </w:p>
        </w:tc>
        <w:tc>
          <w:tcPr>
            <w:tcW w:type="dxa" w:w="2520"/>
            <w:tcMar>
              <w:top w:w="80" w:type="dxa"/>
              <w:start w:w="120" w:type="dxa"/>
              <w:bottom w:w="80" w:type="dxa"/>
              <w:end w:w="120" w:type="dxa"/>
            </w:tcMar>
            <w:vAlign w:val="center"/>
          </w:tcPr>
          <w:p>
            <w:r>
              <w:t>Demo-only</w:t>
            </w:r>
          </w:p>
        </w:tc>
      </w:tr>
      <w:tr>
        <w:trPr>
          <w:cantSplit/>
        </w:trPr>
        <w:tc>
          <w:tcPr>
            <w:tcW w:type="dxa" w:w="1656"/>
            <w:tcMar>
              <w:top w:w="80" w:type="dxa"/>
              <w:start w:w="120" w:type="dxa"/>
              <w:bottom w:w="80" w:type="dxa"/>
              <w:end w:w="120" w:type="dxa"/>
            </w:tcMar>
            <w:vAlign w:val="center"/>
          </w:tcPr>
          <w:p>
            <w:r>
              <w:t>Handoff</w:t>
            </w:r>
          </w:p>
        </w:tc>
        <w:tc>
          <w:tcPr>
            <w:tcW w:type="dxa" w:w="2520"/>
            <w:tcMar>
              <w:top w:w="80" w:type="dxa"/>
              <w:start w:w="120" w:type="dxa"/>
              <w:bottom w:w="80" w:type="dxa"/>
              <w:end w:w="120" w:type="dxa"/>
            </w:tcMar>
            <w:vAlign w:val="center"/>
          </w:tcPr>
          <w:p>
            <w:r>
              <w:t>Operable by a new team</w:t>
            </w:r>
          </w:p>
        </w:tc>
        <w:tc>
          <w:tcPr>
            <w:tcW w:type="dxa" w:w="2376"/>
            <w:tcMar>
              <w:top w:w="80" w:type="dxa"/>
              <w:start w:w="120" w:type="dxa"/>
              <w:bottom w:w="80" w:type="dxa"/>
              <w:end w:w="120" w:type="dxa"/>
            </w:tcMar>
            <w:vAlign w:val="center"/>
          </w:tcPr>
          <w:p>
            <w:r>
              <w:t>Needs coaching</w:t>
            </w:r>
          </w:p>
        </w:tc>
        <w:tc>
          <w:tcPr>
            <w:tcW w:type="dxa" w:w="2520"/>
            <w:tcMar>
              <w:top w:w="80" w:type="dxa"/>
              <w:start w:w="120" w:type="dxa"/>
              <w:bottom w:w="80" w:type="dxa"/>
              <w:end w:w="120" w:type="dxa"/>
            </w:tcMar>
            <w:vAlign w:val="center"/>
          </w:tcPr>
          <w:p>
            <w:r>
              <w:t>Author-dependent</w:t>
            </w:r>
          </w:p>
        </w:tc>
      </w:tr>
    </w:tbl>
    <w:p>
      <w:pPr>
        <w:spacing w:before="80" w:after="160"/>
      </w:pPr>
      <w:r>
        <w:rPr>
          <w:b/>
          <w:color w:val="1F4D78"/>
        </w:rPr>
        <w:t xml:space="preserve">Repository basis: </w:t>
      </w:r>
      <w:r>
        <w:t>governance/human-review-and-maturity.md; governance/reviewer-calibration-and-evolution.md</w:t>
      </w:r>
    </w:p>
    <w:p>
      <w:r>
        <w:br w:type="page"/>
      </w:r>
    </w:p>
    <w:p>
      <w:pPr>
        <w:pStyle w:val="Heading1"/>
      </w:pPr>
      <w:r>
        <w:t>Repository Reading Guide</w:t>
      </w:r>
    </w:p>
    <w:tbl>
      <w:tblPr>
        <w:tblStyle w:val="TableGrid"/>
        <w:tblW w:type="auto" w:w="0"/>
        <w:jc w:val="center"/>
        <w:tblLook w:firstColumn="1" w:firstRow="1" w:lastColumn="0" w:lastRow="0" w:noHBand="0" w:noVBand="1" w:val="04A0"/>
      </w:tblPr>
      <w:tblGrid>
        <w:gridCol w:w="4680"/>
        <w:gridCol w:w="4680"/>
      </w:tblGrid>
      <w:tr>
        <w:trPr>
          <w:cantSplit/>
          <w:tblHeader w:val="true"/>
        </w:trPr>
        <w:tc>
          <w:tcPr>
            <w:tcW w:type="dxa" w:w="2232"/>
            <w:tcMar>
              <w:top w:w="80" w:type="dxa"/>
              <w:start w:w="120" w:type="dxa"/>
              <w:bottom w:w="80" w:type="dxa"/>
              <w:end w:w="120" w:type="dxa"/>
            </w:tcMar>
            <w:vAlign w:val="center"/>
            <w:shd w:fill="E8EEF5"/>
          </w:tcPr>
          <w:p>
            <w:r>
              <w:rPr>
                <w:b/>
                <w:color w:val="1F4D78"/>
              </w:rPr>
              <w:t>Topic</w:t>
            </w:r>
          </w:p>
        </w:tc>
        <w:tc>
          <w:tcPr>
            <w:tcW w:type="dxa" w:w="6840"/>
            <w:tcMar>
              <w:top w:w="80" w:type="dxa"/>
              <w:start w:w="120" w:type="dxa"/>
              <w:bottom w:w="80" w:type="dxa"/>
              <w:end w:w="120" w:type="dxa"/>
            </w:tcMar>
            <w:vAlign w:val="center"/>
            <w:shd w:fill="E8EEF5"/>
          </w:tcPr>
          <w:p>
            <w:r>
              <w:rPr>
                <w:b/>
                <w:color w:val="1F4D78"/>
              </w:rPr>
              <w:t>Repository sources</w:t>
            </w:r>
          </w:p>
        </w:tc>
      </w:tr>
      <w:tr>
        <w:trPr>
          <w:cantSplit/>
        </w:trPr>
        <w:tc>
          <w:tcPr>
            <w:tcW w:type="dxa" w:w="2232"/>
            <w:tcMar>
              <w:top w:w="80" w:type="dxa"/>
              <w:start w:w="120" w:type="dxa"/>
              <w:bottom w:w="80" w:type="dxa"/>
              <w:end w:w="120" w:type="dxa"/>
            </w:tcMar>
            <w:vAlign w:val="center"/>
          </w:tcPr>
          <w:p>
            <w:r>
              <w:t>Start here</w:t>
            </w:r>
          </w:p>
        </w:tc>
        <w:tc>
          <w:tcPr>
            <w:tcW w:type="dxa" w:w="6840"/>
            <w:tcMar>
              <w:top w:w="80" w:type="dxa"/>
              <w:start w:w="120" w:type="dxa"/>
              <w:bottom w:w="80" w:type="dxa"/>
              <w:end w:w="120" w:type="dxa"/>
            </w:tcMar>
            <w:vAlign w:val="center"/>
          </w:tcPr>
          <w:p>
            <w:r>
              <w:t>README.md; docs/philosophy.md</w:t>
            </w:r>
          </w:p>
        </w:tc>
      </w:tr>
      <w:tr>
        <w:trPr>
          <w:cantSplit/>
        </w:trPr>
        <w:tc>
          <w:tcPr>
            <w:tcW w:type="dxa" w:w="2232"/>
            <w:tcMar>
              <w:top w:w="80" w:type="dxa"/>
              <w:start w:w="120" w:type="dxa"/>
              <w:bottom w:w="80" w:type="dxa"/>
              <w:end w:w="120" w:type="dxa"/>
            </w:tcMar>
            <w:vAlign w:val="center"/>
          </w:tcPr>
          <w:p>
            <w:r>
              <w:t>Catalog and identity</w:t>
            </w:r>
          </w:p>
        </w:tc>
        <w:tc>
          <w:tcPr>
            <w:tcW w:type="dxa" w:w="6840"/>
            <w:tcMar>
              <w:top w:w="80" w:type="dxa"/>
              <w:start w:w="120" w:type="dxa"/>
              <w:bottom w:w="80" w:type="dxa"/>
              <w:end w:w="120" w:type="dxa"/>
            </w:tcMar>
            <w:vAlign w:val="center"/>
          </w:tcPr>
          <w:p>
            <w:r>
              <w:t>agents/agent-registry.md; agents/agent-identities.json; agents/agent-naming-and-identity-standard.md</w:t>
            </w:r>
          </w:p>
        </w:tc>
      </w:tr>
      <w:tr>
        <w:trPr>
          <w:cantSplit/>
        </w:trPr>
        <w:tc>
          <w:tcPr>
            <w:tcW w:type="dxa" w:w="2232"/>
            <w:tcMar>
              <w:top w:w="80" w:type="dxa"/>
              <w:start w:w="120" w:type="dxa"/>
              <w:bottom w:w="80" w:type="dxa"/>
              <w:end w:w="120" w:type="dxa"/>
            </w:tcMar>
            <w:vAlign w:val="center"/>
          </w:tcPr>
          <w:p>
            <w:r>
              <w:t>Architecture</w:t>
            </w:r>
          </w:p>
        </w:tc>
        <w:tc>
          <w:tcPr>
            <w:tcW w:type="dxa" w:w="6840"/>
            <w:tcMar>
              <w:top w:w="80" w:type="dxa"/>
              <w:start w:w="120" w:type="dxa"/>
              <w:bottom w:w="80" w:type="dxa"/>
              <w:end w:w="120" w:type="dxa"/>
            </w:tcMar>
            <w:vAlign w:val="center"/>
          </w:tcPr>
          <w:p>
            <w:r>
              <w:t>agents/hierarchical-agent-architecture.md; agents/enterprise/enterprise-agent-framework.md</w:t>
            </w:r>
          </w:p>
        </w:tc>
      </w:tr>
      <w:tr>
        <w:trPr>
          <w:cantSplit/>
        </w:trPr>
        <w:tc>
          <w:tcPr>
            <w:tcW w:type="dxa" w:w="2232"/>
            <w:tcMar>
              <w:top w:w="80" w:type="dxa"/>
              <w:start w:w="120" w:type="dxa"/>
              <w:bottom w:w="80" w:type="dxa"/>
              <w:end w:w="120" w:type="dxa"/>
            </w:tcMar>
            <w:vAlign w:val="center"/>
          </w:tcPr>
          <w:p>
            <w:r>
              <w:t>Contract system</w:t>
            </w:r>
          </w:p>
        </w:tc>
        <w:tc>
          <w:tcPr>
            <w:tcW w:type="dxa" w:w="6840"/>
            <w:tcMar>
              <w:top w:w="80" w:type="dxa"/>
              <w:start w:w="120" w:type="dxa"/>
              <w:bottom w:w="80" w:type="dxa"/>
              <w:end w:w="120" w:type="dxa"/>
            </w:tcMar>
            <w:vAlign w:val="center"/>
          </w:tcPr>
          <w:p>
            <w:r>
              <w:t>contracts/contract-catalog.md; contracts/contract-dependency-graph.md; contracts/universal-agent-contract.md</w:t>
            </w:r>
          </w:p>
        </w:tc>
      </w:tr>
      <w:tr>
        <w:trPr>
          <w:cantSplit/>
        </w:trPr>
        <w:tc>
          <w:tcPr>
            <w:tcW w:type="dxa" w:w="2232"/>
            <w:tcMar>
              <w:top w:w="80" w:type="dxa"/>
              <w:start w:w="120" w:type="dxa"/>
              <w:bottom w:w="80" w:type="dxa"/>
              <w:end w:w="120" w:type="dxa"/>
            </w:tcMar>
            <w:vAlign w:val="center"/>
          </w:tcPr>
          <w:p>
            <w:r>
              <w:t>Evidence and outputs</w:t>
            </w:r>
          </w:p>
        </w:tc>
        <w:tc>
          <w:tcPr>
            <w:tcW w:type="dxa" w:w="6840"/>
            <w:tcMar>
              <w:top w:w="80" w:type="dxa"/>
              <w:start w:w="120" w:type="dxa"/>
              <w:bottom w:w="80" w:type="dxa"/>
              <w:end w:w="120" w:type="dxa"/>
            </w:tcMar>
            <w:vAlign w:val="center"/>
          </w:tcPr>
          <w:p>
            <w:r>
              <w:t>contracts/evidence-contract.md; contracts/evidence-flow-model.md; contracts/capa-contract.md; contracts/pattern-and-insight-contract.md</w:t>
            </w:r>
          </w:p>
        </w:tc>
      </w:tr>
      <w:tr>
        <w:trPr>
          <w:cantSplit/>
        </w:trPr>
        <w:tc>
          <w:tcPr>
            <w:tcW w:type="dxa" w:w="2232"/>
            <w:tcMar>
              <w:top w:w="80" w:type="dxa"/>
              <w:start w:w="120" w:type="dxa"/>
              <w:bottom w:w="80" w:type="dxa"/>
              <w:end w:w="120" w:type="dxa"/>
            </w:tcMar>
            <w:vAlign w:val="center"/>
          </w:tcPr>
          <w:p>
            <w:r>
              <w:t>Layer rules</w:t>
            </w:r>
          </w:p>
        </w:tc>
        <w:tc>
          <w:tcPr>
            <w:tcW w:type="dxa" w:w="6840"/>
            <w:tcMar>
              <w:top w:w="80" w:type="dxa"/>
              <w:start w:w="120" w:type="dxa"/>
              <w:bottom w:w="80" w:type="dxa"/>
              <w:end w:w="120" w:type="dxa"/>
            </w:tcMar>
            <w:vAlign w:val="center"/>
          </w:tcPr>
          <w:p>
            <w:r>
              <w:t>contracts/specialist-agent-contract.md; product-agent-contract.md; capability-delivery-contract.md; enterprise-agent-contract.md</w:t>
            </w:r>
          </w:p>
        </w:tc>
      </w:tr>
      <w:tr>
        <w:trPr>
          <w:cantSplit/>
        </w:trPr>
        <w:tc>
          <w:tcPr>
            <w:tcW w:type="dxa" w:w="2232"/>
            <w:tcMar>
              <w:top w:w="80" w:type="dxa"/>
              <w:start w:w="120" w:type="dxa"/>
              <w:bottom w:w="80" w:type="dxa"/>
              <w:end w:w="120" w:type="dxa"/>
            </w:tcMar>
            <w:vAlign w:val="center"/>
          </w:tcPr>
          <w:p>
            <w:r>
              <w:t>Workflow</w:t>
            </w:r>
          </w:p>
        </w:tc>
        <w:tc>
          <w:tcPr>
            <w:tcW w:type="dxa" w:w="6840"/>
            <w:tcMar>
              <w:top w:w="80" w:type="dxa"/>
              <w:start w:w="120" w:type="dxa"/>
              <w:bottom w:w="80" w:type="dxa"/>
              <w:end w:w="120" w:type="dxa"/>
            </w:tcMar>
            <w:vAlign w:val="center"/>
          </w:tcPr>
          <w:p>
            <w:r>
              <w:t>orchestration/workflow-model.md; contracts/orchestration-agent-contract.md; contracts/work-agent-contract.md</w:t>
            </w:r>
          </w:p>
        </w:tc>
      </w:tr>
      <w:tr>
        <w:trPr>
          <w:cantSplit/>
        </w:trPr>
        <w:tc>
          <w:tcPr>
            <w:tcW w:type="dxa" w:w="2232"/>
            <w:tcMar>
              <w:top w:w="80" w:type="dxa"/>
              <w:start w:w="120" w:type="dxa"/>
              <w:bottom w:w="80" w:type="dxa"/>
              <w:end w:w="120" w:type="dxa"/>
            </w:tcMar>
            <w:vAlign w:val="center"/>
          </w:tcPr>
          <w:p>
            <w:r>
              <w:t>Quality and evolution</w:t>
            </w:r>
          </w:p>
        </w:tc>
        <w:tc>
          <w:tcPr>
            <w:tcW w:type="dxa" w:w="6840"/>
            <w:tcMar>
              <w:top w:w="80" w:type="dxa"/>
              <w:start w:w="120" w:type="dxa"/>
              <w:bottom w:w="80" w:type="dxa"/>
              <w:end w:w="120" w:type="dxa"/>
            </w:tcMar>
            <w:vAlign w:val="center"/>
          </w:tcPr>
          <w:p>
            <w:r>
              <w:t>contracts/style-and-validation.md; contracts/sandboxed-contract-evolution.md; governance/reviewer-calibration-and-evolution.md</w:t>
            </w:r>
          </w:p>
        </w:tc>
      </w:tr>
      <w:tr>
        <w:trPr>
          <w:cantSplit/>
        </w:trPr>
        <w:tc>
          <w:tcPr>
            <w:tcW w:type="dxa" w:w="2232"/>
            <w:tcMar>
              <w:top w:w="80" w:type="dxa"/>
              <w:start w:w="120" w:type="dxa"/>
              <w:bottom w:w="80" w:type="dxa"/>
              <w:end w:w="120" w:type="dxa"/>
            </w:tcMar>
            <w:vAlign w:val="center"/>
          </w:tcPr>
          <w:p>
            <w:r>
              <w:t>Human governance</w:t>
            </w:r>
          </w:p>
        </w:tc>
        <w:tc>
          <w:tcPr>
            <w:tcW w:type="dxa" w:w="6840"/>
            <w:tcMar>
              <w:top w:w="80" w:type="dxa"/>
              <w:start w:w="120" w:type="dxa"/>
              <w:bottom w:w="80" w:type="dxa"/>
              <w:end w:w="120" w:type="dxa"/>
            </w:tcMar>
            <w:vAlign w:val="center"/>
          </w:tcPr>
          <w:p>
            <w:r>
              <w:t>governance/human-review-and-maturity.md; governance/integration-boundaries.md</w:t>
            </w:r>
          </w:p>
        </w:tc>
      </w:tr>
    </w:tbl>
    <w:p>
      <w:pPr>
        <w:pStyle w:val="Heading2"/>
      </w:pPr>
      <w:r>
        <w:t>Instructor preparation checklist</w:t>
      </w:r>
    </w:p>
    <w:p>
      <w:pPr>
        <w:pStyle w:val="ListBullet"/>
        <w:spacing w:after="80" w:line="300" w:lineRule="auto"/>
      </w:pPr>
      <w:r>
        <w:t>Select a small repository change that is safe to use in every worked example.</w:t>
      </w:r>
    </w:p>
    <w:p>
      <w:pPr>
        <w:pStyle w:val="ListBullet"/>
        <w:spacing w:after="80" w:line="300" w:lineRule="auto"/>
      </w:pPr>
      <w:r>
        <w:t>Prepare one valid and one deliberately invalid artifact for each layer introduced.</w:t>
      </w:r>
    </w:p>
    <w:p>
      <w:pPr>
        <w:pStyle w:val="ListBullet"/>
        <w:spacing w:after="80" w:line="300" w:lineRule="auto"/>
      </w:pPr>
      <w:r>
        <w:t>Assign agents to teams before Session 9 so specialization work accumulates.</w:t>
      </w:r>
    </w:p>
    <w:p>
      <w:pPr>
        <w:pStyle w:val="ListBullet"/>
        <w:spacing w:after="80" w:line="300" w:lineRule="auto"/>
      </w:pPr>
      <w:r>
        <w:t>Keep contract documents open during labs; discourage memory-based guessing.</w:t>
      </w:r>
    </w:p>
    <w:p>
      <w:pPr>
        <w:pStyle w:val="ListBullet"/>
        <w:spacing w:after="80" w:line="300" w:lineRule="auto"/>
      </w:pPr>
      <w:r>
        <w:t>Record prompt changes and test results as versioned engineering artifacts.</w:t>
      </w:r>
    </w:p>
    <w:p>
      <w:pPr>
        <w:pStyle w:val="ListBullet"/>
        <w:spacing w:after="80" w:line="300" w:lineRule="auto"/>
      </w:pPr>
      <w:r>
        <w:t>Use human review language consistently: assess, recommend, request, decide.</w:t>
      </w:r>
    </w:p>
    <w:tbl>
      <w:tblPr>
        <w:tblW w:type="auto" w:w="0"/>
        <w:jc w:val="center"/>
        <w:tblLook w:firstColumn="1" w:firstRow="1" w:lastColumn="0" w:lastRow="0" w:noHBand="0" w:noVBand="1" w:val="04A0"/>
      </w:tblPr>
      <w:tblGrid>
        <w:gridCol w:w="9360"/>
      </w:tblGrid>
      <w:tr>
        <w:trPr>
          <w:cantSplit/>
        </w:trPr>
        <w:tc>
          <w:tcPr>
            <w:tcW w:type="dxa" w:w="9360"/>
            <w:shd w:fill="EAF5FB"/>
            <w:tcMar>
              <w:top w:w="140" w:type="dxa"/>
              <w:start w:w="180" w:type="dxa"/>
              <w:bottom w:w="140" w:type="dxa"/>
              <w:end w:w="180" w:type="dxa"/>
            </w:tcMar>
          </w:tcPr>
          <w:p>
            <w:r>
              <w:rPr>
                <w:b/>
                <w:color w:val="1F4D78"/>
              </w:rPr>
              <w:t xml:space="preserve">Final reminder  </w:t>
            </w:r>
            <w:r>
              <w:t>The system is trustworthy only when evidence, contracts, state, prompts, and human authority agree.</w:t>
            </w:r>
          </w:p>
        </w:tc>
      </w:tr>
    </w:tbl>
    <w:p>
      <w:pPr>
        <w:spacing w:after="0"/>
      </w:pPr>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120"/>
      <w:gridCol w:w="3120"/>
      <w:gridCol w:w="3120"/>
    </w:tblGrid>
    <w:tr>
      <w:tc>
        <w:tcPr>
          <w:tcW w:type="dxa" w:w="3120"/>
        </w:tcPr>
        <w:p>
          <w:r>
            <w:rPr>
              <w:rFonts w:ascii="Calibri" w:hAnsi="Calibri"/>
              <w:color w:val="52606D"/>
              <w:sz w:val="16"/>
            </w:rPr>
            <w:t>Agentic System Curriculum</w:t>
          </w:r>
        </w:p>
      </w:tc>
      <w:tc>
        <w:tcPr>
          <w:tcW w:type="dxa" w:w="3120"/>
        </w:tcPr>
        <w:p>
          <w:pPr>
            <w:jc w:val="center"/>
          </w:pPr>
          <w:r>
            <w:rPr>
              <w:rFonts w:ascii="Calibri" w:hAnsi="Calibri"/>
              <w:color w:val="52606D"/>
              <w:sz w:val="16"/>
            </w:rPr>
            <w:t>Human decision authority</w:t>
          </w:r>
        </w:p>
      </w:tc>
      <w:tc>
        <w:tcPr>
          <w:tcW w:type="dxa" w:w="3120"/>
        </w:tcPr>
        <w:p>
          <w:pPr>
            <w:jc w:val="right"/>
          </w:pPr>
          <w:r>
            <w:rPr>
              <w:rFonts w:ascii="Calibri" w:hAnsi="Calibri"/>
              <w:color w:val="52606D"/>
              <w:sz w:val="16"/>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2E74B5"/>
        <w:sz w:val="16"/>
      </w:rPr>
      <w:t>CODE REVIEW HARNESS  |  ENGINEERING ENABLEMENT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abstractNum w:abstractNumId="14">
    <w:multiLevelType w:val="singleLevel"/>
    <w:lvl w:ilvl="0">
      <w:start w:val="1"/>
      <w:numFmt w:val="decimal"/>
      <w:lvlText w:val="%1."/>
      <w:lvlJc w:val="left"/>
      <w:pPr>
        <w:tabs>
          <w:tab w:val="num" w:pos="720"/>
        </w:tabs>
        <w:ind w:left="720" w:hanging="360"/>
      </w:pPr>
    </w:lvl>
  </w:abstractNum>
  <w:num w:numId="15">
    <w:abstractNumId w:val="14"/>
  </w:num>
  <w:abstractNum w:abstractNumId="15">
    <w:multiLevelType w:val="singleLevel"/>
    <w:lvl w:ilvl="0">
      <w:start w:val="1"/>
      <w:numFmt w:val="decimal"/>
      <w:lvlText w:val="%1."/>
      <w:lvlJc w:val="left"/>
      <w:pPr>
        <w:tabs>
          <w:tab w:val="num" w:pos="720"/>
        </w:tabs>
        <w:ind w:left="720" w:hanging="360"/>
      </w:pPr>
    </w:lvl>
  </w:abstractNum>
  <w:num w:numId="16">
    <w:abstractNumId w:val="15"/>
  </w:num>
  <w:abstractNum w:abstractNumId="16">
    <w:multiLevelType w:val="singleLevel"/>
    <w:lvl w:ilvl="0">
      <w:start w:val="1"/>
      <w:numFmt w:val="decimal"/>
      <w:lvlText w:val="%1."/>
      <w:lvlJc w:val="left"/>
      <w:pPr>
        <w:tabs>
          <w:tab w:val="num" w:pos="720"/>
        </w:tabs>
        <w:ind w:left="720" w:hanging="360"/>
      </w:pPr>
    </w:lvl>
  </w:abstractNum>
  <w:num w:numId="17">
    <w:abstractNumId w:val="16"/>
  </w:num>
  <w:abstractNum w:abstractNumId="17">
    <w:multiLevelType w:val="singleLevel"/>
    <w:lvl w:ilvl="0">
      <w:start w:val="1"/>
      <w:numFmt w:val="decimal"/>
      <w:lvlText w:val="%1."/>
      <w:lvlJc w:val="left"/>
      <w:pPr>
        <w:tabs>
          <w:tab w:val="num" w:pos="720"/>
        </w:tabs>
        <w:ind w:left="720" w:hanging="360"/>
      </w:pPr>
    </w:lvl>
  </w:abstractNum>
  <w:num w:numId="18">
    <w:abstractNumId w:val="17"/>
  </w:num>
  <w:abstractNum w:abstractNumId="18">
    <w:multiLevelType w:val="singleLevel"/>
    <w:lvl w:ilvl="0">
      <w:start w:val="1"/>
      <w:numFmt w:val="decimal"/>
      <w:lvlText w:val="%1."/>
      <w:lvlJc w:val="left"/>
      <w:pPr>
        <w:tabs>
          <w:tab w:val="num" w:pos="720"/>
        </w:tabs>
        <w:ind w:left="720" w:hanging="360"/>
      </w:pPr>
    </w:lvl>
  </w:abstractNum>
  <w:num w:numId="19">
    <w:abstractNumId w:val="18"/>
  </w:num>
  <w:abstractNum w:abstractNumId="19">
    <w:multiLevelType w:val="singleLevel"/>
    <w:lvl w:ilvl="0">
      <w:start w:val="1"/>
      <w:numFmt w:val="decimal"/>
      <w:lvlText w:val="%1."/>
      <w:lvlJc w:val="left"/>
      <w:pPr>
        <w:tabs>
          <w:tab w:val="num" w:pos="720"/>
        </w:tabs>
        <w:ind w:left="720" w:hanging="360"/>
      </w:pPr>
    </w:lvl>
  </w:abstractNum>
  <w:num w:numId="20">
    <w:abstractNumId w:val="19"/>
  </w:num>
  <w:abstractNum w:abstractNumId="20">
    <w:multiLevelType w:val="singleLevel"/>
    <w:lvl w:ilvl="0">
      <w:start w:val="1"/>
      <w:numFmt w:val="decimal"/>
      <w:lvlText w:val="%1."/>
      <w:lvlJc w:val="left"/>
      <w:pPr>
        <w:tabs>
          <w:tab w:val="num" w:pos="720"/>
        </w:tabs>
        <w:ind w:left="720" w:hanging="360"/>
      </w:pPr>
    </w:lvl>
  </w:abstractNum>
  <w:num w:numId="21">
    <w:abstractNumId w:val="20"/>
  </w:num>
  <w:abstractNum w:abstractNumId="21">
    <w:multiLevelType w:val="singleLevel"/>
    <w:lvl w:ilvl="0">
      <w:start w:val="1"/>
      <w:numFmt w:val="decimal"/>
      <w:lvlText w:val="%1."/>
      <w:lvlJc w:val="left"/>
      <w:pPr>
        <w:tabs>
          <w:tab w:val="num" w:pos="720"/>
        </w:tabs>
        <w:ind w:left="720" w:hanging="360"/>
      </w:pPr>
    </w:lvl>
  </w:abstract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