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诫命的结语</w:t>
      </w:r>
    </w:p>
    <w:p>
      <w:pPr>
        <w:pStyle w:val="Heading1"/>
      </w:pPr>
      <w:r>
        <w:rPr>
          <w:sz w:val="24"/>
          <w:szCs w:val="24"/>
        </w:rPr>
        <w:t xml:space="preserve">诫命的结语 我耶和华你的神是忌邪的神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你以为是这样罢了！”“那不过是你说的！”我们都听过、也都用过这类说法，来表示对别人所说的话心存怀疑。但当主上帝说话时，就绝没有含糊不清或模棱两可的余地。他是一位“忌邪的”神，他说什么就是什么意思，他所说的必要成就。关于这一确凿的真理，他在诫命的结语中提醒我们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他的警戒句句当真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诫命的结尾与开头相呼应，同样提到“耶和华你的神”，这绝非偶然。第一诫吩咐我们只以他为我们的神。贯穿整个十诫，我们听见主我们的神向我们说话，要我们出于敬畏和爱他而遵行。如今他在结语中再一次把我们引向他自己——“耶和华你的神”。我们听明白他在告诉我们什么了吗？那些是</w:t>
      </w:r>
      <w:r>
        <w:rPr>
          <w:i/>
          <w:iCs/>
          <w:sz w:val="24"/>
          <w:szCs w:val="24"/>
        </w:rPr>
        <w:t xml:space="preserve">他的</w:t>
      </w:r>
      <w:r>
        <w:rPr>
          <w:sz w:val="24"/>
          <w:szCs w:val="24"/>
        </w:rPr>
        <w:t xml:space="preserve">诫命，告诉我们</w:t>
      </w:r>
      <w:r>
        <w:rPr>
          <w:i/>
          <w:iCs/>
          <w:sz w:val="24"/>
          <w:szCs w:val="24"/>
        </w:rPr>
        <w:t xml:space="preserve">他</w:t>
      </w:r>
      <w:r>
        <w:rPr>
          <w:sz w:val="24"/>
          <w:szCs w:val="24"/>
        </w:rPr>
        <w:t xml:space="preserve">要我们做什么。遵行那些命令，就是跟随</w:t>
      </w:r>
      <w:r>
        <w:rPr>
          <w:i/>
          <w:iCs/>
          <w:sz w:val="24"/>
          <w:szCs w:val="24"/>
        </w:rPr>
        <w:t xml:space="preserve">他</w:t>
      </w:r>
      <w:r>
        <w:rPr>
          <w:sz w:val="24"/>
          <w:szCs w:val="24"/>
        </w:rPr>
        <w:t xml:space="preserve">；违背那些命令，就是悖逆</w:t>
      </w:r>
      <w:r>
        <w:rPr>
          <w:i/>
          <w:iCs/>
          <w:sz w:val="24"/>
          <w:szCs w:val="24"/>
        </w:rPr>
        <w:t xml:space="preserve">他</w:t>
      </w:r>
      <w:r>
        <w:rPr>
          <w:sz w:val="24"/>
          <w:szCs w:val="24"/>
        </w:rPr>
        <w:t xml:space="preserve">。而悖逆他，就是把</w:t>
      </w:r>
      <w:r>
        <w:rPr>
          <w:i/>
          <w:iCs/>
          <w:sz w:val="24"/>
          <w:szCs w:val="24"/>
        </w:rPr>
        <w:t xml:space="preserve">他</w:t>
      </w:r>
      <w:r>
        <w:rPr>
          <w:sz w:val="24"/>
          <w:szCs w:val="24"/>
        </w:rPr>
        <w:t xml:space="preserve">确实的刑罚招到自己身上。这正是他“忌邪”这个词所要告诉我们的。它提醒我们：主我们的神不像某些反复无常的父母，一味恐吓再恐吓，却从不真的执行。我们若悖逆，他必施行刑罚。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罪人听见这样的警告，耳中总觉不安。他们更愿意自欺地想：“上帝不是认真的。这点罪算不了什么。我总能蒙混过关。”然而，一位看见每一样罪、追究罪人每一样罪、并刑罚每一样罪的上帝，这幅画像我们并不愿意挂在自家客厅的墙上。主上帝对罪的态度何等严肃，以致他警告说，要“追讨他的罪，自父及子，直到三四代”——就是那些恨他之人的后代。罪就是恨恶上帝，而恨恶上帝的父母，正是把这样的行径示范给自己的儿女。结果就是，这样的儿女往往踏着父母不信、不悔改的脚踪而行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恶人在世上不是常常亨通吗？作恶的人不是屡屡高居人上吗？且慢。我们往往看不见那被上帝忿怒所困扰的良心内里的煎熬——比如犹大。我们有时能看见上帝所降下的外在灾祸——比如该隐，他杀人所得的报应，就是余生带着记号四处流荡。我们不愿看见地狱的火，也不愿与那些不肯悔改的人一同在那里，因为他们完全与上帝隔绝，永受不止息的痛苦。但我们万不可弄错：“耶和华你的神乃是烈火，是忌邪的神”（申命记4:24）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他的应许句句当真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主我们的神应许向那爱他、守他诫命的人施慈爱、直到千代时，他同样是认真的。事实上，我们只要算一算就知道，他何等更愿意赐福而非刑罚——他所提到的“千代”就是明证。要明白这应许，我们必须把目光集中在他身上，而不是在我们自己身上。这并不是说，只要我们守了某些诫命、守到某个数目，就可以向上帝索求他的赐福。上帝要我们做的，本是我们的本分。尽本分并不能从他那里挣得什么——更何况我们就是想尽本分，也仍然屡屡失败。上帝应许赐福，乃是因着他的慈爱。他赐给那些努力行在他诫命之路上的顺服儿女的每一样福分，都是我们不配得的。可见这祝福的焦点全在于主我们的神。若没有他的爱，我们连开始遵守他的诫命都不可能，因为我们根本不会有信心。然而因着他的爱，我们尽力而行时，就可以指望他的赐福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看不见这样的福分吗？且停下来想一想。每天夜里能够祷告“免我们的债”，然后在周围的世界都不得安宁之时安然入睡——这意味着什么？作为一位信主的丈夫或妻子、父母或儿女、雇主或雇员，能够知足常乐地生活，而周围的世界却彼此争斗、为财物奔波——这意味着什么？能够在试炼中站立得稳、从容面对患难，而周围的世界却焦躁惧怕——这意味着什么？能够带着必得天国的确据而活，而周围的世界却在不确定中战兢——这意味着什么？说没有福分吗？一样一样地数算吧，并为主我们的神把这些福分赐给我们这些不配的儿女、为他不配得的爱而感谢他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当主我们的神说话时，我们不会回一句：“你以为是这样罢了！”或“那不过是你说的！”因着他的恩典，我们知道他是认真的，我们也因此欢喜。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**祷告：**天父啊，求你引导我为我的罪悔改，也引导我为你向我所施的慈爱与怜悯而欢喜。奉耶稣的名求，阿们。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诫命的结语把整部十诫收拢回它的起点——“耶和华你的神”。这提醒我们：十诫从来不是一份抽象的道德清单，而是一位有位格的神向他的子民所说的话。遵行诫命就是跟随他，违背诫命就是悖逆他。伦理在此始终是关系性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忌邪的神”这个称呼常令现代人不适，仿佛神也会像人一样心胸狭窄。但作者的解释极为要紧：忌邪意味着他言出必行，绝不是那种只会一再恐吓、却从不执行的反复无常的父母。这既是警告，也是安慰——因为同一位说到做到的神，也说到做到地应许了慈爱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而这两面的比例本身就是福音：刑罚是“三四代”，慈爱却是“千代”。他显然更愿意赐福。但作者提醒我们不要误读这应许：福分不是我们守诫命挣来的工价。尽本分本是应当的，何况我们连本分也常常失败。一切祝福都出于他的爱，都是不配得的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最后那一连串的追问值得每个信徒放在自己身上默想：夜里能安然入睡、在患难中站立得稳、对永恒怀有确据——这些看似平常的日子，其实正是数算不尽的恩典。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2026-10-19T01:10:17.814Z</dcterms:created>
  <dcterms:modified xsi:type="dcterms:W3CDTF">2026-10-19T01:10:17.817Z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