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合宜的预备</w:t>
      </w:r>
    </w:p>
    <w:p>
      <w:pPr>
        <w:pStyle w:val="Heading1"/>
      </w:pPr>
      <w:r>
        <w:rPr>
          <w:sz w:val="24"/>
          <w:szCs w:val="24"/>
        </w:rPr>
        <w:t xml:space="preserve">合宜的预备：三个姿态进入圣餐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“禁食和其他外在的预备可能有好处，但真正得着预备的是那相信这些话的人：‘为了赦罪而给出和倾流’。但凡不相信或怀疑这些话的，就没有得着预备，因为‘为你’这些话只要求相信的心。”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些天已经不太有人在去主的晚餐前禁食了——不像我的祖母，她想要先尝“最好的食物”。她知道从早餐到教堂后才进食并不能使她成为更好的领圣餐者，但她用这种做法来增强她的感悟。人们也不太穿着讲究去主的筵席了——虽然我认为，如果我们在其他场合穿着讲究，我们更应该在他的圣餐上这样做。人们甚至都不太在圣餐前一两天向牧师亲自宣告，以便认真思考即将到来的事了。现在，入口处或坐凳架上的那张不具人情味的卡片，只在圣餐那天才被使用。外在预备中有变化产生，也有变化消失。但对于内在的预备，如果我们想以益处使用他的晚餐，有些事物是不能改变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作为无助的罪人来临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参加主的晚餐是严肃的事务。一个基督徒知道这一点，并想要得着预备。他听过保罗关于得罪主的身体和宝血的警告，不想领受这么珍贵的食物反倒成为自己的审判。他也知道保罗的劝促：“人应该省察自己，然后吃这饼、喝这杯”（哥林多前书 11:28）。所以他会这样做，从心里开始省察。他转向律法，任由十诫如神圣的手指指向他，痛苦地按压他的心。按社会的标准，我的许多罪看起来也许微不足道。可能没有明目张胆的谋杀或通奸，没有结束邻人的生命或勾引他的妻子。但按神的标准，我的愤怒和憎恨，我的观看和贪欲，我为了自己而让别人付出代价，甚至包括让我的神付出代价，在他眼中同样令人厌恶、难以忍受。而我无能为力，除了作为无助的罪人转向满有恩典的神。他给了我进入他面前的通行证。那就是：“主啊，怜悯我。”以此为我的恳求，我来到他的圣洁筵席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作为悔改的信徒领受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悲伤的眼泪无法洗去我的罪。只有一只手能擦掉神账簿上记在我名字下面、长长的欠债栏。那只手上有钉痕。耶稣在十字架上为我的所有罪而伸出了那些手，完全付上了代价。在他的晚餐中，他现在向我伸出同一双手，以安慰的保证把这赦罪赐给我。“这是我的身体，”他说，“相信它。”“这是我的血，”他说，“相信它。”“为了赦罪而给出和倾流，”他说，“相信它。”“为你，”他说，“相信它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承载我走向他祭坛的信心之脚，可能虚弱而易受伤。它们可能犹豫和跌跌撞撞，但神应许，当我以悔改的信心前来时，他不会把我赶出去。当我以悔改的叹息“我真是苦啊！谁能救我脱离这必死的身体呢？”来到他面前时，他会坚固我的信心，使我把握那喜乐的答复：“感谢神！靠着我们的主耶稣基督！”（罗马书 7:24,25）。以此为我的信心，我来到他的圣洁筵席。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作为顺命的儿女离开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你的罪被赦免了，”他在他的晚餐中对我说。当我离开时，他还有别的话要说：“去吧，不要再犯罪。”我不能来到他的筵席前，要求他对我心爱的罪睁一只眼闭一只眼。这样的态度有什么价值呢？我也不能离开他的筵席而不决心与我的罪争战。这样的表现会说明什么样的感谢呢？既然罪已经被赦免，信心也被坚固了，我要说：“主啊，在与我的罪的争战中帮助我。”虽然我不总能赢得战役，虽然我甚至可能在走出教堂门前就跌倒，战役仍需要被更频繁地发动和赢取。以这样的决心，我可以离开他的圣洁筵席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些天不太有人禁食，不如从前那样穿着讲究，也不像从前那样亲自向牧师宣告——但作为无助的罪人来临，作为悔改的信徒领受，作为他顺命的儿女离开，这些永远是必要的。主啊，让我成为这样一个值得的领圣餐者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祷告：“求你让我们配当地领受</w:t>
      </w:r>
      <w:r>
        <w:br/>
        <w:t xml:space="preserve"/>
      </w:r>
      <w:r>
        <w:rPr>
          <w:sz w:val="24"/>
          <w:szCs w:val="24"/>
        </w:rPr>
        <w:t xml:space="preserve">你的晚餐，主，我们的救主，</w:t>
      </w:r>
      <w:r>
        <w:br/>
        <w:t xml:space="preserve"/>
      </w:r>
      <w:r>
        <w:rPr>
          <w:sz w:val="24"/>
          <w:szCs w:val="24"/>
        </w:rPr>
        <w:t xml:space="preserve">为我们的罪真心哀伤，</w:t>
      </w:r>
      <w:r>
        <w:br/>
        <w:t xml:space="preserve"/>
      </w:r>
      <w:r>
        <w:rPr>
          <w:sz w:val="24"/>
          <w:szCs w:val="24"/>
        </w:rPr>
        <w:t xml:space="preserve">用我们的行为来证明</w:t>
      </w:r>
      <w:r>
        <w:br/>
        <w:t xml:space="preserve"/>
      </w:r>
      <w:r>
        <w:rPr>
          <w:sz w:val="24"/>
          <w:szCs w:val="24"/>
        </w:rPr>
        <w:t xml:space="preserve">我们为你的恩典而感谢，</w:t>
      </w:r>
      <w:r>
        <w:br/>
        <w:t xml:space="preserve"/>
      </w:r>
      <w:r>
        <w:rPr>
          <w:sz w:val="24"/>
          <w:szCs w:val="24"/>
        </w:rPr>
        <w:t xml:space="preserve">并天天奔跑我们的赛程，</w:t>
      </w:r>
      <w:r>
        <w:br/>
        <w:t xml:space="preserve"/>
      </w:r>
      <w:r>
        <w:rPr>
          <w:sz w:val="24"/>
          <w:szCs w:val="24"/>
        </w:rPr>
        <w:t xml:space="preserve">在圣洁中不断增长。” 阿们（赞美诗集 312:7）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段灵修的精妙之处在于，它否定了对“外在预备”的过度强调（禁食、穿着、形式宣告），而强调了“内在预备”的本质：无助感、悔改心和顺命的决心。这对于现代基督教具有深刻的挑战性——我们经常被外在的精神实践（灵修时间、禁食、属灵操练）所吸引，却忽视了灵修的根本：与神的真实关系。三个姿态——作为无助的罪人、悔改的信徒、顺命的儿女——构成了一个完整的灵修循环。来临时的“无助感”打破了我们的骄傲；领受时的“悔改”确认了我们对救恩的需要；离开时的“顺命”将圣餐的恩典转化为生活的改变。这三个阶段都不能单独存在——若只有悔改而没有顺命的决心，圣餐就变成了情感的宣泄；若有顺命的意愿而缺乏对恩典的悔改接纳，圣餐就沦为道德的强化。路德呼唤我们保持这三者的张力与平衡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啊，当我来到你的筵席时，求你除去我的骄傲，使我真实地感受自己作为罪人的无助。不让我用外在的形式来掩盖内在对恩典的真实渴望。当我领受你的身体和宝血时，求你更新我的悔改之心，让我不仅为过去的罪哀哭，更为立志继续犯罪而惭愧。当我离开你的筵席时，求你不让我的感受随之消散，而要将其转化为日常的顺命——在与试探、骄傲和自私的每一场战役中为你争战。使我成为一个配得的领圣餐者，不因形式，而因心灵的真实。阿们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2026-10-19T01:10:20.258Z</dcterms:created>
  <dcterms:modified xsi:type="dcterms:W3CDTF">2026-10-19T01:10:20.260Z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