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pPr>
      <w:r>
        <w:rPr>
          <w:rFonts w:ascii="Calibri" w:cs="Calibri" w:eastAsia="Calibri" w:hAnsi="Calibri"/>
          <w:b/>
          <w:bCs/>
          <w:color w:val="1F3864"/>
          <w:sz w:val="40"/>
          <w:szCs w:val="40"/>
        </w:rPr>
        <w:t xml:space="preserve">Proposta de Apêndice A</w:t>
      </w:r>
    </w:p>
    <w:p>
      <w:pPr>
        <w:spacing w:after="120" w:line="276"/>
      </w:pPr>
      <w:r>
        <w:rPr>
          <w:rFonts w:ascii="Calibri" w:cs="Calibri" w:eastAsia="Calibri" w:hAnsi="Calibri"/>
          <w:i/>
          <w:iCs/>
          <w:sz w:val="22"/>
          <w:szCs w:val="22"/>
        </w:rPr>
        <w:t xml:space="preserve">Panorama datado de plataformas e ferramentas de IA, para retirar do corpo do livro o conteúdo que perde atualidade mais rápido</w:t>
      </w:r>
    </w:p>
    <w:p>
      <w:pPr>
        <w:spacing w:after="120" w:line="276"/>
      </w:pPr>
      <w:r>
        <w:rPr>
          <w:rFonts w:ascii="Calibri" w:cs="Calibri" w:eastAsia="Calibri" w:hAnsi="Calibri"/>
          <w:sz w:val="22"/>
          <w:szCs w:val="22"/>
        </w:rPr>
        <w:t xml:space="preserve">Documento para avaliação. Nada disso foi aplicado ao manuscrito rev7: os arquivos do livro continuam como você os recebeu. Depois da sua decisão, eu integro as mudanças e gero a versão limpa e a versão com alterações rastreadas.</w:t>
      </w:r>
    </w:p>
    <w:p>
      <w:pPr>
        <w:pStyle w:val="Heading1"/>
        <w:spacing w:after="140" w:before="320"/>
      </w:pPr>
      <w:r>
        <w:rPr>
          <w:rFonts w:ascii="Calibri" w:cs="Calibri" w:eastAsia="Calibri" w:hAnsi="Calibri"/>
          <w:b/>
          <w:bCs/>
          <w:color w:val="1F3864"/>
          <w:sz w:val="30"/>
          <w:szCs w:val="30"/>
        </w:rPr>
        <w:t xml:space="preserve">1. Resumo da proposta</w:t>
      </w:r>
    </w:p>
    <w:p>
      <w:pPr>
        <w:spacing w:after="120" w:line="276"/>
      </w:pPr>
      <w:r>
        <w:rPr>
          <w:rFonts w:ascii="Calibri" w:cs="Calibri" w:eastAsia="Calibri" w:hAnsi="Calibri"/>
          <w:sz w:val="22"/>
          <w:szCs w:val="22"/>
        </w:rPr>
        <w:t xml:space="preserve">Hoje, três trechos do livro descrevem produtos de 2026 com nome, modelo e plano: a Figura 4.2, a Tabela 4.1 (com os quatro parágrafos que a comentam) e a coluna de exemplos da Tabela 7.3. São os pontos que ficarão desatualizados primeiro, e estão no meio de capítulos cujo argumento é duradouro (como estruturar um prompt, como organizar fluxos supervisionados).</w:t>
      </w:r>
    </w:p>
    <w:p>
      <w:pPr>
        <w:spacing w:after="120" w:line="276"/>
      </w:pPr>
      <w:r>
        <w:rPr>
          <w:rFonts w:ascii="Calibri" w:cs="Calibri" w:eastAsia="Calibri" w:hAnsi="Calibri"/>
          <w:sz w:val="22"/>
          <w:szCs w:val="22"/>
        </w:rPr>
        <w:t xml:space="preserve">A proposta é mover esse material para um Apêndice A, com data de referência explícita, e deixar no corpo uma versão curta, por capacidades e não por marcas, que preserva o raciocínio do capítulo. O leitor que quer o comparativo vai ao apêndice; o que quer o argumento não tropeça em nomes de produtos.</w:t>
      </w:r>
    </w:p>
    <w:p>
      <w:pPr>
        <w:pStyle w:val="Heading2"/>
        <w:spacing w:after="100" w:before="220"/>
      </w:pPr>
      <w:r>
        <w:rPr>
          <w:rFonts w:ascii="Calibri" w:cs="Calibri" w:eastAsia="Calibri" w:hAnsi="Calibri"/>
          <w:b/>
          <w:bCs/>
          <w:color w:val="2F5496"/>
          <w:sz w:val="25"/>
          <w:szCs w:val="25"/>
        </w:rPr>
        <w:t xml:space="preserve">O que muda</w:t>
      </w:r>
    </w:p>
    <w:p>
      <w:pPr>
        <w:pStyle w:val="ListParagraph"/>
        <w:numPr>
          <w:ilvl w:val="0"/>
          <w:numId w:val="2"/>
        </w:numPr>
        <w:spacing w:after="70" w:line="264"/>
      </w:pPr>
      <w:r>
        <w:rPr>
          <w:rFonts w:ascii="Calibri" w:cs="Calibri" w:eastAsia="Calibri" w:hAnsi="Calibri"/>
          <w:sz w:val="22"/>
          <w:szCs w:val="22"/>
        </w:rPr>
        <w:t xml:space="preserve">Capítulo 4: a seção "Ferramentas de IA para Gestores de Projetos" passa de cerca de 14 parágrafos, uma figura e uma tabela para 6 parágrafos (4 reaproveitados e 2 novos, que reúnem frases do texto atual).</w:t>
      </w:r>
    </w:p>
    <w:p>
      <w:pPr>
        <w:pStyle w:val="ListParagraph"/>
        <w:numPr>
          <w:ilvl w:val="0"/>
          <w:numId w:val="2"/>
        </w:numPr>
        <w:spacing w:after="70" w:line="264"/>
      </w:pPr>
      <w:r>
        <w:rPr>
          <w:rFonts w:ascii="Calibri" w:cs="Calibri" w:eastAsia="Calibri" w:hAnsi="Calibri"/>
          <w:sz w:val="22"/>
          <w:szCs w:val="22"/>
        </w:rPr>
        <w:t xml:space="preserve">Capítulo 7: a Tabela 7.3 fica com duas colunas (tipo de agente e função no fluxo); a coluna de exemplos de plataforma vai para o apêndice.</w:t>
      </w:r>
    </w:p>
    <w:p>
      <w:pPr>
        <w:pStyle w:val="ListParagraph"/>
        <w:numPr>
          <w:ilvl w:val="0"/>
          <w:numId w:val="2"/>
        </w:numPr>
        <w:spacing w:after="70" w:line="264"/>
      </w:pPr>
      <w:r>
        <w:rPr>
          <w:rFonts w:ascii="Calibri" w:cs="Calibri" w:eastAsia="Calibri" w:hAnsi="Calibri"/>
          <w:sz w:val="22"/>
          <w:szCs w:val="22"/>
        </w:rPr>
        <w:t xml:space="preserve">Apêndice A (novo): figura, tabela comparativa, descrição das plataformas, exemplos por tipo de agente, critérios para escolher e reavaliar, e histórico de atualizações.</w:t>
      </w:r>
    </w:p>
    <w:p>
      <w:pPr>
        <w:pStyle w:val="Heading2"/>
        <w:spacing w:after="100" w:before="220"/>
      </w:pPr>
      <w:r>
        <w:rPr>
          <w:rFonts w:ascii="Calibri" w:cs="Calibri" w:eastAsia="Calibri" w:hAnsi="Calibri"/>
          <w:b/>
          <w:bCs/>
          <w:color w:val="2F5496"/>
          <w:sz w:val="25"/>
          <w:szCs w:val="25"/>
        </w:rPr>
        <w:t xml:space="preserve">O que não muda</w:t>
      </w:r>
    </w:p>
    <w:p>
      <w:pPr>
        <w:pStyle w:val="ListParagraph"/>
        <w:numPr>
          <w:ilvl w:val="0"/>
          <w:numId w:val="2"/>
        </w:numPr>
        <w:spacing w:after="70" w:line="264"/>
      </w:pPr>
      <w:r>
        <w:rPr>
          <w:rFonts w:ascii="Calibri" w:cs="Calibri" w:eastAsia="Calibri" w:hAnsi="Calibri"/>
          <w:sz w:val="22"/>
          <w:szCs w:val="22"/>
        </w:rPr>
        <w:t xml:space="preserve">Nenhum argumento, número ou conclusão do corpo do livro. Todo o texto removido reaparece, quase integral, no apêndice.</w:t>
      </w:r>
    </w:p>
    <w:p>
      <w:pPr>
        <w:pStyle w:val="ListParagraph"/>
        <w:numPr>
          <w:ilvl w:val="0"/>
          <w:numId w:val="2"/>
        </w:numPr>
        <w:spacing w:after="70" w:line="264"/>
      </w:pPr>
      <w:r>
        <w:rPr>
          <w:rFonts w:ascii="Calibri" w:cs="Calibri" w:eastAsia="Calibri" w:hAnsi="Calibri"/>
          <w:sz w:val="22"/>
          <w:szCs w:val="22"/>
        </w:rPr>
        <w:t xml:space="preserve">Os capítulos 3 e 5 a 7, as saídas de LLM e os casos. Menções pontuais a marcas no corpo (seção 6 deste documento) ficam, com uma ressalva de data.</w:t>
      </w:r>
    </w:p>
    <w:p>
      <w:pPr>
        <w:pStyle w:val="Heading2"/>
        <w:spacing w:after="100" w:before="220"/>
      </w:pPr>
      <w:r>
        <w:rPr>
          <w:rFonts w:ascii="Calibri" w:cs="Calibri" w:eastAsia="Calibri" w:hAnsi="Calibri"/>
          <w:b/>
          <w:bCs/>
          <w:color w:val="2F5496"/>
          <w:sz w:val="25"/>
          <w:szCs w:val="25"/>
        </w:rPr>
        <w:t xml:space="preserve">Efeito sobre a leitura</w:t>
      </w:r>
    </w:p>
    <w:p>
      <w:pPr>
        <w:spacing w:after="120" w:line="276"/>
      </w:pPr>
      <w:r>
        <w:rPr>
          <w:rFonts w:ascii="Calibri" w:cs="Calibri" w:eastAsia="Calibri" w:hAnsi="Calibri"/>
          <w:sz w:val="22"/>
          <w:szCs w:val="22"/>
        </w:rPr>
        <w:t xml:space="preserve">O fluxo do Capítulo 4 continua o mesmo: apresentação do ecossistema, critérios de escolha, a constatação da adoção multi-modelo e a conclusão de que a lógica do prompt é transferível entre plataformas. A seção 3 mostra o texto completo como ficaria, para você julgar a fluidez.</w:t>
      </w:r>
    </w:p>
    <w:p>
      <w:pPr>
        <w:pStyle w:val="Heading1"/>
        <w:spacing w:after="140" w:before="320"/>
      </w:pPr>
      <w:r>
        <w:rPr>
          <w:rFonts w:ascii="Calibri" w:cs="Calibri" w:eastAsia="Calibri" w:hAnsi="Calibri"/>
          <w:b/>
          <w:bCs/>
          <w:color w:val="1F3864"/>
          <w:sz w:val="30"/>
          <w:szCs w:val="30"/>
        </w:rPr>
        <w:t xml:space="preserve">2. Mapa das mudanças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2500"/>
        <w:gridCol w:w="2438"/>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Elemento</w:t>
            </w:r>
          </w:p>
        </w:tc>
        <w:tc>
          <w:tcPr>
            <w:tcW w:type="dxa" w:w="2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Hoje (rev7)</w:t>
            </w:r>
          </w:p>
        </w:tc>
        <w:tc>
          <w:tcPr>
            <w:tcW w:type="dxa" w:w="25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Proposta</w:t>
            </w:r>
          </w:p>
        </w:tc>
        <w:tc>
          <w:tcPr>
            <w:tcW w:type="dxa" w:w="24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Numeração e remissões</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Figura 4.2 (ferramentas de IA generativa)</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Capítulo 4, seção "Ferramentas de IA"</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Apêndice A.1</w:t>
            </w:r>
          </w:p>
        </w:tc>
        <w:tc>
          <w:tcPr>
            <w:tcW w:type="dxa" w:w="24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Passa a Figura A.1; legenda com "(junho de 2026)"</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Tabela 4.1 (comparativo executivo)</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Capítulo 4, seção "Ferramentas de IA"</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Apêndice A.2</w:t>
            </w:r>
          </w:p>
        </w:tc>
        <w:tc>
          <w:tcPr>
            <w:tcW w:type="dxa" w:w="24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Passa a Tabela A.1; notas e fonte acompanham</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Quatro parágrafos sobre ChatGPT, Claude, Copilot e Gemini</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Capítulo 4</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Apêndice A.3</w:t>
            </w:r>
          </w:p>
        </w:tc>
        <w:tc>
          <w:tcPr>
            <w:tcW w:type="dxa" w:w="24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Reaproveitados sem mudança de conteúdo</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Coluna "Exemplos de Plataforma (2026)" da Tabela 7.3</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Capítulo 7</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Apêndice A.4</w:t>
            </w:r>
          </w:p>
        </w:tc>
        <w:tc>
          <w:tcPr>
            <w:tcW w:type="dxa" w:w="24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Nova Tabela A.2; a Tabela 7.3 mantém o número</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Figura 4.3 (RCTIF) e Figura 4.4 (técnicas)</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Capítulo 4</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Permanecem no corpo</w:t>
            </w:r>
          </w:p>
        </w:tc>
        <w:tc>
          <w:tcPr>
            <w:tcW w:type="dxa" w:w="24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Renumeradas para 4.2 e 4.3 (5 remissões no texto)</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Critérios para escolher e reavaliar</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Não existe</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Apêndice A.5 (texto novo)</w:t>
            </w:r>
          </w:p>
        </w:tc>
        <w:tc>
          <w:tcPr>
            <w:tcW w:type="dxa" w:w="24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Itens estáveis, que não dependem de marca</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Histórico de atualizações</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Não existe</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Apêndice A.6 (tabela)</w:t>
            </w:r>
          </w:p>
        </w:tc>
        <w:tc>
          <w:tcPr>
            <w:tcW w:type="dxa" w:w="24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Registra edição e data de referência</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Posição do apêndice. </w:t>
      </w:r>
      <w:r>
        <w:rPr>
          <w:rFonts w:ascii="Calibri" w:cs="Calibri" w:eastAsia="Calibri" w:hAnsi="Calibri"/>
          <w:sz w:val="22"/>
          <w:szCs w:val="22"/>
        </w:rPr>
        <w:t xml:space="preserve">Recomendo depois das Referências, que é a ordem da ABNT, com cabeçalho corrente próprio ("APÊNDICE A") e entrada no sumário. A alternativa é colocá-lo entre o Capítulo 7 e as Referências; a escolha não altera o conteúdo.</w:t>
      </w:r>
    </w:p>
    <w:p>
      <w:pPr>
        <w:pStyle w:val="Heading1"/>
        <w:spacing w:after="140" w:before="320"/>
      </w:pPr>
      <w:r>
        <w:rPr>
          <w:rFonts w:ascii="Calibri" w:cs="Calibri" w:eastAsia="Calibri" w:hAnsi="Calibri"/>
          <w:b/>
          <w:bCs/>
          <w:color w:val="1F3864"/>
          <w:sz w:val="30"/>
          <w:szCs w:val="30"/>
        </w:rPr>
        <w:t xml:space="preserve">3. Como fica o Capítulo 4</w:t>
      </w:r>
    </w:p>
    <w:p>
      <w:pPr>
        <w:spacing w:after="120" w:line="276"/>
      </w:pPr>
      <w:r>
        <w:rPr>
          <w:rFonts w:ascii="Calibri" w:cs="Calibri" w:eastAsia="Calibri" w:hAnsi="Calibri"/>
          <w:sz w:val="22"/>
          <w:szCs w:val="22"/>
        </w:rPr>
        <w:t xml:space="preserve">Abaixo, a seção completa depois da mudança. O fundo verde marca frases novas; o restante é texto atual, reaproveitado. Os dois parágrafos de abertura e os dois de fechamento permanecem como estão (com um ajuste em "quatro grandes plataformas").</w:t>
      </w:r>
    </w:p>
    <w:p>
      <w:pPr>
        <w:pBdr>
          <w:left w:val="single" w:color="8EAADB" w:sz="12" w:space="10"/>
        </w:pBdr>
        <w:spacing w:after="100" w:before="140"/>
        <w:ind w:left="360"/>
        <w:jc w:val="left"/>
      </w:pPr>
      <w:r>
        <w:rPr>
          <w:rFonts w:ascii="Calibri" w:cs="Calibri" w:eastAsia="Calibri" w:hAnsi="Calibri"/>
          <w:b/>
          <w:bCs/>
          <w:sz w:val="26"/>
          <w:szCs w:val="26"/>
        </w:rPr>
        <w:t xml:space="preserve">Ferramentas de IA para Gestores de Projetos</w:t>
      </w:r>
    </w:p>
    <w:p>
      <w:pPr>
        <w:pBdr>
          <w:left w:val="single" w:color="8EAADB" w:sz="12" w:space="10"/>
        </w:pBdr>
        <w:spacing w:after="110" w:line="288"/>
        <w:ind w:left="360"/>
        <w:jc w:val="both"/>
      </w:pPr>
      <w:r>
        <w:rPr>
          <w:rFonts w:ascii="Cambria" w:cs="Cambria" w:eastAsia="Cambria" w:hAnsi="Cambria"/>
          <w:sz w:val="22"/>
          <w:szCs w:val="22"/>
        </w:rPr>
        <w:t xml:space="preserve">O ecossistema de ferramentas de IA generativa voltadas ao ambiente corporativo cresceu de forma significativa entre 2023 e 2026 e tem se consolidado em torno de </w:t>
      </w:r>
      <w:r>
        <w:rPr>
          <w:rFonts w:ascii="Cambria" w:cs="Cambria" w:eastAsia="Cambria" w:hAnsi="Cambria"/>
          <w:sz w:val="22"/>
          <w:szCs w:val="22"/>
          <w:shd w:fill="E2EFD9" w:color="auto" w:val="clear"/>
        </w:rPr>
        <w:t xml:space="preserve">poucas plataformas de grande porte</w:t>
      </w:r>
      <w:r>
        <w:rPr>
          <w:rFonts w:ascii="Cambria" w:cs="Cambria" w:eastAsia="Cambria" w:hAnsi="Cambria"/>
          <w:sz w:val="22"/>
          <w:szCs w:val="22"/>
        </w:rPr>
        <w:t xml:space="preserve">.</w:t>
      </w:r>
    </w:p>
    <w:p>
      <w:pPr>
        <w:pBdr>
          <w:left w:val="single" w:color="8EAADB" w:sz="12" w:space="10"/>
        </w:pBdr>
        <w:spacing w:after="110" w:line="288"/>
        <w:ind w:left="360"/>
        <w:jc w:val="both"/>
      </w:pPr>
      <w:r>
        <w:rPr>
          <w:rFonts w:ascii="Cambria" w:cs="Cambria" w:eastAsia="Cambria" w:hAnsi="Cambria"/>
          <w:sz w:val="22"/>
          <w:szCs w:val="22"/>
        </w:rPr>
        <w:t xml:space="preserve">Embora todas sejam baseadas em LLMs avançados, cada uma possui características de arquitetura e de integração que as tornam mais adequadas para diferentes fases do ciclo de vida de um projeto.</w:t>
      </w:r>
    </w:p>
    <w:p>
      <w:pPr>
        <w:pBdr>
          <w:left w:val="single" w:color="8EAADB" w:sz="12" w:space="10"/>
        </w:pBdr>
        <w:spacing w:after="110" w:line="288"/>
        <w:ind w:left="360"/>
        <w:jc w:val="both"/>
      </w:pPr>
      <w:r>
        <w:rPr>
          <w:rFonts w:ascii="Cambria" w:cs="Cambria" w:eastAsia="Cambria" w:hAnsi="Cambria"/>
          <w:sz w:val="22"/>
          <w:szCs w:val="22"/>
          <w:shd w:fill="E2EFD9" w:color="auto" w:val="clear"/>
        </w:rPr>
        <w:t xml:space="preserve">Para decidir entre elas, vale pensar em capacidades, e não em marcas, porque nomes, modelos e planos mudam em meses, enquanto as necessidades do gestor permanecem. Quatro capacidades costumam orientar a escolha: </w:t>
      </w:r>
      <w:r>
        <w:rPr>
          <w:rFonts w:ascii="Cambria" w:cs="Cambria" w:eastAsia="Cambria" w:hAnsi="Cambria"/>
          <w:sz w:val="22"/>
          <w:szCs w:val="22"/>
        </w:rPr>
        <w:t xml:space="preserve">a análise quantitativa de dados de custo e prazo, </w:t>
      </w:r>
      <w:r>
        <w:rPr>
          <w:rFonts w:ascii="Cambria" w:cs="Cambria" w:eastAsia="Cambria" w:hAnsi="Cambria"/>
          <w:sz w:val="22"/>
          <w:szCs w:val="22"/>
          <w:shd w:fill="E2EFD9" w:color="auto" w:val="clear"/>
        </w:rPr>
        <w:t xml:space="preserve">incluindo planilhas e execução de código; </w:t>
      </w:r>
      <w:r>
        <w:rPr>
          <w:rFonts w:ascii="Cambria" w:cs="Cambria" w:eastAsia="Cambria" w:hAnsi="Cambria"/>
          <w:sz w:val="22"/>
          <w:szCs w:val="22"/>
        </w:rPr>
        <w:t xml:space="preserve">a leitura de documentos contratuais extensos</w:t>
      </w:r>
      <w:r>
        <w:rPr>
          <w:rFonts w:ascii="Cambria" w:cs="Cambria" w:eastAsia="Cambria" w:hAnsi="Cambria"/>
          <w:sz w:val="22"/>
          <w:szCs w:val="22"/>
          <w:shd w:fill="E2EFD9" w:color="auto" w:val="clear"/>
        </w:rPr>
        <w:t xml:space="preserve">, como contratos EPC, editais e especificações; </w:t>
      </w:r>
      <w:r>
        <w:rPr>
          <w:rFonts w:ascii="Cambria" w:cs="Cambria" w:eastAsia="Cambria" w:hAnsi="Cambria"/>
          <w:sz w:val="22"/>
          <w:szCs w:val="22"/>
        </w:rPr>
        <w:t xml:space="preserve">o trabalho multimodal sobre evidências de campo</w:t>
      </w:r>
      <w:r>
        <w:rPr>
          <w:rFonts w:ascii="Cambria" w:cs="Cambria" w:eastAsia="Cambria" w:hAnsi="Cambria"/>
          <w:sz w:val="22"/>
          <w:szCs w:val="22"/>
          <w:shd w:fill="E2EFD9" w:color="auto" w:val="clear"/>
        </w:rPr>
        <w:t xml:space="preserve">, como fotos e vídeos de inspeção; e </w:t>
      </w:r>
      <w:r>
        <w:rPr>
          <w:rFonts w:ascii="Cambria" w:cs="Cambria" w:eastAsia="Cambria" w:hAnsi="Cambria"/>
          <w:sz w:val="22"/>
          <w:szCs w:val="22"/>
        </w:rPr>
        <w:t xml:space="preserve">a integração ao ambiente documental corporativo</w:t>
      </w:r>
      <w:r>
        <w:rPr>
          <w:rFonts w:ascii="Cambria" w:cs="Cambria" w:eastAsia="Cambria" w:hAnsi="Cambria"/>
          <w:sz w:val="22"/>
          <w:szCs w:val="22"/>
        </w:rPr>
        <w:t xml:space="preserve">. Essas capacidades respondem a necessidades distintas do gestor de projetos ao longo do ciclo, do FEL à execução</w:t>
      </w:r>
      <w:r>
        <w:rPr>
          <w:rFonts w:ascii="Cambria" w:cs="Cambria" w:eastAsia="Cambria" w:hAnsi="Cambria"/>
          <w:sz w:val="22"/>
          <w:szCs w:val="22"/>
          <w:shd w:fill="E2EFD9" w:color="auto" w:val="clear"/>
        </w:rPr>
        <w:t xml:space="preserve">, e raramente uma única ferramenta se destaca em todas</w:t>
      </w:r>
      <w:r>
        <w:rPr>
          <w:rFonts w:ascii="Cambria" w:cs="Cambria" w:eastAsia="Cambria" w:hAnsi="Cambria"/>
          <w:sz w:val="22"/>
          <w:szCs w:val="22"/>
        </w:rPr>
        <w:t xml:space="preserve">.</w:t>
      </w:r>
    </w:p>
    <w:p>
      <w:pPr>
        <w:pBdr>
          <w:left w:val="single" w:color="8EAADB" w:sz="12" w:space="10"/>
        </w:pBdr>
        <w:spacing w:after="110" w:line="288"/>
        <w:ind w:left="360"/>
        <w:jc w:val="both"/>
      </w:pPr>
      <w:r>
        <w:rPr>
          <w:rFonts w:ascii="Cambria" w:cs="Cambria" w:eastAsia="Cambria" w:hAnsi="Cambria"/>
          <w:sz w:val="22"/>
          <w:szCs w:val="22"/>
        </w:rPr>
        <w:t xml:space="preserve">Cabe à organização avaliar qual combinação atende ao seu contexto, considerando não apenas a capacidade técnica do modelo, mas também governança de dados, residência da informação, plano contratado e integração ao parque de sistemas já instalado. </w:t>
      </w:r>
      <w:r>
        <w:rPr>
          <w:rFonts w:ascii="Cambria" w:cs="Cambria" w:eastAsia="Cambria" w:hAnsi="Cambria"/>
          <w:sz w:val="22"/>
          <w:szCs w:val="22"/>
          <w:shd w:fill="E2EFD9" w:color="auto" w:val="clear"/>
        </w:rPr>
        <w:t xml:space="preserve">O Apêndice A reúne, com data de referência, o comparativo das principais plataformas, a descrição de cada uma e critérios para escolher e reavaliar a ferramenta; por tratar de conteúdo que muda com rapidez, ele foi separado do corpo do livro.</w:t>
      </w:r>
    </w:p>
    <w:p>
      <w:pPr>
        <w:pBdr>
          <w:left w:val="single" w:color="8EAADB" w:sz="12" w:space="10"/>
        </w:pBdr>
        <w:spacing w:after="110" w:line="288"/>
        <w:ind w:left="360"/>
        <w:jc w:val="both"/>
      </w:pPr>
      <w:r>
        <w:rPr>
          <w:rFonts w:ascii="Cambria" w:cs="Cambria" w:eastAsia="Cambria" w:hAnsi="Cambria"/>
          <w:sz w:val="22"/>
          <w:szCs w:val="22"/>
        </w:rPr>
        <w:t xml:space="preserve">Segundo relatório da Menlo Ventures (2025) sobre o estado da IA generativa corporativa, conduzido com cerca de 500 decisores corporativos nos Estados Unidos, cresce a adoção de estratégias multi-modelo ou multi-vendor, com organizações utilizando duas ou mais plataformas de IA generativa para alavancar os pontos fortes de cada uma. As organizações selecionam diferentes ferramentas de forma complementar, conforme o tipo de tarefa, a criticidade da informação, a política de governança de dados e o ecossistema tecnológico da organização.</w:t>
      </w:r>
    </w:p>
    <w:p>
      <w:pPr>
        <w:pBdr>
          <w:left w:val="single" w:color="8EAADB" w:sz="12" w:space="10"/>
        </w:pBdr>
        <w:spacing w:after="110" w:line="288"/>
        <w:ind w:left="360"/>
        <w:jc w:val="both"/>
      </w:pPr>
      <w:r>
        <w:rPr>
          <w:rFonts w:ascii="Cambria" w:cs="Cambria" w:eastAsia="Cambria" w:hAnsi="Cambria"/>
          <w:sz w:val="22"/>
          <w:szCs w:val="22"/>
        </w:rPr>
        <w:t xml:space="preserve">Para o gestor de projetos, esse cenário reforça a importância de dominar os fundamentos da Engenharia de Prompt, uma vez que a lógica de formulação de instruções, decomposição de problemas e validação de respostas é transferível entre todas essas plataformas.</w:t>
      </w:r>
    </w:p>
    <w:p>
      <w:pPr>
        <w:spacing w:after="120" w:line="276"/>
      </w:pPr>
      <w:r>
        <w:rPr>
          <w:rFonts w:ascii="Calibri" w:cs="Calibri" w:eastAsia="Calibri" w:hAnsi="Calibri"/>
          <w:i/>
          <w:iCs/>
          <w:sz w:val="22"/>
          <w:szCs w:val="22"/>
        </w:rPr>
        <w:t xml:space="preserve">Por que flui: o primeiro parágrafo continua, o novo terceiro assume o papel da Figura 4.2 (a complementaridade entre ferramentas, com as mesmas frases do texto atual), o quarto leva ao apêndice e devolve a leitura ao raciocínio sobre adoção multi-modelo, que já fechava a seção. A frase final, sobre a transferibilidade do prompt, continua valendo sem depender de marcas.</w:t>
      </w:r>
    </w:p>
    <w:p>
      <w:pPr>
        <w:pStyle w:val="Heading2"/>
        <w:spacing w:after="100" w:before="220"/>
      </w:pPr>
      <w:r>
        <w:rPr>
          <w:rFonts w:ascii="Calibri" w:cs="Calibri" w:eastAsia="Calibri" w:hAnsi="Calibri"/>
          <w:b/>
          <w:bCs/>
          <w:color w:val="2F5496"/>
          <w:sz w:val="25"/>
          <w:szCs w:val="25"/>
        </w:rPr>
        <w:t xml:space="preserve">Remissões e renumeração no Capítulo 4</w:t>
      </w:r>
    </w:p>
    <w:p>
      <w:pPr>
        <w:pStyle w:val="ListParagraph"/>
        <w:numPr>
          <w:ilvl w:val="0"/>
          <w:numId w:val="2"/>
        </w:numPr>
        <w:spacing w:after="70" w:line="264"/>
      </w:pPr>
      <w:r>
        <w:rPr>
          <w:rFonts w:ascii="Calibri" w:cs="Calibri" w:eastAsia="Calibri" w:hAnsi="Calibri"/>
          <w:sz w:val="22"/>
          <w:szCs w:val="22"/>
        </w:rPr>
        <w:t xml:space="preserve">"A Figura 4.3 consolida os cinco blocos do framework RCTIF..." passa a Figura 4.2 (legenda e remissão).</w:t>
      </w:r>
    </w:p>
    <w:p>
      <w:pPr>
        <w:pStyle w:val="ListParagraph"/>
        <w:numPr>
          <w:ilvl w:val="0"/>
          <w:numId w:val="2"/>
        </w:numPr>
        <w:spacing w:after="70" w:line="264"/>
      </w:pPr>
      <w:r>
        <w:rPr>
          <w:rFonts w:ascii="Calibri" w:cs="Calibri" w:eastAsia="Calibri" w:hAnsi="Calibri"/>
          <w:sz w:val="22"/>
          <w:szCs w:val="22"/>
        </w:rPr>
        <w:t xml:space="preserve">"Como se pode notar na Figura 4.4..." e "A leitura da Figura 4.4 começa..." passam a Figura 4.3 (legenda e duas remissões).</w:t>
      </w:r>
    </w:p>
    <w:p>
      <w:pPr>
        <w:pStyle w:val="ListParagraph"/>
        <w:numPr>
          <w:ilvl w:val="0"/>
          <w:numId w:val="2"/>
        </w:numPr>
        <w:spacing w:after="70" w:line="264"/>
      </w:pPr>
      <w:r>
        <w:rPr>
          <w:rFonts w:ascii="Calibri" w:cs="Calibri" w:eastAsia="Calibri" w:hAnsi="Calibri"/>
          <w:sz w:val="22"/>
          <w:szCs w:val="22"/>
        </w:rPr>
        <w:t xml:space="preserve">A Figura 4.1 (linha do tempo dos modelos) permanece; ela é histórica e não descreve produtos atuais.</w:t>
      </w:r>
    </w:p>
    <w:p>
      <w:pPr>
        <w:pStyle w:val="ListParagraph"/>
        <w:numPr>
          <w:ilvl w:val="0"/>
          <w:numId w:val="2"/>
        </w:numPr>
        <w:spacing w:after="70" w:line="264"/>
      </w:pPr>
      <w:r>
        <w:rPr>
          <w:rFonts w:ascii="Calibri" w:cs="Calibri" w:eastAsia="Calibri" w:hAnsi="Calibri"/>
          <w:sz w:val="22"/>
          <w:szCs w:val="22"/>
        </w:rPr>
        <w:t xml:space="preserve">As referências CHIANG et al. (2024) e LIANG et al. (2025) continuam citadas, agora no Apêndice A.1.</w:t>
      </w:r>
    </w:p>
    <w:p>
      <w:pPr>
        <w:pStyle w:val="Heading1"/>
        <w:spacing w:after="140" w:before="320"/>
      </w:pPr>
      <w:r>
        <w:rPr>
          <w:rFonts w:ascii="Calibri" w:cs="Calibri" w:eastAsia="Calibri" w:hAnsi="Calibri"/>
          <w:b/>
          <w:bCs/>
          <w:color w:val="1F3864"/>
          <w:sz w:val="30"/>
          <w:szCs w:val="30"/>
        </w:rPr>
        <w:t xml:space="preserve">4. Como fica o Capítulo 7</w:t>
      </w:r>
    </w:p>
    <w:p>
      <w:pPr>
        <w:spacing w:after="120" w:line="276"/>
      </w:pPr>
      <w:r>
        <w:rPr>
          <w:rFonts w:ascii="Calibri" w:cs="Calibri" w:eastAsia="Calibri" w:hAnsi="Calibri"/>
          <w:sz w:val="22"/>
          <w:szCs w:val="22"/>
        </w:rPr>
        <w:t xml:space="preserve">Hoje o parágrafo de apresentação da Tabela 7.3 diz que ela traz "funções e cautelas de uso", mas a tabela não tem cautelas. Aproveito para corrigir isso na mesma mudança.</w:t>
      </w:r>
    </w:p>
    <w:p>
      <w:pPr>
        <w:spacing w:after="120" w:line="276"/>
      </w:pPr>
      <w:r>
        <w:rPr>
          <w:rFonts w:ascii="Calibri" w:cs="Calibri" w:eastAsia="Calibri" w:hAnsi="Calibri"/>
          <w:b/>
          <w:bCs/>
          <w:sz w:val="22"/>
          <w:szCs w:val="22"/>
        </w:rPr>
        <w:t xml:space="preserve">Antes: </w:t>
      </w:r>
      <w:r>
        <w:rPr>
          <w:rFonts w:ascii="Calibri" w:cs="Calibri" w:eastAsia="Calibri" w:hAnsi="Calibri"/>
          <w:sz w:val="22"/>
          <w:szCs w:val="22"/>
        </w:rPr>
        <w:t xml:space="preserve">"A Tabela 7.3 organiza os tipos de agente e módulos aplicáveis à gestão de projetos de capital, com as respectivas funções e cautelas de uso."</w:t>
      </w:r>
    </w:p>
    <w:p>
      <w:pPr>
        <w:pBdr>
          <w:left w:val="single" w:color="8EAADB" w:sz="12" w:space="10"/>
        </w:pBdr>
        <w:spacing w:after="110" w:line="288"/>
        <w:ind w:left="360"/>
        <w:jc w:val="both"/>
      </w:pPr>
      <w:r>
        <w:rPr>
          <w:rFonts w:ascii="Cambria" w:cs="Cambria" w:eastAsia="Cambria" w:hAnsi="Cambria"/>
          <w:sz w:val="22"/>
          <w:szCs w:val="22"/>
          <w:shd w:fill="E2EFD9" w:color="auto" w:val="clear"/>
        </w:rPr>
        <w:t xml:space="preserve">A Tabela 7.3 organiza os tipos de agente e módulos aplicáveis à gestão de projetos de capital e a função de cada um no fluxo. Os exemplos de plataformas para cada tipo, que envelhecem mais rápido, estão no Apêndice A (Tabela A.2).</w:t>
      </w:r>
    </w:p>
    <w:p>
      <w:pPr>
        <w:spacing w:after="120" w:line="276"/>
      </w:pPr>
      <w:r>
        <w:rPr>
          <w:rFonts w:ascii="Calibri" w:cs="Calibri" w:eastAsia="Calibri" w:hAnsi="Calibri"/>
          <w:b/>
          <w:bCs/>
          <w:sz w:val="22"/>
          <w:szCs w:val="22"/>
        </w:rPr>
        <w:t xml:space="preserve">Parágrafo anterior, ajuste de uma expressão: </w:t>
      </w:r>
      <w:r>
        <w:rPr>
          <w:rFonts w:ascii="Calibri" w:cs="Calibri" w:eastAsia="Calibri" w:hAnsi="Calibri"/>
          <w:sz w:val="22"/>
          <w:szCs w:val="22"/>
        </w:rPr>
        <w:t xml:space="preserve">em vez de "Plataformas como LangGraph, Microsoft Agent Framework (sucessor do AutoGen) e Microsoft Copilot Studio já permitem construir esses fluxos...", a frase passaria a "Plataformas de orquestração de agentes (exemplos no Apêndice A) já permitem construir esses fluxos com grau crescente de sofisticação, ainda que a maturidade operacional para uso corporativo seguro varie significativamente entre elas."</w:t>
      </w:r>
    </w:p>
    <w:p>
      <w:pPr>
        <w:spacing w:after="120" w:line="276"/>
      </w:pPr>
      <w:r>
        <w:rPr>
          <w:rFonts w:ascii="Calibri" w:cs="Calibri" w:eastAsia="Calibri" w:hAnsi="Calibri"/>
          <w:b/>
          <w:bCs/>
          <w:sz w:val="22"/>
          <w:szCs w:val="22"/>
        </w:rPr>
        <w:t xml:space="preserve">Tabela 7.3 depois da mudança (duas colunas):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Tipo de agente / módulo</w:t>
            </w:r>
          </w:p>
        </w:tc>
        <w:tc>
          <w:tcPr>
            <w:tcW w:type="dxa" w:w="66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Função no fluxo CAPEX</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Orquestrador de agentes</w:t>
            </w:r>
          </w:p>
        </w:tc>
        <w:tc>
          <w:tcPr>
            <w:tcW w:type="dxa" w:w="6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Define a sequência de subtarefas, seleciona ferramentas e consolida resultados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Agente de leitura documental</w:t>
            </w:r>
          </w:p>
        </w:tc>
        <w:tc>
          <w:tcPr>
            <w:tcW w:type="dxa" w:w="6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Ingere e processa contratos EPC, RDOs, cronogramas e especificações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Agente de dados estruturados</w:t>
            </w:r>
          </w:p>
        </w:tc>
        <w:tc>
          <w:tcPr>
            <w:tcW w:type="dxa" w:w="6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Lê e processa planilhas CAPEX, bases de EVM, relatórios de custo</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Agente de busca e síntese</w:t>
            </w:r>
          </w:p>
        </w:tc>
        <w:tc>
          <w:tcPr>
            <w:tcW w:type="dxa" w:w="6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Recupera normas técnicas, benchmarks públicos, precedentes regulatórios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Agente de redação estruturada</w:t>
            </w:r>
          </w:p>
        </w:tc>
        <w:tc>
          <w:tcPr>
            <w:tcW w:type="dxa" w:w="6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Produz rascunhos de relatórios, memorandos, claims e sumários executivos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Integração via MCP / API</w:t>
            </w:r>
          </w:p>
        </w:tc>
        <w:tc>
          <w:tcPr>
            <w:tcW w:type="dxa" w:w="6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Conecta a ferramenta de IA a sistemas corporativos (P6, ERP, SharePoint)</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A tabela fica mais limpa, a legenda e a fonte continuam as mesmas, e o conteúdo estável (a tipologia) permanece onde a argumentação do Capítulo 7 precisa dele.</w:t>
      </w:r>
    </w:p>
    <w:p>
      <w:r>
        <w:br w:type="page"/>
      </w:r>
    </w:p>
    <w:p>
      <w:pPr>
        <w:pStyle w:val="Heading1"/>
        <w:spacing w:after="140" w:before="320"/>
      </w:pPr>
      <w:r>
        <w:rPr>
          <w:rFonts w:ascii="Calibri" w:cs="Calibri" w:eastAsia="Calibri" w:hAnsi="Calibri"/>
          <w:b/>
          <w:bCs/>
          <w:color w:val="1F3864"/>
          <w:sz w:val="30"/>
          <w:szCs w:val="30"/>
        </w:rPr>
        <w:t xml:space="preserve">5. Texto integral do Apêndice A</w:t>
      </w:r>
    </w:p>
    <w:p>
      <w:pPr>
        <w:spacing w:after="120" w:line="276"/>
      </w:pPr>
      <w:r>
        <w:rPr>
          <w:rFonts w:ascii="Calibri" w:cs="Calibri" w:eastAsia="Calibri" w:hAnsi="Calibri"/>
          <w:i/>
          <w:iCs/>
          <w:sz w:val="22"/>
          <w:szCs w:val="22"/>
        </w:rPr>
        <w:t xml:space="preserve">O que segue é o apêndice como seria publicado. Texto marcado em verde é novo; o restante é movido do corpo, sem alteração de conteúdo, salvo a renumeração.</w:t>
      </w:r>
    </w:p>
    <w:p>
      <w:pPr>
        <w:pBdr>
          <w:left w:val="single" w:color="8EAADB" w:sz="12" w:space="10"/>
        </w:pBdr>
        <w:spacing w:after="100" w:before="140"/>
        <w:ind w:left="360"/>
        <w:jc w:val="left"/>
      </w:pPr>
      <w:r>
        <w:rPr>
          <w:rFonts w:ascii="Calibri" w:cs="Calibri" w:eastAsia="Calibri" w:hAnsi="Calibri"/>
          <w:b/>
          <w:bCs/>
          <w:sz w:val="26"/>
          <w:szCs w:val="26"/>
        </w:rPr>
        <w:t xml:space="preserve">APÊNDICE A: Panorama datado de plataformas e ferramentas de IA</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1F3864" w:sz="8"/>
              <w:left w:val="single" w:color="1F3864" w:sz="8"/>
              <w:bottom w:val="single" w:color="1F3864" w:sz="8"/>
              <w:right w:val="single" w:color="1F3864" w:sz="8"/>
            </w:tcBorders>
            <w:shd w:fill="F2F2F2" w:color="auto" w:val="clear"/>
            <w:tcMar>
              <w:top w:type="dxa" w:w="100"/>
              <w:left w:type="dxa" w:w="160"/>
              <w:bottom w:type="dxa" w:w="100"/>
              <w:right w:type="dxa" w:w="160"/>
            </w:tcMar>
          </w:tcPr>
          <w:p>
            <w:pPr>
              <w:spacing w:after="80"/>
            </w:pPr>
            <w:r>
              <w:rPr>
                <w:rFonts w:ascii="Calibri" w:cs="Calibri" w:eastAsia="Calibri" w:hAnsi="Calibri"/>
                <w:b/>
                <w:bCs/>
                <w:sz w:val="22"/>
                <w:szCs w:val="22"/>
              </w:rPr>
              <w:t xml:space="preserve">Como usar este apêndice</w:t>
            </w:r>
          </w:p>
          <w:p>
            <w:pPr>
              <w:spacing w:after="60" w:line="276"/>
            </w:pPr>
            <w:r>
              <w:rPr>
                <w:rFonts w:ascii="Cambria" w:cs="Cambria" w:eastAsia="Cambria" w:hAnsi="Cambria"/>
                <w:sz w:val="21"/>
                <w:szCs w:val="21"/>
                <w:shd w:fill="E2EFD9" w:color="auto" w:val="clear"/>
              </w:rPr>
              <w:t xml:space="preserve">Este apêndice reúne o conteúdo do livro que perde atualidade mais depressa: nomes de plataformas, modelos, planos e recursos. </w:t>
            </w:r>
            <w:r>
              <w:rPr>
                <w:rFonts w:ascii="Cambria" w:cs="Cambria" w:eastAsia="Cambria" w:hAnsi="Cambria"/>
                <w:b/>
                <w:bCs/>
                <w:sz w:val="21"/>
                <w:szCs w:val="21"/>
                <w:shd w:fill="E2EFD9" w:color="auto" w:val="clear"/>
              </w:rPr>
              <w:t xml:space="preserve">Data de referência: junho de 2026. </w:t>
            </w:r>
            <w:r>
              <w:rPr>
                <w:rFonts w:ascii="Cambria" w:cs="Cambria" w:eastAsia="Cambria" w:hAnsi="Cambria"/>
                <w:sz w:val="21"/>
                <w:szCs w:val="21"/>
                <w:shd w:fill="E2EFD9" w:color="auto" w:val="clear"/>
              </w:rPr>
              <w:t xml:space="preserve">A documentação oficial de cada fornecedor prevalece sobre qualquer descrição feita aqui e deve ser consultada antes de uma decisão de compra ou de uso corporativo. O apêndice descreve capacidades e exemplos; não classifica nem recomenda fornecedores. A cada edição, o conteúdo é revisado e a data de referência, atualizada (ver A.6).</w:t>
            </w:r>
          </w:p>
        </w:tc>
      </w:tr>
    </w:tbl>
    <w:p>
      <w:pPr>
        <w:spacing w:after="120" w:line="276"/>
      </w:pPr>
      <w:r>
        <w:rPr>
          <w:rFonts w:ascii="Calibri" w:cs="Calibri" w:eastAsia="Calibri" w:hAnsi="Calibri"/>
          <w:sz w:val="22"/>
          <w:szCs w:val="22"/>
        </w:rPr>
        <w:t xml:space="preserve"/>
      </w:r>
    </w:p>
    <w:p>
      <w:pPr>
        <w:pBdr>
          <w:left w:val="single" w:color="8EAADB" w:sz="12" w:space="10"/>
        </w:pBdr>
        <w:spacing w:after="100" w:before="140"/>
        <w:ind w:left="360"/>
        <w:jc w:val="left"/>
      </w:pPr>
      <w:r>
        <w:rPr>
          <w:rFonts w:ascii="Calibri" w:cs="Calibri" w:eastAsia="Calibri" w:hAnsi="Calibri"/>
          <w:b/>
          <w:bCs/>
          <w:sz w:val="26"/>
          <w:szCs w:val="26"/>
        </w:rPr>
        <w:t xml:space="preserve">A.1 Visão geral das plataformas</w:t>
      </w:r>
    </w:p>
    <w:p>
      <w:pPr>
        <w:pBdr>
          <w:left w:val="single" w:color="8EAADB" w:sz="12" w:space="10"/>
        </w:pBdr>
        <w:spacing w:after="110" w:line="288"/>
        <w:ind w:left="360"/>
        <w:jc w:val="both"/>
      </w:pPr>
      <w:r>
        <w:rPr>
          <w:rFonts w:ascii="Cambria" w:cs="Cambria" w:eastAsia="Cambria" w:hAnsi="Cambria"/>
          <w:sz w:val="22"/>
          <w:szCs w:val="22"/>
        </w:rPr>
        <w:t xml:space="preserve">A Figura A.1 organiza as quatro plataformas segundo o modelo base, o tipo de integração corporativa e o perfil de aplicação predominante. A leitura recomendada não é a de um ranking: as fronteiras entre as ferramentas são móveis e os recursos evoluem a cada ciclo de atualização (para comparações empíricas entre modelos, ver CHIANG et al., 2024; LIANG et al., 2025).</w:t>
      </w:r>
    </w:p>
    <w:p>
      <w:pPr>
        <w:pBdr>
          <w:left w:val="single" w:color="8EAADB" w:sz="12" w:space="10"/>
        </w:pBdr>
        <w:spacing w:after="110" w:line="288"/>
        <w:ind w:left="360"/>
        <w:jc w:val="center"/>
      </w:pPr>
      <w:r>
        <w:rPr>
          <w:rFonts w:ascii="Cambria" w:cs="Cambria" w:eastAsia="Cambria" w:hAnsi="Cambria"/>
          <w:sz w:val="22"/>
          <w:szCs w:val="22"/>
          <w:shd w:fill="E2EFD9" w:color="auto" w:val="clear"/>
        </w:rPr>
        <w:t xml:space="preserve">[Figura A.1 aqui: a imagem atual da Figura 4.2]</w:t>
      </w:r>
    </w:p>
    <w:p>
      <w:pPr>
        <w:pBdr>
          <w:left w:val="single" w:color="8EAADB" w:sz="12" w:space="10"/>
        </w:pBdr>
        <w:spacing w:after="110" w:line="288"/>
        <w:ind w:left="360"/>
        <w:jc w:val="left"/>
      </w:pPr>
      <w:r>
        <w:rPr>
          <w:rFonts w:ascii="Cambria" w:cs="Cambria" w:eastAsia="Cambria" w:hAnsi="Cambria"/>
          <w:b/>
          <w:bCs/>
          <w:sz w:val="22"/>
          <w:szCs w:val="22"/>
        </w:rPr>
        <w:t xml:space="preserve">Figura A.1: Principais ferramentas de IA generativa para gestores de projetos (junho de 2026)</w:t>
      </w:r>
    </w:p>
    <w:p>
      <w:pPr>
        <w:pBdr>
          <w:left w:val="single" w:color="8EAADB" w:sz="12" w:space="10"/>
        </w:pBdr>
        <w:spacing w:after="110" w:line="288"/>
        <w:ind w:left="360"/>
        <w:jc w:val="both"/>
      </w:pPr>
      <w:r>
        <w:rPr>
          <w:rFonts w:ascii="Cambria" w:cs="Cambria" w:eastAsia="Cambria" w:hAnsi="Cambria"/>
          <w:sz w:val="22"/>
          <w:szCs w:val="22"/>
        </w:rPr>
        <w:t xml:space="preserve">Fonte: Elaborado pelo autor. Modelos e funcionalidades sujeitos a atualização conforme disponibilidade comercial, região, plano contratado e políticas de governança da organização.</w:t>
      </w:r>
    </w:p>
    <w:p>
      <w:pPr>
        <w:pBdr>
          <w:left w:val="single" w:color="8EAADB" w:sz="12" w:space="10"/>
        </w:pBdr>
        <w:spacing w:after="100" w:before="140"/>
        <w:ind w:left="360"/>
        <w:jc w:val="left"/>
      </w:pPr>
      <w:r>
        <w:rPr>
          <w:rFonts w:ascii="Calibri" w:cs="Calibri" w:eastAsia="Calibri" w:hAnsi="Calibri"/>
          <w:b/>
          <w:bCs/>
          <w:sz w:val="26"/>
          <w:szCs w:val="26"/>
        </w:rPr>
        <w:t xml:space="preserve">A.2 Comparativo executivo</w:t>
      </w:r>
    </w:p>
    <w:p>
      <w:pPr>
        <w:pBdr>
          <w:left w:val="single" w:color="8EAADB" w:sz="12" w:space="10"/>
        </w:pBdr>
        <w:spacing w:after="110" w:line="288"/>
        <w:ind w:left="360"/>
        <w:jc w:val="both"/>
      </w:pPr>
      <w:r>
        <w:rPr>
          <w:rFonts w:ascii="Cambria" w:cs="Cambria" w:eastAsia="Cambria" w:hAnsi="Cambria"/>
          <w:sz w:val="22"/>
          <w:szCs w:val="22"/>
        </w:rPr>
        <w:t xml:space="preserve">A Tabela A.1 apresenta uma visão comparativa das principais plataformas de IA generativa utilizadas em ambientes corporativos, destacando seus pontos fortes e aplicações potenciais na gestão de projetos de capital. Como os modelos evoluem rapidamente, as versões indicadas devem ser entendidas como referência da data deste apêndice, podendo ser substituídas por modelos superiores conforme novas atualizações sejam liberadas.</w:t>
      </w:r>
    </w:p>
    <w:p>
      <w:pPr>
        <w:pBdr>
          <w:left w:val="single" w:color="8EAADB" w:sz="12" w:space="10"/>
        </w:pBdr>
        <w:spacing w:after="110" w:line="288"/>
        <w:ind w:left="360"/>
        <w:jc w:val="left"/>
      </w:pPr>
      <w:r>
        <w:rPr>
          <w:rFonts w:ascii="Cambria" w:cs="Cambria" w:eastAsia="Cambria" w:hAnsi="Cambria"/>
          <w:b/>
          <w:bCs/>
          <w:sz w:val="22"/>
          <w:szCs w:val="22"/>
        </w:rPr>
        <w:t xml:space="preserve">Tabela A.1: Comparativo executivo de plataformas corporativas de IA generativa aplicadas à gestão de projetos CAPEX</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800"/>
        <w:gridCol w:w="3100"/>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17"/>
                <w:szCs w:val="17"/>
              </w:rPr>
              <w:t xml:space="preserve">Ferramenta</w:t>
            </w:r>
          </w:p>
        </w:tc>
        <w:tc>
          <w:tcPr>
            <w:tcW w:type="dxa" w:w="2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17"/>
                <w:szCs w:val="17"/>
              </w:rPr>
              <w:t xml:space="preserve">Modelo base</w:t>
            </w:r>
          </w:p>
        </w:tc>
        <w:tc>
          <w:tcPr>
            <w:tcW w:type="dxa" w:w="28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17"/>
                <w:szCs w:val="17"/>
              </w:rPr>
              <w:t xml:space="preserve">Ponto forte em CAPEX</w:t>
            </w:r>
          </w:p>
        </w:tc>
        <w:tc>
          <w:tcPr>
            <w:tcW w:type="dxa" w:w="31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17"/>
                <w:szCs w:val="17"/>
              </w:rPr>
              <w:t xml:space="preserve">Melhor caso de uso</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7"/>
                <w:szCs w:val="17"/>
              </w:rPr>
              <w:t xml:space="preserve">ChatGPT Enterprise (OpenAI)</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7"/>
                <w:szCs w:val="17"/>
              </w:rPr>
              <w:t xml:space="preserve">Modelos OpenAI avançados, incluindo modelos de raciocínio e análise de dados (*)</w:t>
            </w:r>
          </w:p>
        </w:tc>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7"/>
                <w:szCs w:val="17"/>
              </w:rPr>
              <w:t xml:space="preserve">Análise avançada de dados, interpretação de planilhas, geração de gráficos, apoio a simulações e flexibilidade geral.</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7"/>
                <w:szCs w:val="17"/>
              </w:rPr>
              <w:t xml:space="preserve">Análise de planilhas de custos, curvas S, histogramas físico-financeiros, simulações de Monte Carlo e avaliação quantitativa de riscos.</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7"/>
                <w:szCs w:val="17"/>
              </w:rPr>
              <w:t xml:space="preserve">Claude Enterprise (Anthropic)</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7"/>
                <w:szCs w:val="17"/>
              </w:rPr>
              <w:t xml:space="preserve">Claude Sonnet / Claude Opus, conforme disponibilidade corporativa (*)</w:t>
            </w:r>
          </w:p>
        </w:tc>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7"/>
                <w:szCs w:val="17"/>
              </w:rPr>
              <w:t xml:space="preserve">Contexto estendido, boa capacidade de leitura de documentos longos, síntese estruturada e foco em segurança.</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7"/>
                <w:szCs w:val="17"/>
              </w:rPr>
              <w:t xml:space="preserve">Análise de contratos EPC, editais de licitação, propostas técnicas, anexos contratuais e especificações técnicas extensas.</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7"/>
                <w:szCs w:val="17"/>
              </w:rPr>
              <w:t xml:space="preserve">Microsoft Copilot</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7"/>
                <w:szCs w:val="17"/>
              </w:rPr>
              <w:t xml:space="preserve">Modelos OpenAI/Microsoft integrados ao ecossistema Microsoft 365 (*)</w:t>
            </w:r>
          </w:p>
        </w:tc>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7"/>
                <w:szCs w:val="17"/>
              </w:rPr>
              <w:t xml:space="preserve">Integração nativa com Word, Excel, PowerPoint, Teams, SharePoint, Outlook e Project, com governança corporativa.</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7"/>
                <w:szCs w:val="17"/>
              </w:rPr>
              <w:t xml:space="preserve">Geração de relatórios executivos, apresentações gerenciais, atas de reunião, análises em Excel e apoio à gestão documental no ambiente Microsoft 365.</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7"/>
                <w:szCs w:val="17"/>
              </w:rPr>
              <w:t xml:space="preserve">Gemini Enterprise (Google)</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7"/>
                <w:szCs w:val="17"/>
              </w:rPr>
              <w:t xml:space="preserve">Gemini Pro / Flash, conforme disponibilidade corporativa (*)</w:t>
            </w:r>
          </w:p>
        </w:tc>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7"/>
                <w:szCs w:val="17"/>
              </w:rPr>
              <w:t xml:space="preserve">Multimodalidade nativa, análise combinada de texto, imagem, áudio e vídeo, além de integração com Google Workspace.</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7"/>
                <w:szCs w:val="17"/>
              </w:rPr>
              <w:t xml:space="preserve">Análise de fotos de canteiro, vídeos de inspeção, evidências de SMS, relatórios de progresso e documentação visual integrada.</w:t>
            </w:r>
          </w:p>
        </w:tc>
      </w:tr>
    </w:tbl>
    <w:p>
      <w:pPr>
        <w:pBdr>
          <w:left w:val="single" w:color="8EAADB" w:sz="12" w:space="10"/>
        </w:pBdr>
        <w:spacing w:after="110" w:line="288"/>
        <w:ind w:left="360"/>
        <w:jc w:val="both"/>
      </w:pPr>
      <w:r>
        <w:rPr>
          <w:rFonts w:ascii="Cambria" w:cs="Cambria" w:eastAsia="Cambria" w:hAnsi="Cambria"/>
          <w:sz w:val="22"/>
          <w:szCs w:val="22"/>
        </w:rPr>
        <w:t xml:space="preserve">(*) Modelos e funcionalidades sujeitos a atualização conforme disponibilidade comercial, região, plano contratado e políticas de governança da organização.</w:t>
      </w:r>
    </w:p>
    <w:p>
      <w:pPr>
        <w:pBdr>
          <w:left w:val="single" w:color="8EAADB" w:sz="12" w:space="10"/>
        </w:pBdr>
        <w:spacing w:after="110" w:line="288"/>
        <w:ind w:left="360"/>
        <w:jc w:val="both"/>
      </w:pPr>
      <w:r>
        <w:rPr>
          <w:rFonts w:ascii="Cambria" w:cs="Cambria" w:eastAsia="Cambria" w:hAnsi="Cambria"/>
          <w:sz w:val="22"/>
          <w:szCs w:val="22"/>
        </w:rPr>
        <w:t xml:space="preserve">Fonte: Síntese editorial elaborada pelo autor com base na documentação oficial das plataformas, consultada em junho de 2026. A tabela não constitui ranking técnico. Modelos e funcionalidades podem variar conforme versão, plano, região, configuração e políticas corporativas.</w:t>
      </w:r>
    </w:p>
    <w:p>
      <w:pPr>
        <w:pBdr>
          <w:left w:val="single" w:color="8EAADB" w:sz="12" w:space="10"/>
        </w:pBdr>
        <w:spacing w:after="100" w:before="140"/>
        <w:ind w:left="360"/>
        <w:jc w:val="left"/>
      </w:pPr>
      <w:r>
        <w:rPr>
          <w:rFonts w:ascii="Calibri" w:cs="Calibri" w:eastAsia="Calibri" w:hAnsi="Calibri"/>
          <w:b/>
          <w:bCs/>
          <w:sz w:val="26"/>
          <w:szCs w:val="26"/>
        </w:rPr>
        <w:t xml:space="preserve">A.3 As plataformas em detalhe</w:t>
      </w:r>
    </w:p>
    <w:p>
      <w:pPr>
        <w:pBdr>
          <w:left w:val="single" w:color="8EAADB" w:sz="12" w:space="10"/>
        </w:pBdr>
        <w:spacing w:after="110" w:line="288"/>
        <w:ind w:left="360"/>
        <w:jc w:val="both"/>
      </w:pPr>
      <w:r>
        <w:rPr>
          <w:rFonts w:ascii="Cambria" w:cs="Cambria" w:eastAsia="Cambria" w:hAnsi="Cambria"/>
          <w:sz w:val="22"/>
          <w:szCs w:val="22"/>
        </w:rPr>
        <w:t xml:space="preserve">O ChatGPT Enterprise, da OpenAI, destaca-se pela flexibilidade analítica e pelos recursos de análise avançada de dados, incluindo upload de arquivos, execução de código Python, geração de tabelas, gráficos e exploração de dados estruturados. Na gestão de projetos, essa capacidade é particularmente útil para análise de planilhas de custos, curvas S, histogramas de avanço físico-financeiro, simulações de Monte Carlo e avaliação estatística de riscos.</w:t>
      </w:r>
    </w:p>
    <w:p>
      <w:pPr>
        <w:pBdr>
          <w:left w:val="single" w:color="8EAADB" w:sz="12" w:space="10"/>
        </w:pBdr>
        <w:spacing w:after="110" w:line="288"/>
        <w:ind w:left="360"/>
        <w:jc w:val="both"/>
      </w:pPr>
      <w:r>
        <w:rPr>
          <w:rFonts w:ascii="Cambria" w:cs="Cambria" w:eastAsia="Cambria" w:hAnsi="Cambria"/>
          <w:sz w:val="22"/>
          <w:szCs w:val="22"/>
        </w:rPr>
        <w:t xml:space="preserve">O Claude Enterprise, da Anthropic, pode ser particularmente útil por sua elevada capacidade de contexto e por sua orientação à segurança, à confiabilidade e à análise cuidadosa de documentos extensos. Essa característica o torna especialmente adequado para análise de contratos EPC, editais de licitação, especificações técnicas, propostas comerciais, anexos contratuais e documentos jurídicos de grande volume, nos quais a rastreabilidade e a precisão da extração de informações são críticos.</w:t>
      </w:r>
    </w:p>
    <w:p>
      <w:pPr>
        <w:pBdr>
          <w:left w:val="single" w:color="8EAADB" w:sz="12" w:space="10"/>
        </w:pBdr>
        <w:spacing w:after="110" w:line="288"/>
        <w:ind w:left="360"/>
        <w:jc w:val="both"/>
      </w:pPr>
      <w:r>
        <w:rPr>
          <w:rFonts w:ascii="Cambria" w:cs="Cambria" w:eastAsia="Cambria" w:hAnsi="Cambria"/>
          <w:sz w:val="22"/>
          <w:szCs w:val="22"/>
        </w:rPr>
        <w:t xml:space="preserve">O Microsoft Copilot é uma opção especialmente relevante para organizações já fortemente integradas ao Microsoft 365, por representar menor fricção de adoção. Sua vantagem competitiva não está no modelo de linguagem em si, mas na integração nativa com os fluxos de trabalho existentes: o gestor pode gerar um relatório de status diretamente no Word a partir de dados do MS Project, ou construir uma apresentação executiva no PowerPoint com base em análises do Excel, sem precisar exportar, copiar ou reformatar dados entre plataformas. Para organizações com políticas rígidas de governança de dados e conformidade corporativa, o Copilot oferece ainda a vantagem de manter os dados dentro do ambiente Microsoft 365, sujeito às mesmas políticas de segurança já estabelecidas pela organização.</w:t>
      </w:r>
    </w:p>
    <w:p>
      <w:pPr>
        <w:pBdr>
          <w:left w:val="single" w:color="8EAADB" w:sz="12" w:space="10"/>
        </w:pBdr>
        <w:spacing w:after="110" w:line="288"/>
        <w:ind w:left="360"/>
        <w:jc w:val="both"/>
      </w:pPr>
      <w:r>
        <w:rPr>
          <w:rFonts w:ascii="Cambria" w:cs="Cambria" w:eastAsia="Cambria" w:hAnsi="Cambria"/>
          <w:sz w:val="22"/>
          <w:szCs w:val="22"/>
        </w:rPr>
        <w:t xml:space="preserve">O Gemini Enterprise, da Google, destaca-se pela multimodalidade e pela integração com o ecossistema Google Workspace. Em projetos, seu uso pode ser especialmente relevante para análise combinada de documentos, planilhas, imagens de canteiro, registros fotográficos, vídeos de inspeção e relatórios de SMS. Para organizações que utilizam Google Docs, Sheets, Drive e ambientes colaborativos baseados em nuvem, essa integração pode representar um diferencial operacional importante.</w:t>
      </w:r>
    </w:p>
    <w:p>
      <w:pPr>
        <w:pBdr>
          <w:left w:val="single" w:color="8EAADB" w:sz="12" w:space="10"/>
        </w:pBdr>
        <w:spacing w:after="100" w:before="140"/>
        <w:ind w:left="360"/>
        <w:jc w:val="left"/>
      </w:pPr>
      <w:r>
        <w:rPr>
          <w:rFonts w:ascii="Calibri" w:cs="Calibri" w:eastAsia="Calibri" w:hAnsi="Calibri"/>
          <w:b/>
          <w:bCs/>
          <w:sz w:val="26"/>
          <w:szCs w:val="26"/>
        </w:rPr>
        <w:t xml:space="preserve">A.4 Exemplos de plataformas por tipo de agente</w:t>
      </w:r>
    </w:p>
    <w:p>
      <w:pPr>
        <w:pBdr>
          <w:left w:val="single" w:color="8EAADB" w:sz="12" w:space="10"/>
        </w:pBdr>
        <w:spacing w:after="110" w:line="288"/>
        <w:ind w:left="360"/>
        <w:jc w:val="both"/>
      </w:pPr>
      <w:r>
        <w:rPr>
          <w:rFonts w:ascii="Cambria" w:cs="Cambria" w:eastAsia="Cambria" w:hAnsi="Cambria"/>
          <w:sz w:val="22"/>
          <w:szCs w:val="22"/>
          <w:shd w:fill="E2EFD9" w:color="auto" w:val="clear"/>
        </w:rPr>
        <w:t xml:space="preserve">A Tabela A.2 complementa a Tabela 7.3 com exemplos de plataformas para cada tipo de agente ou módulo, na data de referência deste apêndice. Os exemplos ilustram categorias; não constituem recomendação e não esgotam o mercado.</w:t>
      </w:r>
    </w:p>
    <w:p>
      <w:pPr>
        <w:pBdr>
          <w:left w:val="single" w:color="8EAADB" w:sz="12" w:space="10"/>
        </w:pBdr>
        <w:spacing w:after="110" w:line="288"/>
        <w:ind w:left="360"/>
        <w:jc w:val="left"/>
      </w:pPr>
      <w:r>
        <w:rPr>
          <w:rFonts w:ascii="Cambria" w:cs="Cambria" w:eastAsia="Cambria" w:hAnsi="Cambria"/>
          <w:b/>
          <w:bCs/>
          <w:sz w:val="22"/>
          <w:szCs w:val="22"/>
        </w:rPr>
        <w:t xml:space="preserve">Tabela A.2: Exemplos de plataformas por tipo de agente (junho de 2026)</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Tipo de agente / módulo</w:t>
            </w:r>
          </w:p>
        </w:tc>
        <w:tc>
          <w:tcPr>
            <w:tcW w:type="dxa" w:w="66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Exemplos de plataforma</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Orquestrador de agentes</w:t>
            </w:r>
          </w:p>
        </w:tc>
        <w:tc>
          <w:tcPr>
            <w:tcW w:type="dxa" w:w="6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ChatGPT com Advanced Data Analysis, Microsoft Agent Framework (sucessor do AutoGen), LangGraph</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Agente de leitura documental</w:t>
            </w:r>
          </w:p>
        </w:tc>
        <w:tc>
          <w:tcPr>
            <w:tcW w:type="dxa" w:w="6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Claude Enterprise (contexto estendido), Gemini (Google Drive nativo)</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Agente de dados estruturados</w:t>
            </w:r>
          </w:p>
        </w:tc>
        <w:tc>
          <w:tcPr>
            <w:tcW w:type="dxa" w:w="6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ChatGPT (Code Interpreter), Julius AI, Copilot (Excel integrado)</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Agente de busca e síntese</w:t>
            </w:r>
          </w:p>
        </w:tc>
        <w:tc>
          <w:tcPr>
            <w:tcW w:type="dxa" w:w="6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Perplexity (busca citada), ChatGPT com web search, Gemini Deep Research</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Agente de redação estruturada</w:t>
            </w:r>
          </w:p>
        </w:tc>
        <w:tc>
          <w:tcPr>
            <w:tcW w:type="dxa" w:w="6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Claude, ChatGPT, Copilot (Word integrado)</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Integração via MCP / API</w:t>
            </w:r>
          </w:p>
        </w:tc>
        <w:tc>
          <w:tcPr>
            <w:tcW w:type="dxa" w:w="6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MCP Servers, Zapier, Power Automate, n8n</w:t>
            </w:r>
          </w:p>
        </w:tc>
      </w:tr>
    </w:tbl>
    <w:p>
      <w:pPr>
        <w:pBdr>
          <w:left w:val="single" w:color="8EAADB" w:sz="12" w:space="10"/>
        </w:pBdr>
        <w:spacing w:after="110" w:line="288"/>
        <w:ind w:left="360"/>
        <w:jc w:val="both"/>
      </w:pPr>
      <w:r>
        <w:rPr>
          <w:rFonts w:ascii="Cambria" w:cs="Cambria" w:eastAsia="Cambria" w:hAnsi="Cambria"/>
          <w:sz w:val="22"/>
          <w:szCs w:val="22"/>
        </w:rPr>
        <w:t xml:space="preserve">Fonte: Elaborado pelo autor.</w:t>
      </w:r>
    </w:p>
    <w:p>
      <w:pPr>
        <w:pBdr>
          <w:left w:val="single" w:color="8EAADB" w:sz="12" w:space="10"/>
        </w:pBdr>
        <w:spacing w:after="100" w:before="140"/>
        <w:ind w:left="360"/>
        <w:jc w:val="left"/>
      </w:pPr>
      <w:r>
        <w:rPr>
          <w:rFonts w:ascii="Calibri" w:cs="Calibri" w:eastAsia="Calibri" w:hAnsi="Calibri"/>
          <w:b/>
          <w:bCs/>
          <w:sz w:val="26"/>
          <w:szCs w:val="26"/>
        </w:rPr>
        <w:t xml:space="preserve">A.5 Critérios para escolher e reavaliar uma plataforma</w:t>
      </w:r>
    </w:p>
    <w:p>
      <w:pPr>
        <w:pBdr>
          <w:left w:val="single" w:color="8EAADB" w:sz="12" w:space="10"/>
        </w:pBdr>
        <w:spacing w:after="110" w:line="288"/>
        <w:ind w:left="360"/>
        <w:jc w:val="both"/>
      </w:pPr>
      <w:r>
        <w:rPr>
          <w:rFonts w:ascii="Cambria" w:cs="Cambria" w:eastAsia="Cambria" w:hAnsi="Cambria"/>
          <w:sz w:val="22"/>
          <w:szCs w:val="22"/>
          <w:shd w:fill="E2EFD9" w:color="auto" w:val="clear"/>
        </w:rPr>
        <w:t xml:space="preserve">Os critérios abaixo não dependem de marca e permanecem úteis quando os nomes da tabela mudarem.</w:t>
      </w:r>
    </w:p>
    <w:p>
      <w:pPr>
        <w:pStyle w:val="ListParagraph"/>
        <w:numPr>
          <w:ilvl w:val="0"/>
          <w:numId w:val="2"/>
        </w:numPr>
        <w:spacing w:after="70" w:line="276"/>
        <w:ind w:left="900" w:hanging="270"/>
      </w:pPr>
      <w:r>
        <w:rPr>
          <w:rFonts w:ascii="Cambria" w:cs="Cambria" w:eastAsia="Cambria" w:hAnsi="Cambria"/>
          <w:b/>
          <w:bCs/>
          <w:sz w:val="22"/>
          <w:szCs w:val="22"/>
          <w:shd w:fill="E2EFD9" w:color="auto" w:val="clear"/>
        </w:rPr>
        <w:t xml:space="preserve">Governança e privacidade: </w:t>
      </w:r>
      <w:r>
        <w:rPr>
          <w:rFonts w:ascii="Cambria" w:cs="Cambria" w:eastAsia="Cambria" w:hAnsi="Cambria"/>
          <w:sz w:val="22"/>
          <w:szCs w:val="22"/>
          <w:shd w:fill="E2EFD9" w:color="auto" w:val="clear"/>
        </w:rPr>
        <w:t xml:space="preserve">política de retenção, uso de dados para treinamento, residência dos dados, controles de acesso e trilha de auditoria (ver o Capítulo 7).</w:t>
      </w:r>
    </w:p>
    <w:p>
      <w:pPr>
        <w:pStyle w:val="ListParagraph"/>
        <w:numPr>
          <w:ilvl w:val="0"/>
          <w:numId w:val="2"/>
        </w:numPr>
        <w:spacing w:after="70" w:line="276"/>
        <w:ind w:left="900" w:hanging="270"/>
      </w:pPr>
      <w:r>
        <w:rPr>
          <w:rFonts w:ascii="Cambria" w:cs="Cambria" w:eastAsia="Cambria" w:hAnsi="Cambria"/>
          <w:b/>
          <w:bCs/>
          <w:sz w:val="22"/>
          <w:szCs w:val="22"/>
          <w:shd w:fill="E2EFD9" w:color="auto" w:val="clear"/>
        </w:rPr>
        <w:t xml:space="preserve">Aderência à tarefa: </w:t>
      </w:r>
      <w:r>
        <w:rPr>
          <w:rFonts w:ascii="Cambria" w:cs="Cambria" w:eastAsia="Cambria" w:hAnsi="Cambria"/>
          <w:sz w:val="22"/>
          <w:szCs w:val="22"/>
          <w:shd w:fill="E2EFD9" w:color="auto" w:val="clear"/>
        </w:rPr>
        <w:t xml:space="preserve">teste com prompts de referência do próprio projeto (FEL, EVM, claims), e não apenas com demonstrações do fornecedor.</w:t>
      </w:r>
    </w:p>
    <w:p>
      <w:pPr>
        <w:pStyle w:val="ListParagraph"/>
        <w:numPr>
          <w:ilvl w:val="0"/>
          <w:numId w:val="2"/>
        </w:numPr>
        <w:spacing w:after="70" w:line="276"/>
        <w:ind w:left="900" w:hanging="270"/>
      </w:pPr>
      <w:r>
        <w:rPr>
          <w:rFonts w:ascii="Cambria" w:cs="Cambria" w:eastAsia="Cambria" w:hAnsi="Cambria"/>
          <w:b/>
          <w:bCs/>
          <w:sz w:val="22"/>
          <w:szCs w:val="22"/>
          <w:shd w:fill="E2EFD9" w:color="auto" w:val="clear"/>
        </w:rPr>
        <w:t xml:space="preserve">Cálculo verificável: </w:t>
      </w:r>
      <w:r>
        <w:rPr>
          <w:rFonts w:ascii="Cambria" w:cs="Cambria" w:eastAsia="Cambria" w:hAnsi="Cambria"/>
          <w:sz w:val="22"/>
          <w:szCs w:val="22"/>
          <w:shd w:fill="E2EFD9" w:color="auto" w:val="clear"/>
        </w:rPr>
        <w:t xml:space="preserve">capacidade de executar código ou operar planilhas e de mostrar fórmulas e passos intermediários, para que os números possam ser recalculados.</w:t>
      </w:r>
    </w:p>
    <w:p>
      <w:pPr>
        <w:pStyle w:val="ListParagraph"/>
        <w:numPr>
          <w:ilvl w:val="0"/>
          <w:numId w:val="2"/>
        </w:numPr>
        <w:spacing w:after="70" w:line="276"/>
        <w:ind w:left="900" w:hanging="270"/>
      </w:pPr>
      <w:r>
        <w:rPr>
          <w:rFonts w:ascii="Cambria" w:cs="Cambria" w:eastAsia="Cambria" w:hAnsi="Cambria"/>
          <w:b/>
          <w:bCs/>
          <w:sz w:val="22"/>
          <w:szCs w:val="22"/>
          <w:shd w:fill="E2EFD9" w:color="auto" w:val="clear"/>
        </w:rPr>
        <w:t xml:space="preserve">Contexto e documentos longos: </w:t>
      </w:r>
      <w:r>
        <w:rPr>
          <w:rFonts w:ascii="Cambria" w:cs="Cambria" w:eastAsia="Cambria" w:hAnsi="Cambria"/>
          <w:sz w:val="22"/>
          <w:szCs w:val="22"/>
          <w:shd w:fill="E2EFD9" w:color="auto" w:val="clear"/>
        </w:rPr>
        <w:t xml:space="preserve">tamanho de contexto efetivamente utilizável, qualidade da citação de trechos e rastreabilidade da extração.</w:t>
      </w:r>
    </w:p>
    <w:p>
      <w:pPr>
        <w:pStyle w:val="ListParagraph"/>
        <w:numPr>
          <w:ilvl w:val="0"/>
          <w:numId w:val="2"/>
        </w:numPr>
        <w:spacing w:after="70" w:line="276"/>
        <w:ind w:left="900" w:hanging="270"/>
      </w:pPr>
      <w:r>
        <w:rPr>
          <w:rFonts w:ascii="Cambria" w:cs="Cambria" w:eastAsia="Cambria" w:hAnsi="Cambria"/>
          <w:b/>
          <w:bCs/>
          <w:sz w:val="22"/>
          <w:szCs w:val="22"/>
          <w:shd w:fill="E2EFD9" w:color="auto" w:val="clear"/>
        </w:rPr>
        <w:t xml:space="preserve">Integração: </w:t>
      </w:r>
      <w:r>
        <w:rPr>
          <w:rFonts w:ascii="Cambria" w:cs="Cambria" w:eastAsia="Cambria" w:hAnsi="Cambria"/>
          <w:sz w:val="22"/>
          <w:szCs w:val="22"/>
          <w:shd w:fill="E2EFD9" w:color="auto" w:val="clear"/>
        </w:rPr>
        <w:t xml:space="preserve">aderência ao ambiente já instalado (Microsoft 365, Google Workspace, ERP, ferramentas de cronograma) e suporte a padrões abertos de conexão, como o MCP.</w:t>
      </w:r>
    </w:p>
    <w:p>
      <w:pPr>
        <w:pStyle w:val="ListParagraph"/>
        <w:numPr>
          <w:ilvl w:val="0"/>
          <w:numId w:val="2"/>
        </w:numPr>
        <w:spacing w:after="70" w:line="276"/>
        <w:ind w:left="900" w:hanging="270"/>
      </w:pPr>
      <w:r>
        <w:rPr>
          <w:rFonts w:ascii="Cambria" w:cs="Cambria" w:eastAsia="Cambria" w:hAnsi="Cambria"/>
          <w:b/>
          <w:bCs/>
          <w:sz w:val="22"/>
          <w:szCs w:val="22"/>
          <w:shd w:fill="E2EFD9" w:color="auto" w:val="clear"/>
        </w:rPr>
        <w:t xml:space="preserve">Custo total: </w:t>
      </w:r>
      <w:r>
        <w:rPr>
          <w:rFonts w:ascii="Cambria" w:cs="Cambria" w:eastAsia="Cambria" w:hAnsi="Cambria"/>
          <w:sz w:val="22"/>
          <w:szCs w:val="22"/>
          <w:shd w:fill="E2EFD9" w:color="auto" w:val="clear"/>
        </w:rPr>
        <w:t xml:space="preserve">licenças, consumo, treinamento e esforço de governança, e não apenas a mensalidade.</w:t>
      </w:r>
    </w:p>
    <w:p>
      <w:pPr>
        <w:pStyle w:val="ListParagraph"/>
        <w:numPr>
          <w:ilvl w:val="0"/>
          <w:numId w:val="2"/>
        </w:numPr>
        <w:spacing w:after="70" w:line="276"/>
        <w:ind w:left="900" w:hanging="270"/>
      </w:pPr>
      <w:r>
        <w:rPr>
          <w:rFonts w:ascii="Cambria" w:cs="Cambria" w:eastAsia="Cambria" w:hAnsi="Cambria"/>
          <w:b/>
          <w:bCs/>
          <w:sz w:val="22"/>
          <w:szCs w:val="22"/>
          <w:shd w:fill="E2EFD9" w:color="auto" w:val="clear"/>
        </w:rPr>
        <w:t xml:space="preserve">Dependência de fornecedor: </w:t>
      </w:r>
      <w:r>
        <w:rPr>
          <w:rFonts w:ascii="Cambria" w:cs="Cambria" w:eastAsia="Cambria" w:hAnsi="Cambria"/>
          <w:sz w:val="22"/>
          <w:szCs w:val="22"/>
          <w:shd w:fill="E2EFD9" w:color="auto" w:val="clear"/>
        </w:rPr>
        <w:t xml:space="preserve">possibilidade de trocar de plataforma sem refazer toda a biblioteca de prompts.</w:t>
      </w:r>
    </w:p>
    <w:p>
      <w:pPr>
        <w:pBdr>
          <w:left w:val="single" w:color="8EAADB" w:sz="12" w:space="10"/>
        </w:pBdr>
        <w:spacing w:after="110" w:line="288"/>
        <w:ind w:left="360"/>
        <w:jc w:val="both"/>
      </w:pPr>
      <w:r>
        <w:rPr>
          <w:rFonts w:ascii="Cambria" w:cs="Cambria" w:eastAsia="Cambria" w:hAnsi="Cambria"/>
          <w:sz w:val="22"/>
          <w:szCs w:val="22"/>
          <w:shd w:fill="E2EFD9" w:color="auto" w:val="clear"/>
        </w:rPr>
        <w:t xml:space="preserve">Reavalie a escolha ao menos a cada seis meses e sempre que houver mudança relevante de modelo, de plano ou de política do fornecedor. Um método simples é manter de três a cinco prompts de referência do seu projeto, executá-los a cada reavaliação e comparar as saídas com a versão validada anteriormente, registrando as diferenças no Registro de Auditoria de IA (Tabela 7.2).</w:t>
      </w:r>
    </w:p>
    <w:p>
      <w:pPr>
        <w:pBdr>
          <w:left w:val="single" w:color="8EAADB" w:sz="12" w:space="10"/>
        </w:pBdr>
        <w:spacing w:after="100" w:before="140"/>
        <w:ind w:left="360"/>
        <w:jc w:val="left"/>
      </w:pPr>
      <w:r>
        <w:rPr>
          <w:rFonts w:ascii="Calibri" w:cs="Calibri" w:eastAsia="Calibri" w:hAnsi="Calibri"/>
          <w:b/>
          <w:bCs/>
          <w:sz w:val="26"/>
          <w:szCs w:val="26"/>
        </w:rPr>
        <w:t xml:space="preserve">A.6 Histórico de atualizações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400"/>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Edição</w:t>
            </w:r>
          </w:p>
        </w:tc>
        <w:tc>
          <w:tcPr>
            <w:tcW w:type="dxa" w:w="2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Data de referência</w:t>
            </w:r>
          </w:p>
        </w:tc>
        <w:tc>
          <w:tcPr>
            <w:tcW w:type="dxa" w:w="5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Alterações neste apêndice</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1ª edição</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Junho de 2026</w:t>
            </w:r>
          </w:p>
        </w:tc>
        <w:tc>
          <w:tcPr>
            <w:tcW w:type="dxa" w:w="5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9"/>
                <w:szCs w:val="19"/>
              </w:rPr>
              <w:t xml:space="preserve">Versão inicial: comparativo de plataformas, descrições, exemplos por tipo de agente e critérios de escolha.</w:t>
            </w:r>
          </w:p>
        </w:tc>
      </w:tr>
    </w:tbl>
    <w:p>
      <w:pPr>
        <w:spacing w:after="120" w:line="276"/>
      </w:pPr>
      <w:r>
        <w:rPr>
          <w:rFonts w:ascii="Calibri" w:cs="Calibri" w:eastAsia="Calibri" w:hAnsi="Calibri"/>
          <w:sz w:val="22"/>
          <w:szCs w:val="22"/>
        </w:rPr>
        <w:t xml:space="preserve"/>
      </w:r>
    </w:p>
    <w:p>
      <w:pPr>
        <w:pStyle w:val="Heading1"/>
        <w:spacing w:after="140" w:before="320"/>
      </w:pPr>
      <w:r>
        <w:rPr>
          <w:rFonts w:ascii="Calibri" w:cs="Calibri" w:eastAsia="Calibri" w:hAnsi="Calibri"/>
          <w:b/>
          <w:bCs/>
          <w:color w:val="1F3864"/>
          <w:sz w:val="30"/>
          <w:szCs w:val="30"/>
        </w:rPr>
        <w:t xml:space="preserve">6. Outras menções a marcas que permanecem no corpo</w:t>
      </w:r>
    </w:p>
    <w:p>
      <w:pPr>
        <w:spacing w:after="120" w:line="276"/>
      </w:pPr>
      <w:r>
        <w:rPr>
          <w:rFonts w:ascii="Calibri" w:cs="Calibri" w:eastAsia="Calibri" w:hAnsi="Calibri"/>
          <w:sz w:val="22"/>
          <w:szCs w:val="22"/>
        </w:rPr>
        <w:t xml:space="preserve">Para não esvaziar os capítulos de exemplos concretos, propus mexer apenas nos três trechos acima. Ainda há menções pontuais, que sugiro manter, com uma ressalva de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338"/>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18"/>
                <w:szCs w:val="18"/>
              </w:rPr>
              <w:t xml:space="preserve">Onde</w:t>
            </w:r>
          </w:p>
        </w:tc>
        <w:tc>
          <w:tcPr>
            <w:tcW w:type="dxa" w:w="33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18"/>
                <w:szCs w:val="18"/>
              </w:rPr>
              <w:t xml:space="preserve">O que há hoje</w:t>
            </w:r>
          </w:p>
        </w:tc>
        <w:tc>
          <w:tcPr>
            <w:tcW w:type="dxa" w:w="33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18"/>
                <w:szCs w:val="18"/>
              </w:rPr>
              <w:t xml:space="preserve">Sugestão</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8"/>
                <w:szCs w:val="18"/>
              </w:rPr>
              <w:t xml:space="preserve">Capítulo 3, texto sobre IA generativa</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8"/>
                <w:szCs w:val="18"/>
              </w:rPr>
              <w:t xml:space="preserve">"ferramentas como ChatGPT, Claude, Gemini e Copilot permitem analisar contratos..."</w:t>
            </w:r>
          </w:p>
        </w:tc>
        <w:tc>
          <w:tcPr>
            <w:tcW w:type="dxa" w:w="3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8"/>
                <w:szCs w:val="18"/>
              </w:rPr>
              <w:t xml:space="preserve">Manter e acrescentar "(exemplos de 2026; ver Apêndice A)"</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8"/>
                <w:szCs w:val="18"/>
              </w:rPr>
              <w:t xml:space="preserve">Tabela 3.1, coluna "Exemplo de ferramenta"</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8"/>
                <w:szCs w:val="18"/>
              </w:rPr>
              <w:t xml:space="preserve">nPlan, Cleopatra Enterprise, Oracle Primavera, Safran, ChatGPT, Claude, Gemini, Copilot, Doxel, OpenSpace</w:t>
            </w:r>
          </w:p>
        </w:tc>
        <w:tc>
          <w:tcPr>
            <w:tcW w:type="dxa" w:w="3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8"/>
                <w:szCs w:val="18"/>
              </w:rPr>
              <w:t xml:space="preserve">Opção 1: manter. Opção 2: levar a coluna para o Apêndice A (tabela A.3) e deixar a Tabela 3.1 só com tipo, definição e aplicação</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8"/>
                <w:szCs w:val="18"/>
              </w:rPr>
              <w:t xml:space="preserve">Figura 4.1 (linha do tempo)</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8"/>
                <w:szCs w:val="18"/>
              </w:rPr>
              <w:t xml:space="preserve">ChatGPT, GPT-4, Claude, Gemini como marcos históricos</w:t>
            </w:r>
          </w:p>
        </w:tc>
        <w:tc>
          <w:tcPr>
            <w:tcW w:type="dxa" w:w="3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8"/>
                <w:szCs w:val="18"/>
              </w:rPr>
              <w:t xml:space="preserve">Manter: é histórico e datado por natureza</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8"/>
                <w:szCs w:val="18"/>
              </w:rPr>
              <w:t xml:space="preserve">Capítulo 3, integração com cronogramas</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8"/>
                <w:szCs w:val="18"/>
              </w:rPr>
              <w:t xml:space="preserve">nPlan como exemplo de analytics de cronograma</w:t>
            </w:r>
          </w:p>
        </w:tc>
        <w:tc>
          <w:tcPr>
            <w:tcW w:type="dxa" w:w="3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8"/>
                <w:szCs w:val="18"/>
              </w:rPr>
              <w:t xml:space="preserve">Manter, é exemplo ilustrativo</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8"/>
                <w:szCs w:val="18"/>
              </w:rPr>
              <w:t xml:space="preserve">Capítulo 6, saídas de LLM</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8"/>
                <w:szCs w:val="18"/>
              </w:rPr>
              <w:t xml:space="preserve">"resposta de LLM (Claude)" e "(ChatGPT)"</w:t>
            </w:r>
          </w:p>
        </w:tc>
        <w:tc>
          <w:tcPr>
            <w:tcW w:type="dxa" w:w="3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Calibri" w:cs="Calibri" w:eastAsia="Calibri" w:hAnsi="Calibri"/>
                <w:b w:val="false"/>
                <w:bCs w:val="false"/>
                <w:color w:val="000000"/>
                <w:sz w:val="18"/>
                <w:szCs w:val="18"/>
              </w:rPr>
              <w:t xml:space="preserve">Manter e preencher a nota de data e versão já inserida antes do Prompt 6.1</w:t>
            </w:r>
          </w:p>
        </w:tc>
      </w:tr>
    </w:tbl>
    <w:p>
      <w:pPr>
        <w:pStyle w:val="Heading1"/>
        <w:spacing w:after="140" w:before="320"/>
      </w:pPr>
      <w:r>
        <w:rPr>
          <w:rFonts w:ascii="Calibri" w:cs="Calibri" w:eastAsia="Calibri" w:hAnsi="Calibri"/>
          <w:b/>
          <w:bCs/>
          <w:color w:val="1F3864"/>
          <w:sz w:val="30"/>
          <w:szCs w:val="30"/>
        </w:rPr>
        <w:t xml:space="preserve">7. Riscos e alternativas</w:t>
      </w:r>
    </w:p>
    <w:p>
      <w:pPr>
        <w:pStyle w:val="ListParagraph"/>
        <w:numPr>
          <w:ilvl w:val="0"/>
          <w:numId w:val="2"/>
        </w:numPr>
        <w:spacing w:after="70" w:line="264"/>
      </w:pPr>
      <w:r>
        <w:rPr>
          <w:rFonts w:ascii="Calibri" w:cs="Calibri" w:eastAsia="Calibri" w:hAnsi="Calibri"/>
          <w:b/>
          <w:bCs/>
          <w:sz w:val="22"/>
          <w:szCs w:val="22"/>
        </w:rPr>
        <w:t xml:space="preserve">Risco: o leitor sentir falta do comparativo no corpo. </w:t>
      </w:r>
      <w:r>
        <w:rPr>
          <w:rFonts w:ascii="Calibri" w:cs="Calibri" w:eastAsia="Calibri" w:hAnsi="Calibri"/>
          <w:sz w:val="22"/>
          <w:szCs w:val="22"/>
        </w:rPr>
        <w:t xml:space="preserve">Mitigação: a remissão ao apêndice aparece logo no início da seção e na conclusão dela, e o apêndice é curto (cerca de 3 a 4 páginas).</w:t>
      </w:r>
    </w:p>
    <w:p>
      <w:pPr>
        <w:pStyle w:val="ListParagraph"/>
        <w:numPr>
          <w:ilvl w:val="0"/>
          <w:numId w:val="2"/>
        </w:numPr>
        <w:spacing w:after="70" w:line="264"/>
      </w:pPr>
      <w:r>
        <w:rPr>
          <w:rFonts w:ascii="Calibri" w:cs="Calibri" w:eastAsia="Calibri" w:hAnsi="Calibri"/>
          <w:b/>
          <w:bCs/>
          <w:sz w:val="22"/>
          <w:szCs w:val="22"/>
        </w:rPr>
        <w:t xml:space="preserve">Risco: o apêndice virar "depósito". </w:t>
      </w:r>
      <w:r>
        <w:rPr>
          <w:rFonts w:ascii="Calibri" w:cs="Calibri" w:eastAsia="Calibri" w:hAnsi="Calibri"/>
          <w:sz w:val="22"/>
          <w:szCs w:val="22"/>
        </w:rPr>
        <w:t xml:space="preserve">Mitigação: o aviso de data, o histórico (A.6) e os critérios (A.5) dão ao apêndice função própria e um ritual de atualização.</w:t>
      </w:r>
    </w:p>
    <w:p>
      <w:pPr>
        <w:pStyle w:val="ListParagraph"/>
        <w:numPr>
          <w:ilvl w:val="0"/>
          <w:numId w:val="2"/>
        </w:numPr>
        <w:spacing w:after="70" w:line="264"/>
      </w:pPr>
      <w:r>
        <w:rPr>
          <w:rFonts w:ascii="Calibri" w:cs="Calibri" w:eastAsia="Calibri" w:hAnsi="Calibri"/>
          <w:b/>
          <w:bCs/>
          <w:sz w:val="22"/>
          <w:szCs w:val="22"/>
        </w:rPr>
        <w:t xml:space="preserve">Alternativa B, mais leve: </w:t>
      </w:r>
      <w:r>
        <w:rPr>
          <w:rFonts w:ascii="Calibri" w:cs="Calibri" w:eastAsia="Calibri" w:hAnsi="Calibri"/>
          <w:sz w:val="22"/>
          <w:szCs w:val="22"/>
        </w:rPr>
        <w:t xml:space="preserve">manter tudo no corpo e apenas acrescentar um aviso de data antes da Figura 4.2 e da Tabela 4.1. Preserva a estrutura atual, mas mantém o conteúdo volátil no meio do capítulo.</w:t>
      </w:r>
    </w:p>
    <w:p>
      <w:pPr>
        <w:pStyle w:val="ListParagraph"/>
        <w:numPr>
          <w:ilvl w:val="0"/>
          <w:numId w:val="2"/>
        </w:numPr>
        <w:spacing w:after="70" w:line="264"/>
      </w:pPr>
      <w:r>
        <w:rPr>
          <w:rFonts w:ascii="Calibri" w:cs="Calibri" w:eastAsia="Calibri" w:hAnsi="Calibri"/>
          <w:b/>
          <w:bCs/>
          <w:sz w:val="22"/>
          <w:szCs w:val="22"/>
        </w:rPr>
        <w:t xml:space="preserve">Alternativa C, mais radical: </w:t>
      </w:r>
      <w:r>
        <w:rPr>
          <w:rFonts w:ascii="Calibri" w:cs="Calibri" w:eastAsia="Calibri" w:hAnsi="Calibri"/>
          <w:sz w:val="22"/>
          <w:szCs w:val="22"/>
        </w:rPr>
        <w:t xml:space="preserve">mover o apêndice para uma página ou PDF complementar online, com atualização contínua, e deixar no livro apenas o aviso e o endereço. Dá a melhor longevidade, mas depende de hospedagem e de sua rotina de atualização.</w:t>
      </w:r>
    </w:p>
    <w:p>
      <w:pPr>
        <w:spacing w:after="120" w:line="276"/>
      </w:pPr>
      <w:r>
        <w:rPr>
          <w:rFonts w:ascii="Calibri" w:cs="Calibri" w:eastAsia="Calibri" w:hAnsi="Calibri"/>
          <w:b/>
          <w:bCs/>
          <w:sz w:val="22"/>
          <w:szCs w:val="22"/>
        </w:rPr>
        <w:t xml:space="preserve">Minha recomendação: </w:t>
      </w:r>
      <w:r>
        <w:rPr>
          <w:rFonts w:ascii="Calibri" w:cs="Calibri" w:eastAsia="Calibri" w:hAnsi="Calibri"/>
          <w:sz w:val="22"/>
          <w:szCs w:val="22"/>
        </w:rPr>
        <w:t xml:space="preserve">a proposta principal (apêndice no livro), com o histórico A.6 preparado para migrar para a Alternativa C se você decidir manter um material online.</w:t>
      </w:r>
    </w:p>
    <w:p>
      <w:pPr>
        <w:pStyle w:val="Heading1"/>
        <w:spacing w:after="140" w:before="320"/>
      </w:pPr>
      <w:r>
        <w:rPr>
          <w:rFonts w:ascii="Calibri" w:cs="Calibri" w:eastAsia="Calibri" w:hAnsi="Calibri"/>
          <w:b/>
          <w:bCs/>
          <w:color w:val="1F3864"/>
          <w:sz w:val="30"/>
          <w:szCs w:val="30"/>
        </w:rPr>
        <w:t xml:space="preserve">8. O que preciso de você</w:t>
      </w:r>
    </w:p>
    <w:p>
      <w:pPr>
        <w:pStyle w:val="ListParagraph"/>
        <w:numPr>
          <w:ilvl w:val="0"/>
          <w:numId w:val="2"/>
        </w:numPr>
        <w:spacing w:after="70" w:line="264"/>
      </w:pPr>
      <w:r>
        <w:rPr>
          <w:rFonts w:ascii="Calibri" w:cs="Calibri" w:eastAsia="Calibri" w:hAnsi="Calibri"/>
          <w:sz w:val="22"/>
          <w:szCs w:val="22"/>
        </w:rPr>
        <w:t xml:space="preserve">Aprovar, ajustar ou recusar a proposta principal.</w:t>
      </w:r>
    </w:p>
    <w:p>
      <w:pPr>
        <w:pStyle w:val="ListParagraph"/>
        <w:numPr>
          <w:ilvl w:val="0"/>
          <w:numId w:val="2"/>
        </w:numPr>
        <w:spacing w:after="70" w:line="264"/>
      </w:pPr>
      <w:r>
        <w:rPr>
          <w:rFonts w:ascii="Calibri" w:cs="Calibri" w:eastAsia="Calibri" w:hAnsi="Calibri"/>
          <w:sz w:val="22"/>
          <w:szCs w:val="22"/>
        </w:rPr>
        <w:t xml:space="preserve">Posição do apêndice: depois das Referências (recomendado) ou antes.</w:t>
      </w:r>
    </w:p>
    <w:p>
      <w:pPr>
        <w:pStyle w:val="ListParagraph"/>
        <w:numPr>
          <w:ilvl w:val="0"/>
          <w:numId w:val="2"/>
        </w:numPr>
        <w:spacing w:after="70" w:line="264"/>
      </w:pPr>
      <w:r>
        <w:rPr>
          <w:rFonts w:ascii="Calibri" w:cs="Calibri" w:eastAsia="Calibri" w:hAnsi="Calibri"/>
          <w:sz w:val="22"/>
          <w:szCs w:val="22"/>
        </w:rPr>
        <w:t xml:space="preserve">Data de referência: manter "junho de 2026", que é a data das fontes que você já consultou, ou atualizar depois de conferir as plataformas.</w:t>
      </w:r>
    </w:p>
    <w:p>
      <w:pPr>
        <w:pStyle w:val="ListParagraph"/>
        <w:numPr>
          <w:ilvl w:val="0"/>
          <w:numId w:val="2"/>
        </w:numPr>
        <w:spacing w:after="70" w:line="264"/>
      </w:pPr>
      <w:r>
        <w:rPr>
          <w:rFonts w:ascii="Calibri" w:cs="Calibri" w:eastAsia="Calibri" w:hAnsi="Calibri"/>
          <w:sz w:val="22"/>
          <w:szCs w:val="22"/>
        </w:rPr>
        <w:t xml:space="preserve">Tabela 3.1: manter a coluna "Exemplo de ferramenta" ou levá-la ao apêndice.</w:t>
      </w:r>
    </w:p>
    <w:p>
      <w:pPr>
        <w:pStyle w:val="ListParagraph"/>
        <w:numPr>
          <w:ilvl w:val="0"/>
          <w:numId w:val="2"/>
        </w:numPr>
        <w:spacing w:after="70" w:line="264"/>
      </w:pPr>
      <w:r>
        <w:rPr>
          <w:rFonts w:ascii="Calibri" w:cs="Calibri" w:eastAsia="Calibri" w:hAnsi="Calibri"/>
          <w:sz w:val="22"/>
          <w:szCs w:val="22"/>
        </w:rPr>
        <w:t xml:space="preserve">Texto novo: validar a seção A.5 (critérios) e o parágrafo novo do Capítulo 4, que são conteúdo meu e não material seu movido.</w:t>
      </w:r>
    </w:p>
    <w:p>
      <w:pPr>
        <w:spacing w:after="120" w:line="276"/>
      </w:pPr>
      <w:r>
        <w:rPr>
          <w:rFonts w:ascii="Calibri" w:cs="Calibri" w:eastAsia="Calibri" w:hAnsi="Calibri"/>
          <w:sz w:val="22"/>
          <w:szCs w:val="22"/>
        </w:rPr>
        <w:t xml:space="preserve">Com a sua resposta, integro as mudanças ao manuscrito. A inclusão técnica do apêndice exige uma nova seção do Word, com cabeçalho corrente próprio e entrada no sumário; o resto são movimentações de blocos já existentes.</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Proposta de Apêndice A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2F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Proposta de Apêndice A</dc:title>
  <dc:creator>Revisão editorial</dc:creator>
  <cp:lastModifiedBy>Un-named</cp:lastModifiedBy>
  <cp:revision>1</cp:revision>
  <dcterms:created xsi:type="dcterms:W3CDTF">2026-10-25T11:55:36.616Z</dcterms:created>
  <dcterms:modified xsi:type="dcterms:W3CDTF">2026-10-25T11:55:36.616Z</dcterms:modified>
</cp:coreProperties>
</file>

<file path=docProps/custom.xml><?xml version="1.0" encoding="utf-8"?>
<Properties xmlns="http://schemas.openxmlformats.org/officeDocument/2006/custom-properties" xmlns:vt="http://schemas.openxmlformats.org/officeDocument/2006/docPropsVTypes"/>
</file>