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4D040" w14:textId="77777777" w:rsidR="00354A05" w:rsidRPr="00354A05" w:rsidRDefault="00354A05" w:rsidP="00354A05">
      <w:pPr>
        <w:spacing w:after="0" w:line="240" w:lineRule="auto"/>
        <w:rPr>
          <w:rFonts w:ascii="Times New Roman" w:eastAsia="Times New Roman" w:hAnsi="Times New Roman" w:cs="Times New Roman"/>
          <w:kern w:val="0"/>
          <w:lang w:eastAsia="pt-BR"/>
          <w14:ligatures w14:val="none"/>
        </w:rPr>
      </w:pPr>
      <w:r w:rsidRPr="00354A05">
        <w:rPr>
          <w:rFonts w:ascii="Times New Roman" w:eastAsia="Times New Roman" w:hAnsi="Times New Roman" w:cs="Times New Roman"/>
          <w:b/>
          <w:bCs/>
          <w:kern w:val="0"/>
          <w:lang w:eastAsia="pt-BR"/>
          <w14:ligatures w14:val="none"/>
        </w:rPr>
        <w:t>Atue como um assistente especializado em estruturação e extração de dados jurídicos.</w:t>
      </w:r>
      <w:r w:rsidRPr="00354A05">
        <w:rPr>
          <w:rFonts w:ascii="Times New Roman" w:eastAsia="Times New Roman" w:hAnsi="Times New Roman" w:cs="Times New Roman"/>
          <w:kern w:val="0"/>
          <w:lang w:eastAsia="pt-BR"/>
          <w14:ligatures w14:val="none"/>
        </w:rPr>
        <w:t xml:space="preserve"> O seu objetivo é ler o arquivo anexo (Informativo de Jurisprudência) e extrair as informações de cada julgado de forma estritamente padronizada.</w:t>
      </w:r>
    </w:p>
    <w:p w14:paraId="0FC611A7" w14:textId="77777777" w:rsidR="00354A05" w:rsidRPr="00354A05" w:rsidRDefault="00354A05" w:rsidP="00354A05">
      <w:pPr>
        <w:spacing w:after="0" w:line="240" w:lineRule="auto"/>
        <w:rPr>
          <w:rFonts w:ascii="Times New Roman" w:eastAsia="Times New Roman" w:hAnsi="Times New Roman" w:cs="Times New Roman"/>
          <w:kern w:val="0"/>
          <w:lang w:eastAsia="pt-BR"/>
          <w14:ligatures w14:val="none"/>
        </w:rPr>
      </w:pPr>
      <w:r w:rsidRPr="00354A05">
        <w:rPr>
          <w:rFonts w:ascii="Times New Roman" w:eastAsia="Times New Roman" w:hAnsi="Times New Roman" w:cs="Times New Roman"/>
          <w:b/>
          <w:bCs/>
          <w:kern w:val="0"/>
          <w:lang w:eastAsia="pt-BR"/>
          <w14:ligatures w14:val="none"/>
        </w:rPr>
        <w:t>REGRAS DE FILTRAGEM (O QUE PROCESSAR):</w:t>
      </w:r>
    </w:p>
    <w:p w14:paraId="3C9FE472" w14:textId="77777777" w:rsidR="00354A05" w:rsidRPr="00354A05" w:rsidRDefault="00354A05" w:rsidP="00354A05">
      <w:pPr>
        <w:numPr>
          <w:ilvl w:val="0"/>
          <w:numId w:val="1"/>
        </w:numPr>
        <w:shd w:val="clear" w:color="auto" w:fill="22262B"/>
        <w:spacing w:before="100" w:beforeAutospacing="1" w:after="100" w:afterAutospacing="1" w:line="240" w:lineRule="auto"/>
        <w:rPr>
          <w:rFonts w:ascii="Google Sans Text" w:eastAsia="Times New Roman" w:hAnsi="Google Sans Text" w:cs="Times New Roman"/>
          <w:color w:val="C7C7C7"/>
          <w:kern w:val="0"/>
          <w:sz w:val="21"/>
          <w:szCs w:val="21"/>
          <w:lang w:eastAsia="pt-BR"/>
          <w14:ligatures w14:val="none"/>
        </w:rPr>
      </w:pPr>
      <w:r w:rsidRPr="00354A05">
        <w:rPr>
          <w:rFonts w:ascii="Google Sans Text" w:eastAsia="Times New Roman" w:hAnsi="Google Sans Text" w:cs="Times New Roman"/>
          <w:color w:val="C7C7C7"/>
          <w:kern w:val="0"/>
          <w:sz w:val="21"/>
          <w:szCs w:val="21"/>
          <w:lang w:eastAsia="pt-BR"/>
          <w14:ligatures w14:val="none"/>
        </w:rPr>
        <w:t xml:space="preserve">Extraia </w:t>
      </w:r>
      <w:r w:rsidRPr="00354A05">
        <w:rPr>
          <w:rFonts w:ascii="Google Sans Text" w:eastAsia="Times New Roman" w:hAnsi="Google Sans Text" w:cs="Times New Roman"/>
          <w:b/>
          <w:bCs/>
          <w:color w:val="C7C7C7"/>
          <w:kern w:val="0"/>
          <w:sz w:val="21"/>
          <w:szCs w:val="21"/>
          <w:lang w:eastAsia="pt-BR"/>
          <w14:ligatures w14:val="none"/>
        </w:rPr>
        <w:t>APENAS</w:t>
      </w:r>
      <w:r w:rsidRPr="00354A05">
        <w:rPr>
          <w:rFonts w:ascii="Google Sans Text" w:eastAsia="Times New Roman" w:hAnsi="Google Sans Text" w:cs="Times New Roman"/>
          <w:color w:val="C7C7C7"/>
          <w:kern w:val="0"/>
          <w:sz w:val="21"/>
          <w:szCs w:val="21"/>
          <w:lang w:eastAsia="pt-BR"/>
          <w14:ligatures w14:val="none"/>
        </w:rPr>
        <w:t xml:space="preserve"> os julgados que possuam a seção "DESTAQUE".</w:t>
      </w:r>
    </w:p>
    <w:p w14:paraId="5D0BCCC4" w14:textId="77777777" w:rsidR="00354A05" w:rsidRPr="00354A05" w:rsidRDefault="00354A05" w:rsidP="00354A05">
      <w:pPr>
        <w:numPr>
          <w:ilvl w:val="0"/>
          <w:numId w:val="1"/>
        </w:numPr>
        <w:shd w:val="clear" w:color="auto" w:fill="22262B"/>
        <w:spacing w:before="100" w:beforeAutospacing="1" w:after="100" w:afterAutospacing="1" w:line="240" w:lineRule="auto"/>
        <w:rPr>
          <w:rFonts w:ascii="Google Sans Text" w:eastAsia="Times New Roman" w:hAnsi="Google Sans Text" w:cs="Times New Roman"/>
          <w:color w:val="C7C7C7"/>
          <w:kern w:val="0"/>
          <w:sz w:val="21"/>
          <w:szCs w:val="21"/>
          <w:lang w:eastAsia="pt-BR"/>
          <w14:ligatures w14:val="none"/>
        </w:rPr>
      </w:pPr>
      <w:r w:rsidRPr="00354A05">
        <w:rPr>
          <w:rFonts w:ascii="Google Sans Text" w:eastAsia="Times New Roman" w:hAnsi="Google Sans Text" w:cs="Times New Roman"/>
          <w:b/>
          <w:bCs/>
          <w:color w:val="C7C7C7"/>
          <w:kern w:val="0"/>
          <w:sz w:val="21"/>
          <w:szCs w:val="21"/>
          <w:lang w:eastAsia="pt-BR"/>
          <w14:ligatures w14:val="none"/>
        </w:rPr>
        <w:t>IGNORE COMPLETAMENTE</w:t>
      </w:r>
      <w:r w:rsidRPr="00354A05">
        <w:rPr>
          <w:rFonts w:ascii="Google Sans Text" w:eastAsia="Times New Roman" w:hAnsi="Google Sans Text" w:cs="Times New Roman"/>
          <w:color w:val="C7C7C7"/>
          <w:kern w:val="0"/>
          <w:sz w:val="21"/>
          <w:szCs w:val="21"/>
          <w:lang w:eastAsia="pt-BR"/>
          <w14:ligatures w14:val="none"/>
        </w:rPr>
        <w:t xml:space="preserve"> qualquer julgado de "AFETAÇÃO" (cujo número do processo comece com "</w:t>
      </w:r>
      <w:proofErr w:type="spellStart"/>
      <w:r w:rsidRPr="00354A05">
        <w:rPr>
          <w:rFonts w:ascii="Google Sans Text" w:eastAsia="Times New Roman" w:hAnsi="Google Sans Text" w:cs="Times New Roman"/>
          <w:color w:val="C7C7C7"/>
          <w:kern w:val="0"/>
          <w:sz w:val="21"/>
          <w:szCs w:val="21"/>
          <w:lang w:eastAsia="pt-BR"/>
          <w14:ligatures w14:val="none"/>
        </w:rPr>
        <w:t>ProAfR</w:t>
      </w:r>
      <w:proofErr w:type="spellEnd"/>
      <w:r w:rsidRPr="00354A05">
        <w:rPr>
          <w:rFonts w:ascii="Google Sans Text" w:eastAsia="Times New Roman" w:hAnsi="Google Sans Text" w:cs="Times New Roman"/>
          <w:color w:val="C7C7C7"/>
          <w:kern w:val="0"/>
          <w:sz w:val="21"/>
          <w:szCs w:val="21"/>
          <w:lang w:eastAsia="pt-BR"/>
          <w14:ligatures w14:val="none"/>
        </w:rPr>
        <w:t>" ou que contenha indicação de afetação).</w:t>
      </w:r>
    </w:p>
    <w:p w14:paraId="28BB75DD" w14:textId="77777777" w:rsidR="00354A05" w:rsidRPr="00354A05" w:rsidRDefault="00354A05" w:rsidP="00354A05">
      <w:pPr>
        <w:spacing w:after="0" w:line="240" w:lineRule="auto"/>
        <w:rPr>
          <w:rFonts w:ascii="Times New Roman" w:eastAsia="Times New Roman" w:hAnsi="Times New Roman" w:cs="Times New Roman"/>
          <w:kern w:val="0"/>
          <w:lang w:eastAsia="pt-BR"/>
          <w14:ligatures w14:val="none"/>
        </w:rPr>
      </w:pPr>
      <w:r w:rsidRPr="00354A05">
        <w:rPr>
          <w:rFonts w:ascii="Times New Roman" w:eastAsia="Times New Roman" w:hAnsi="Times New Roman" w:cs="Times New Roman"/>
          <w:b/>
          <w:bCs/>
          <w:kern w:val="0"/>
          <w:lang w:eastAsia="pt-BR"/>
          <w14:ligatures w14:val="none"/>
        </w:rPr>
        <w:t>CAMPOS A EXTRAIR POR JULGADO:</w:t>
      </w:r>
      <w:r w:rsidRPr="00354A05">
        <w:rPr>
          <w:rFonts w:ascii="Times New Roman" w:eastAsia="Times New Roman" w:hAnsi="Times New Roman" w:cs="Times New Roman"/>
          <w:kern w:val="0"/>
          <w:lang w:eastAsia="pt-BR"/>
          <w14:ligatures w14:val="none"/>
        </w:rPr>
        <w:t xml:space="preserve"> Para cada julgado que passar no filtro acima, extraia exatamente os seguintes campos:</w:t>
      </w:r>
    </w:p>
    <w:p w14:paraId="3AA56006" w14:textId="77777777" w:rsidR="00354A05" w:rsidRPr="00354A05" w:rsidRDefault="00354A05" w:rsidP="00354A05">
      <w:pPr>
        <w:numPr>
          <w:ilvl w:val="0"/>
          <w:numId w:val="2"/>
        </w:numPr>
        <w:shd w:val="clear" w:color="auto" w:fill="22262B"/>
        <w:spacing w:before="100" w:beforeAutospacing="1" w:after="100" w:afterAutospacing="1" w:line="240" w:lineRule="auto"/>
        <w:rPr>
          <w:rFonts w:ascii="Google Sans Text" w:eastAsia="Times New Roman" w:hAnsi="Google Sans Text" w:cs="Times New Roman"/>
          <w:color w:val="C7C7C7"/>
          <w:kern w:val="0"/>
          <w:sz w:val="21"/>
          <w:szCs w:val="21"/>
          <w:lang w:eastAsia="pt-BR"/>
          <w14:ligatures w14:val="none"/>
        </w:rPr>
      </w:pPr>
      <w:r w:rsidRPr="00354A05">
        <w:rPr>
          <w:rFonts w:ascii="Google Sans Text" w:eastAsia="Times New Roman" w:hAnsi="Google Sans Text" w:cs="Times New Roman"/>
          <w:b/>
          <w:bCs/>
          <w:color w:val="C7C7C7"/>
          <w:kern w:val="0"/>
          <w:sz w:val="21"/>
          <w:szCs w:val="21"/>
          <w:lang w:eastAsia="pt-BR"/>
          <w14:ligatures w14:val="none"/>
        </w:rPr>
        <w:t>Número do Processo:</w:t>
      </w:r>
      <w:r w:rsidRPr="00354A05">
        <w:rPr>
          <w:rFonts w:ascii="Google Sans Text" w:eastAsia="Times New Roman" w:hAnsi="Google Sans Text" w:cs="Times New Roman"/>
          <w:color w:val="C7C7C7"/>
          <w:kern w:val="0"/>
          <w:sz w:val="21"/>
          <w:szCs w:val="21"/>
          <w:lang w:eastAsia="pt-BR"/>
          <w14:ligatures w14:val="none"/>
        </w:rPr>
        <w:t xml:space="preserve"> O número do processo (</w:t>
      </w:r>
      <w:proofErr w:type="spellStart"/>
      <w:r w:rsidRPr="00354A05">
        <w:rPr>
          <w:rFonts w:ascii="Google Sans Text" w:eastAsia="Times New Roman" w:hAnsi="Google Sans Text" w:cs="Times New Roman"/>
          <w:color w:val="C7C7C7"/>
          <w:kern w:val="0"/>
          <w:sz w:val="21"/>
          <w:szCs w:val="21"/>
          <w:lang w:eastAsia="pt-BR"/>
          <w14:ligatures w14:val="none"/>
        </w:rPr>
        <w:t>ex</w:t>
      </w:r>
      <w:proofErr w:type="spellEnd"/>
      <w:r w:rsidRPr="00354A05">
        <w:rPr>
          <w:rFonts w:ascii="Google Sans Text" w:eastAsia="Times New Roman" w:hAnsi="Google Sans Text" w:cs="Times New Roman"/>
          <w:color w:val="C7C7C7"/>
          <w:kern w:val="0"/>
          <w:sz w:val="21"/>
          <w:szCs w:val="21"/>
          <w:lang w:eastAsia="pt-BR"/>
          <w14:ligatures w14:val="none"/>
        </w:rPr>
        <w:t>: REsp 1.234.567-SP). Se o processo não tiver número, preencha exatamente com "Processo em segredo de justiça".</w:t>
      </w:r>
    </w:p>
    <w:p w14:paraId="75619D9E" w14:textId="77777777" w:rsidR="00354A05" w:rsidRPr="00354A05" w:rsidRDefault="00354A05" w:rsidP="00354A05">
      <w:pPr>
        <w:numPr>
          <w:ilvl w:val="0"/>
          <w:numId w:val="2"/>
        </w:numPr>
        <w:shd w:val="clear" w:color="auto" w:fill="22262B"/>
        <w:spacing w:before="100" w:beforeAutospacing="1" w:after="100" w:afterAutospacing="1" w:line="240" w:lineRule="auto"/>
        <w:rPr>
          <w:rFonts w:ascii="Google Sans Text" w:eastAsia="Times New Roman" w:hAnsi="Google Sans Text" w:cs="Times New Roman"/>
          <w:color w:val="C7C7C7"/>
          <w:kern w:val="0"/>
          <w:sz w:val="21"/>
          <w:szCs w:val="21"/>
          <w:lang w:eastAsia="pt-BR"/>
          <w14:ligatures w14:val="none"/>
        </w:rPr>
      </w:pPr>
      <w:r w:rsidRPr="00354A05">
        <w:rPr>
          <w:rFonts w:ascii="Google Sans Text" w:eastAsia="Times New Roman" w:hAnsi="Google Sans Text" w:cs="Times New Roman"/>
          <w:b/>
          <w:bCs/>
          <w:color w:val="C7C7C7"/>
          <w:kern w:val="0"/>
          <w:sz w:val="21"/>
          <w:szCs w:val="21"/>
          <w:lang w:eastAsia="pt-BR"/>
          <w14:ligatures w14:val="none"/>
        </w:rPr>
        <w:t>Relator:</w:t>
      </w:r>
      <w:r w:rsidRPr="00354A05">
        <w:rPr>
          <w:rFonts w:ascii="Google Sans Text" w:eastAsia="Times New Roman" w:hAnsi="Google Sans Text" w:cs="Times New Roman"/>
          <w:color w:val="C7C7C7"/>
          <w:kern w:val="0"/>
          <w:sz w:val="21"/>
          <w:szCs w:val="21"/>
          <w:lang w:eastAsia="pt-BR"/>
          <w14:ligatures w14:val="none"/>
        </w:rPr>
        <w:t xml:space="preserve"> O nome do Ministro relator original (</w:t>
      </w:r>
      <w:proofErr w:type="spellStart"/>
      <w:r w:rsidRPr="00354A05">
        <w:rPr>
          <w:rFonts w:ascii="Google Sans Text" w:eastAsia="Times New Roman" w:hAnsi="Google Sans Text" w:cs="Times New Roman"/>
          <w:color w:val="C7C7C7"/>
          <w:kern w:val="0"/>
          <w:sz w:val="21"/>
          <w:szCs w:val="21"/>
          <w:lang w:eastAsia="pt-BR"/>
          <w14:ligatures w14:val="none"/>
        </w:rPr>
        <w:t>ex</w:t>
      </w:r>
      <w:proofErr w:type="spellEnd"/>
      <w:r w:rsidRPr="00354A05">
        <w:rPr>
          <w:rFonts w:ascii="Google Sans Text" w:eastAsia="Times New Roman" w:hAnsi="Google Sans Text" w:cs="Times New Roman"/>
          <w:color w:val="C7C7C7"/>
          <w:kern w:val="0"/>
          <w:sz w:val="21"/>
          <w:szCs w:val="21"/>
          <w:lang w:eastAsia="pt-BR"/>
          <w14:ligatures w14:val="none"/>
        </w:rPr>
        <w:t>: Rel. Min. fulano de tal).</w:t>
      </w:r>
    </w:p>
    <w:p w14:paraId="3CE8B5A1" w14:textId="77777777" w:rsidR="00354A05" w:rsidRPr="00354A05" w:rsidRDefault="00354A05" w:rsidP="00354A05">
      <w:pPr>
        <w:numPr>
          <w:ilvl w:val="0"/>
          <w:numId w:val="2"/>
        </w:numPr>
        <w:shd w:val="clear" w:color="auto" w:fill="22262B"/>
        <w:spacing w:before="100" w:beforeAutospacing="1" w:after="100" w:afterAutospacing="1" w:line="240" w:lineRule="auto"/>
        <w:rPr>
          <w:rFonts w:ascii="Google Sans Text" w:eastAsia="Times New Roman" w:hAnsi="Google Sans Text" w:cs="Times New Roman"/>
          <w:color w:val="C7C7C7"/>
          <w:kern w:val="0"/>
          <w:sz w:val="21"/>
          <w:szCs w:val="21"/>
          <w:lang w:eastAsia="pt-BR"/>
          <w14:ligatures w14:val="none"/>
        </w:rPr>
      </w:pPr>
      <w:r w:rsidRPr="00354A05">
        <w:rPr>
          <w:rFonts w:ascii="Google Sans Text" w:eastAsia="Times New Roman" w:hAnsi="Google Sans Text" w:cs="Times New Roman"/>
          <w:b/>
          <w:bCs/>
          <w:color w:val="C7C7C7"/>
          <w:kern w:val="0"/>
          <w:sz w:val="21"/>
          <w:szCs w:val="21"/>
          <w:lang w:eastAsia="pt-BR"/>
          <w14:ligatures w14:val="none"/>
        </w:rPr>
        <w:t>Relator para o acórdão:</w:t>
      </w:r>
      <w:r w:rsidRPr="00354A05">
        <w:rPr>
          <w:rFonts w:ascii="Google Sans Text" w:eastAsia="Times New Roman" w:hAnsi="Google Sans Text" w:cs="Times New Roman"/>
          <w:color w:val="C7C7C7"/>
          <w:kern w:val="0"/>
          <w:sz w:val="21"/>
          <w:szCs w:val="21"/>
          <w:lang w:eastAsia="pt-BR"/>
          <w14:ligatures w14:val="none"/>
        </w:rPr>
        <w:t xml:space="preserve"> O nome do Ministro relator para o acórdão. Se não houver essa indicação no cabeçalho do julgado, deixe o campo em branco ou preencha com "N/A".</w:t>
      </w:r>
    </w:p>
    <w:p w14:paraId="468CA54C" w14:textId="77777777" w:rsidR="00354A05" w:rsidRPr="00354A05" w:rsidRDefault="00354A05" w:rsidP="00354A05">
      <w:pPr>
        <w:numPr>
          <w:ilvl w:val="0"/>
          <w:numId w:val="2"/>
        </w:numPr>
        <w:shd w:val="clear" w:color="auto" w:fill="22262B"/>
        <w:spacing w:before="100" w:beforeAutospacing="1" w:after="100" w:afterAutospacing="1" w:line="240" w:lineRule="auto"/>
        <w:rPr>
          <w:rFonts w:ascii="Google Sans Text" w:eastAsia="Times New Roman" w:hAnsi="Google Sans Text" w:cs="Times New Roman"/>
          <w:color w:val="C7C7C7"/>
          <w:kern w:val="0"/>
          <w:sz w:val="21"/>
          <w:szCs w:val="21"/>
          <w:lang w:eastAsia="pt-BR"/>
          <w14:ligatures w14:val="none"/>
        </w:rPr>
      </w:pPr>
      <w:r w:rsidRPr="00354A05">
        <w:rPr>
          <w:rFonts w:ascii="Google Sans Text" w:eastAsia="Times New Roman" w:hAnsi="Google Sans Text" w:cs="Times New Roman"/>
          <w:b/>
          <w:bCs/>
          <w:color w:val="C7C7C7"/>
          <w:kern w:val="0"/>
          <w:sz w:val="21"/>
          <w:szCs w:val="21"/>
          <w:lang w:eastAsia="pt-BR"/>
          <w14:ligatures w14:val="none"/>
        </w:rPr>
        <w:t>Número do Tema:</w:t>
      </w:r>
      <w:r w:rsidRPr="00354A05">
        <w:rPr>
          <w:rFonts w:ascii="Google Sans Text" w:eastAsia="Times New Roman" w:hAnsi="Google Sans Text" w:cs="Times New Roman"/>
          <w:color w:val="C7C7C7"/>
          <w:kern w:val="0"/>
          <w:sz w:val="21"/>
          <w:szCs w:val="21"/>
          <w:lang w:eastAsia="pt-BR"/>
          <w14:ligatures w14:val="none"/>
        </w:rPr>
        <w:t xml:space="preserve"> Identifique no texto se o julgado se refere a um Tema de recurso repetitivo ou repercussão geral (composto por números, </w:t>
      </w:r>
      <w:proofErr w:type="spellStart"/>
      <w:r w:rsidRPr="00354A05">
        <w:rPr>
          <w:rFonts w:ascii="Google Sans Text" w:eastAsia="Times New Roman" w:hAnsi="Google Sans Text" w:cs="Times New Roman"/>
          <w:color w:val="C7C7C7"/>
          <w:kern w:val="0"/>
          <w:sz w:val="21"/>
          <w:szCs w:val="21"/>
          <w:lang w:eastAsia="pt-BR"/>
          <w14:ligatures w14:val="none"/>
        </w:rPr>
        <w:t>ex</w:t>
      </w:r>
      <w:proofErr w:type="spellEnd"/>
      <w:r w:rsidRPr="00354A05">
        <w:rPr>
          <w:rFonts w:ascii="Google Sans Text" w:eastAsia="Times New Roman" w:hAnsi="Google Sans Text" w:cs="Times New Roman"/>
          <w:color w:val="C7C7C7"/>
          <w:kern w:val="0"/>
          <w:sz w:val="21"/>
          <w:szCs w:val="21"/>
          <w:lang w:eastAsia="pt-BR"/>
          <w14:ligatures w14:val="none"/>
        </w:rPr>
        <w:t>: Tema 1199, Tema 1226, etc.). Se não for mencionado, deixe em branco.</w:t>
      </w:r>
    </w:p>
    <w:p w14:paraId="1CAE3D36" w14:textId="77777777" w:rsidR="00354A05" w:rsidRPr="00354A05" w:rsidRDefault="00354A05" w:rsidP="00354A05">
      <w:pPr>
        <w:numPr>
          <w:ilvl w:val="0"/>
          <w:numId w:val="2"/>
        </w:numPr>
        <w:shd w:val="clear" w:color="auto" w:fill="22262B"/>
        <w:spacing w:before="100" w:beforeAutospacing="1" w:after="100" w:afterAutospacing="1" w:line="240" w:lineRule="auto"/>
        <w:rPr>
          <w:rFonts w:ascii="Google Sans Text" w:eastAsia="Times New Roman" w:hAnsi="Google Sans Text" w:cs="Times New Roman"/>
          <w:color w:val="C7C7C7"/>
          <w:kern w:val="0"/>
          <w:sz w:val="21"/>
          <w:szCs w:val="21"/>
          <w:lang w:eastAsia="pt-BR"/>
          <w14:ligatures w14:val="none"/>
        </w:rPr>
      </w:pPr>
      <w:r w:rsidRPr="00354A05">
        <w:rPr>
          <w:rFonts w:ascii="Google Sans Text" w:eastAsia="Times New Roman" w:hAnsi="Google Sans Text" w:cs="Times New Roman"/>
          <w:b/>
          <w:bCs/>
          <w:color w:val="C7C7C7"/>
          <w:kern w:val="0"/>
          <w:sz w:val="21"/>
          <w:szCs w:val="21"/>
          <w:lang w:eastAsia="pt-BR"/>
          <w14:ligatures w14:val="none"/>
        </w:rPr>
        <w:t>Ramos do Direito:</w:t>
      </w:r>
      <w:r w:rsidRPr="00354A05">
        <w:rPr>
          <w:rFonts w:ascii="Google Sans Text" w:eastAsia="Times New Roman" w:hAnsi="Google Sans Text" w:cs="Times New Roman"/>
          <w:color w:val="C7C7C7"/>
          <w:kern w:val="0"/>
          <w:sz w:val="21"/>
          <w:szCs w:val="21"/>
          <w:lang w:eastAsia="pt-BR"/>
          <w14:ligatures w14:val="none"/>
        </w:rPr>
        <w:t xml:space="preserve"> Copie o conteúdo exato da seção "RAMO DO DIREITO".</w:t>
      </w:r>
    </w:p>
    <w:p w14:paraId="636F09F8" w14:textId="77777777" w:rsidR="00354A05" w:rsidRPr="00354A05" w:rsidRDefault="00354A05" w:rsidP="00354A05">
      <w:pPr>
        <w:numPr>
          <w:ilvl w:val="0"/>
          <w:numId w:val="2"/>
        </w:numPr>
        <w:shd w:val="clear" w:color="auto" w:fill="22262B"/>
        <w:spacing w:before="100" w:beforeAutospacing="1" w:after="100" w:afterAutospacing="1" w:line="240" w:lineRule="auto"/>
        <w:rPr>
          <w:rFonts w:ascii="Google Sans Text" w:eastAsia="Times New Roman" w:hAnsi="Google Sans Text" w:cs="Times New Roman"/>
          <w:color w:val="C7C7C7"/>
          <w:kern w:val="0"/>
          <w:sz w:val="21"/>
          <w:szCs w:val="21"/>
          <w:lang w:eastAsia="pt-BR"/>
          <w14:ligatures w14:val="none"/>
        </w:rPr>
      </w:pPr>
      <w:r w:rsidRPr="00354A05">
        <w:rPr>
          <w:rFonts w:ascii="Google Sans Text" w:eastAsia="Times New Roman" w:hAnsi="Google Sans Text" w:cs="Times New Roman"/>
          <w:b/>
          <w:bCs/>
          <w:color w:val="C7C7C7"/>
          <w:kern w:val="0"/>
          <w:sz w:val="21"/>
          <w:szCs w:val="21"/>
          <w:lang w:eastAsia="pt-BR"/>
          <w14:ligatures w14:val="none"/>
        </w:rPr>
        <w:t>Tema-Assunto:</w:t>
      </w:r>
      <w:r w:rsidRPr="00354A05">
        <w:rPr>
          <w:rFonts w:ascii="Google Sans Text" w:eastAsia="Times New Roman" w:hAnsi="Google Sans Text" w:cs="Times New Roman"/>
          <w:color w:val="C7C7C7"/>
          <w:kern w:val="0"/>
          <w:sz w:val="21"/>
          <w:szCs w:val="21"/>
          <w:lang w:eastAsia="pt-BR"/>
          <w14:ligatures w14:val="none"/>
        </w:rPr>
        <w:t xml:space="preserve"> Copie o texto descritivo completo que aparece logo após a palavra "TEMA".</w:t>
      </w:r>
    </w:p>
    <w:p w14:paraId="35DE68A1" w14:textId="77777777" w:rsidR="00354A05" w:rsidRPr="00354A05" w:rsidRDefault="00354A05" w:rsidP="00354A05">
      <w:pPr>
        <w:numPr>
          <w:ilvl w:val="0"/>
          <w:numId w:val="2"/>
        </w:numPr>
        <w:shd w:val="clear" w:color="auto" w:fill="22262B"/>
        <w:spacing w:before="100" w:beforeAutospacing="1" w:after="100" w:afterAutospacing="1" w:line="240" w:lineRule="auto"/>
        <w:rPr>
          <w:rFonts w:ascii="Google Sans Text" w:eastAsia="Times New Roman" w:hAnsi="Google Sans Text" w:cs="Times New Roman"/>
          <w:color w:val="C7C7C7"/>
          <w:kern w:val="0"/>
          <w:sz w:val="21"/>
          <w:szCs w:val="21"/>
          <w:lang w:eastAsia="pt-BR"/>
          <w14:ligatures w14:val="none"/>
        </w:rPr>
      </w:pPr>
      <w:r w:rsidRPr="00354A05">
        <w:rPr>
          <w:rFonts w:ascii="Google Sans Text" w:eastAsia="Times New Roman" w:hAnsi="Google Sans Text" w:cs="Times New Roman"/>
          <w:b/>
          <w:bCs/>
          <w:color w:val="C7C7C7"/>
          <w:kern w:val="0"/>
          <w:sz w:val="21"/>
          <w:szCs w:val="21"/>
          <w:lang w:eastAsia="pt-BR"/>
          <w14:ligatures w14:val="none"/>
        </w:rPr>
        <w:t>Destaque:</w:t>
      </w:r>
      <w:r w:rsidRPr="00354A05">
        <w:rPr>
          <w:rFonts w:ascii="Google Sans Text" w:eastAsia="Times New Roman" w:hAnsi="Google Sans Text" w:cs="Times New Roman"/>
          <w:color w:val="C7C7C7"/>
          <w:kern w:val="0"/>
          <w:sz w:val="21"/>
          <w:szCs w:val="21"/>
          <w:lang w:eastAsia="pt-BR"/>
          <w14:ligatures w14:val="none"/>
        </w:rPr>
        <w:t xml:space="preserve"> Copie o texto completo que aparece sob a seção "DESTAQUE".</w:t>
      </w:r>
    </w:p>
    <w:p w14:paraId="3060B3CB" w14:textId="77777777" w:rsidR="00354A05" w:rsidRPr="00354A05" w:rsidRDefault="00354A05" w:rsidP="00354A05">
      <w:pPr>
        <w:numPr>
          <w:ilvl w:val="0"/>
          <w:numId w:val="2"/>
        </w:numPr>
        <w:shd w:val="clear" w:color="auto" w:fill="22262B"/>
        <w:spacing w:before="100" w:beforeAutospacing="1" w:after="100" w:afterAutospacing="1" w:line="240" w:lineRule="auto"/>
        <w:rPr>
          <w:rFonts w:ascii="Google Sans Text" w:eastAsia="Times New Roman" w:hAnsi="Google Sans Text" w:cs="Times New Roman"/>
          <w:color w:val="C7C7C7"/>
          <w:kern w:val="0"/>
          <w:sz w:val="21"/>
          <w:szCs w:val="21"/>
          <w:lang w:eastAsia="pt-BR"/>
          <w14:ligatures w14:val="none"/>
        </w:rPr>
      </w:pPr>
      <w:r w:rsidRPr="00354A05">
        <w:rPr>
          <w:rFonts w:ascii="Google Sans Text" w:eastAsia="Times New Roman" w:hAnsi="Google Sans Text" w:cs="Times New Roman"/>
          <w:b/>
          <w:bCs/>
          <w:color w:val="C7C7C7"/>
          <w:kern w:val="0"/>
          <w:sz w:val="21"/>
          <w:szCs w:val="21"/>
          <w:lang w:eastAsia="pt-BR"/>
          <w14:ligatures w14:val="none"/>
        </w:rPr>
        <w:t>Inteiro Teor:</w:t>
      </w:r>
      <w:r w:rsidRPr="00354A05">
        <w:rPr>
          <w:rFonts w:ascii="Google Sans Text" w:eastAsia="Times New Roman" w:hAnsi="Google Sans Text" w:cs="Times New Roman"/>
          <w:color w:val="C7C7C7"/>
          <w:kern w:val="0"/>
          <w:sz w:val="21"/>
          <w:szCs w:val="21"/>
          <w:lang w:eastAsia="pt-BR"/>
          <w14:ligatures w14:val="none"/>
        </w:rPr>
        <w:t xml:space="preserve"> Extraia o texto contido na seção "INFORMAÇÕES DO INTEIRO TEOR". </w:t>
      </w:r>
      <w:r w:rsidRPr="00354A05">
        <w:rPr>
          <w:rFonts w:ascii="Google Sans Text" w:eastAsia="Times New Roman" w:hAnsi="Google Sans Text" w:cs="Times New Roman"/>
          <w:b/>
          <w:bCs/>
          <w:color w:val="C7C7C7"/>
          <w:kern w:val="0"/>
          <w:sz w:val="21"/>
          <w:szCs w:val="21"/>
          <w:lang w:eastAsia="pt-BR"/>
          <w14:ligatures w14:val="none"/>
        </w:rPr>
        <w:t>REGRA DE FORMATAÇÃO RIGOROSA:</w:t>
      </w:r>
      <w:r w:rsidRPr="00354A05">
        <w:rPr>
          <w:rFonts w:ascii="Google Sans Text" w:eastAsia="Times New Roman" w:hAnsi="Google Sans Text" w:cs="Times New Roman"/>
          <w:color w:val="C7C7C7"/>
          <w:kern w:val="0"/>
          <w:sz w:val="21"/>
          <w:szCs w:val="21"/>
          <w:lang w:eastAsia="pt-BR"/>
          <w14:ligatures w14:val="none"/>
        </w:rPr>
        <w:t xml:space="preserve"> Você deve obrigatoriamente manter a formatação original de parágrafos e quebras de linha.</w:t>
      </w:r>
    </w:p>
    <w:p w14:paraId="08DE3B48" w14:textId="77777777" w:rsidR="00354A05" w:rsidRPr="00354A05" w:rsidRDefault="00354A05" w:rsidP="00354A05">
      <w:pPr>
        <w:spacing w:after="0" w:line="240" w:lineRule="auto"/>
        <w:rPr>
          <w:rFonts w:ascii="Times New Roman" w:eastAsia="Times New Roman" w:hAnsi="Times New Roman" w:cs="Times New Roman"/>
          <w:kern w:val="0"/>
          <w:lang w:eastAsia="pt-BR"/>
          <w14:ligatures w14:val="none"/>
        </w:rPr>
      </w:pPr>
      <w:r w:rsidRPr="00354A05">
        <w:rPr>
          <w:rFonts w:ascii="Times New Roman" w:eastAsia="Times New Roman" w:hAnsi="Times New Roman" w:cs="Times New Roman"/>
          <w:b/>
          <w:bCs/>
          <w:kern w:val="0"/>
          <w:lang w:eastAsia="pt-BR"/>
          <w14:ligatures w14:val="none"/>
        </w:rPr>
        <w:t>REGRAS DE EXCLUSÃO (O QUE NÃO EXTRAIR):</w:t>
      </w:r>
      <w:r w:rsidRPr="00354A05">
        <w:rPr>
          <w:rFonts w:ascii="Times New Roman" w:eastAsia="Times New Roman" w:hAnsi="Times New Roman" w:cs="Times New Roman"/>
          <w:kern w:val="0"/>
          <w:lang w:eastAsia="pt-BR"/>
          <w14:ligatures w14:val="none"/>
        </w:rPr>
        <w:t xml:space="preserve"> Interrompa a extração do julgado imediatamente ao chegar ao fim do Inteiro Teor. </w:t>
      </w:r>
      <w:r w:rsidRPr="00354A05">
        <w:rPr>
          <w:rFonts w:ascii="Times New Roman" w:eastAsia="Times New Roman" w:hAnsi="Times New Roman" w:cs="Times New Roman"/>
          <w:b/>
          <w:bCs/>
          <w:kern w:val="0"/>
          <w:lang w:eastAsia="pt-BR"/>
          <w14:ligatures w14:val="none"/>
        </w:rPr>
        <w:t>NÃO extraia</w:t>
      </w:r>
      <w:r w:rsidRPr="00354A05">
        <w:rPr>
          <w:rFonts w:ascii="Times New Roman" w:eastAsia="Times New Roman" w:hAnsi="Times New Roman" w:cs="Times New Roman"/>
          <w:kern w:val="0"/>
          <w:lang w:eastAsia="pt-BR"/>
          <w14:ligatures w14:val="none"/>
        </w:rPr>
        <w:t xml:space="preserve"> as seções "INFORMAÇÕES ADICIONAIS", "LEGISLAÇÃO", "PRECEDENTES QUALIFICADOS", "SAIBA MAIS", "ÁUDIO DO TEXTO", "VÍDEO DO JULGAMENTO" ou equivalentes.</w:t>
      </w:r>
    </w:p>
    <w:p w14:paraId="5094E60A" w14:textId="77777777" w:rsidR="00354A05" w:rsidRPr="00354A05" w:rsidRDefault="00354A05" w:rsidP="00354A05">
      <w:pPr>
        <w:spacing w:after="0" w:line="240" w:lineRule="auto"/>
        <w:rPr>
          <w:rFonts w:ascii="Times New Roman" w:eastAsia="Times New Roman" w:hAnsi="Times New Roman" w:cs="Times New Roman"/>
          <w:kern w:val="0"/>
          <w:lang w:eastAsia="pt-BR"/>
          <w14:ligatures w14:val="none"/>
        </w:rPr>
      </w:pPr>
      <w:r w:rsidRPr="00354A05">
        <w:rPr>
          <w:rFonts w:ascii="Times New Roman" w:eastAsia="Times New Roman" w:hAnsi="Times New Roman" w:cs="Times New Roman"/>
          <w:b/>
          <w:bCs/>
          <w:kern w:val="0"/>
          <w:lang w:eastAsia="pt-BR"/>
          <w14:ligatures w14:val="none"/>
        </w:rPr>
        <w:t>FORMATO DE SAÍDA:</w:t>
      </w:r>
      <w:r w:rsidRPr="00354A05">
        <w:rPr>
          <w:rFonts w:ascii="Times New Roman" w:eastAsia="Times New Roman" w:hAnsi="Times New Roman" w:cs="Times New Roman"/>
          <w:kern w:val="0"/>
          <w:lang w:eastAsia="pt-BR"/>
          <w14:ligatures w14:val="none"/>
        </w:rPr>
        <w:t xml:space="preserve"> Apresente o resultado no formato </w:t>
      </w:r>
      <w:proofErr w:type="spellStart"/>
      <w:r w:rsidRPr="00354A05">
        <w:rPr>
          <w:rFonts w:ascii="Times New Roman" w:eastAsia="Times New Roman" w:hAnsi="Times New Roman" w:cs="Times New Roman"/>
          <w:kern w:val="0"/>
          <w:lang w:eastAsia="pt-BR"/>
          <w14:ligatures w14:val="none"/>
        </w:rPr>
        <w:t>Markdown</w:t>
      </w:r>
      <w:proofErr w:type="spellEnd"/>
      <w:r w:rsidRPr="00354A05">
        <w:rPr>
          <w:rFonts w:ascii="Times New Roman" w:eastAsia="Times New Roman" w:hAnsi="Times New Roman" w:cs="Times New Roman"/>
          <w:kern w:val="0"/>
          <w:lang w:eastAsia="pt-BR"/>
          <w14:ligatures w14:val="none"/>
        </w:rPr>
        <w:t xml:space="preserve"> estruturado (ou JSON, se preferir), separando cada julgado claramente para facilitar a cópia para o meu site.</w:t>
      </w:r>
    </w:p>
    <w:p w14:paraId="7B49DFE7" w14:textId="77777777" w:rsidR="00354A05" w:rsidRPr="00354A05" w:rsidRDefault="00354A05" w:rsidP="00354A05">
      <w:pPr>
        <w:spacing w:after="0" w:line="240" w:lineRule="auto"/>
        <w:rPr>
          <w:rFonts w:ascii="Times New Roman" w:eastAsia="Times New Roman" w:hAnsi="Times New Roman" w:cs="Times New Roman"/>
          <w:kern w:val="0"/>
          <w:lang w:eastAsia="pt-BR"/>
          <w14:ligatures w14:val="none"/>
        </w:rPr>
      </w:pPr>
      <w:r w:rsidRPr="00354A05">
        <w:rPr>
          <w:rFonts w:ascii="Times New Roman" w:eastAsia="Times New Roman" w:hAnsi="Times New Roman" w:cs="Times New Roman"/>
          <w:kern w:val="0"/>
          <w:lang w:eastAsia="pt-BR"/>
          <w14:ligatures w14:val="none"/>
        </w:rPr>
        <w:t xml:space="preserve">-------------------------------------------------------------------------------- </w:t>
      </w:r>
    </w:p>
    <w:p w14:paraId="5C1F8BB0" w14:textId="77777777" w:rsidR="00354A05" w:rsidRPr="00354A05" w:rsidRDefault="00354A05" w:rsidP="00354A05">
      <w:pPr>
        <w:spacing w:after="0" w:line="240" w:lineRule="auto"/>
        <w:rPr>
          <w:rFonts w:ascii="Times New Roman" w:eastAsia="Times New Roman" w:hAnsi="Times New Roman" w:cs="Times New Roman"/>
          <w:kern w:val="0"/>
          <w:lang w:eastAsia="pt-BR"/>
          <w14:ligatures w14:val="none"/>
        </w:rPr>
      </w:pPr>
    </w:p>
    <w:p w14:paraId="75A3254E" w14:textId="77777777" w:rsidR="00026E6C" w:rsidRDefault="00026E6C" w:rsidP="00026E6C">
      <w:pPr>
        <w:pStyle w:val="NormalWeb"/>
        <w:numPr>
          <w:ilvl w:val="0"/>
          <w:numId w:val="3"/>
        </w:numPr>
      </w:pPr>
      <w:r>
        <w:rPr>
          <w:rStyle w:val="Forte"/>
          <w:rFonts w:eastAsiaTheme="majorEastAsia"/>
        </w:rPr>
        <w:t>Número do Processo:</w:t>
      </w:r>
      <w:r>
        <w:t xml:space="preserve"> Processo em segredo de justiça.</w:t>
      </w:r>
    </w:p>
    <w:p w14:paraId="0EDB1EC5" w14:textId="77777777" w:rsidR="00026E6C" w:rsidRDefault="00026E6C" w:rsidP="00026E6C">
      <w:pPr>
        <w:pStyle w:val="NormalWeb"/>
        <w:numPr>
          <w:ilvl w:val="0"/>
          <w:numId w:val="3"/>
        </w:numPr>
      </w:pPr>
      <w:r>
        <w:rPr>
          <w:rStyle w:val="Forte"/>
          <w:rFonts w:eastAsiaTheme="majorEastAsia"/>
        </w:rPr>
        <w:t>Relator:</w:t>
      </w:r>
      <w:r>
        <w:t xml:space="preserve"> Min. Og Fernandes.</w:t>
      </w:r>
    </w:p>
    <w:p w14:paraId="07382198" w14:textId="77777777" w:rsidR="00026E6C" w:rsidRDefault="00026E6C" w:rsidP="00026E6C">
      <w:pPr>
        <w:pStyle w:val="NormalWeb"/>
        <w:numPr>
          <w:ilvl w:val="0"/>
          <w:numId w:val="3"/>
        </w:numPr>
      </w:pPr>
      <w:r>
        <w:rPr>
          <w:rStyle w:val="Forte"/>
          <w:rFonts w:eastAsiaTheme="majorEastAsia"/>
        </w:rPr>
        <w:t>Relator para o acórdão:</w:t>
      </w:r>
      <w:r>
        <w:t xml:space="preserve"> N/A.</w:t>
      </w:r>
    </w:p>
    <w:p w14:paraId="0F6D7646" w14:textId="77777777" w:rsidR="00026E6C" w:rsidRDefault="00026E6C" w:rsidP="00026E6C">
      <w:pPr>
        <w:pStyle w:val="NormalWeb"/>
        <w:numPr>
          <w:ilvl w:val="0"/>
          <w:numId w:val="3"/>
        </w:numPr>
      </w:pPr>
      <w:r>
        <w:rPr>
          <w:rStyle w:val="Forte"/>
          <w:rFonts w:eastAsiaTheme="majorEastAsia"/>
        </w:rPr>
        <w:t xml:space="preserve">Número do </w:t>
      </w:r>
      <w:proofErr w:type="gramStart"/>
      <w:r>
        <w:rPr>
          <w:rStyle w:val="Forte"/>
          <w:rFonts w:eastAsiaTheme="majorEastAsia"/>
        </w:rPr>
        <w:t>Tema:</w:t>
      </w:r>
      <w:r>
        <w:t>.</w:t>
      </w:r>
      <w:proofErr w:type="gramEnd"/>
    </w:p>
    <w:p w14:paraId="755F1BCA" w14:textId="77777777" w:rsidR="00026E6C" w:rsidRDefault="00026E6C" w:rsidP="00026E6C">
      <w:pPr>
        <w:pStyle w:val="NormalWeb"/>
        <w:numPr>
          <w:ilvl w:val="0"/>
          <w:numId w:val="3"/>
        </w:numPr>
      </w:pPr>
      <w:r>
        <w:rPr>
          <w:rStyle w:val="Forte"/>
          <w:rFonts w:eastAsiaTheme="majorEastAsia"/>
        </w:rPr>
        <w:t>Ramos do Direito:</w:t>
      </w:r>
      <w:r>
        <w:t xml:space="preserve"> DIREITO CIVIL, DIREITO INTERNACIONAL, DIREITO PROCESSUAL CIVIL.</w:t>
      </w:r>
    </w:p>
    <w:p w14:paraId="5CBA15B5" w14:textId="77777777" w:rsidR="00026E6C" w:rsidRDefault="00026E6C" w:rsidP="00026E6C">
      <w:pPr>
        <w:pStyle w:val="NormalWeb"/>
        <w:numPr>
          <w:ilvl w:val="0"/>
          <w:numId w:val="3"/>
        </w:numPr>
      </w:pPr>
      <w:r>
        <w:rPr>
          <w:rStyle w:val="Forte"/>
          <w:rFonts w:eastAsiaTheme="majorEastAsia"/>
        </w:rPr>
        <w:t>Tema-Assunto:</w:t>
      </w:r>
      <w:r>
        <w:t xml:space="preserve"> Homologação de decisão estrangeira. Ato notarial estrangeiro. Testamento particular e partilha de bens situados no Brasil. Matéria reservada à jurisdição brasileira. Pedido de homologação. Inviabilidade.</w:t>
      </w:r>
    </w:p>
    <w:p w14:paraId="69DFAE39" w14:textId="77777777" w:rsidR="00026E6C" w:rsidRDefault="00026E6C" w:rsidP="00026E6C">
      <w:pPr>
        <w:pStyle w:val="NormalWeb"/>
        <w:numPr>
          <w:ilvl w:val="0"/>
          <w:numId w:val="3"/>
        </w:numPr>
      </w:pPr>
      <w:r>
        <w:rPr>
          <w:rStyle w:val="Forte"/>
          <w:rFonts w:eastAsiaTheme="majorEastAsia"/>
        </w:rPr>
        <w:t>Destaque:</w:t>
      </w:r>
      <w:r>
        <w:t xml:space="preserve"> A homologação de ato notarial estrangeiro que versa sobre bens situados no Brasil contraria o art. 964 do CPC, que veda a homologação de </w:t>
      </w:r>
      <w:r>
        <w:lastRenderedPageBreak/>
        <w:t>decisões estrangeiras em hipóteses de competência exclusiva da jurisdição nacional.</w:t>
      </w:r>
    </w:p>
    <w:p w14:paraId="452BA902" w14:textId="77777777" w:rsidR="00026E6C" w:rsidRDefault="00026E6C" w:rsidP="00026E6C">
      <w:pPr>
        <w:pStyle w:val="NormalWeb"/>
        <w:numPr>
          <w:ilvl w:val="0"/>
          <w:numId w:val="3"/>
        </w:numPr>
      </w:pPr>
      <w:r>
        <w:rPr>
          <w:rStyle w:val="Forte"/>
          <w:rFonts w:eastAsiaTheme="majorEastAsia"/>
        </w:rPr>
        <w:t>Inteiro Teor:</w:t>
      </w:r>
      <w:r>
        <w:t xml:space="preserve"> O caso concreto trata de recurso contra decisão que indeferiu o pedido de homologação de ato extrajudicial praticado por tabelião francês consistente no registro da declaração de espólio e na lavratura de ata de execução de testamento, compreendendo a partilha de bens situados no Brasil. A homologação de sentenças estrangeiras no Brasil, prevista nos </w:t>
      </w:r>
      <w:proofErr w:type="spellStart"/>
      <w:r>
        <w:t>arts</w:t>
      </w:r>
      <w:proofErr w:type="spellEnd"/>
      <w:r>
        <w:t xml:space="preserve">. 105, I, i, da Constituição Federal, 15 e 17 da LINDB, 960 a 965 do Código de Processo Civil (CPC) e 216-A a 216-N do Regimento Interno do Superior Tribunal de Justiça, exige, além do atendimento de requisitos formais (documentação, tradução juramentada, chancela consular, competência da autoridade prolatora, citação ou revelia, trânsito em julgado), que não haja ofensa à soberania nacional, à dignidade da pessoa humana ou à ordem pública. Na hipótese, todavia, o pedido envolve a homologação de atos notariais estrangeiros que importam diretamente a confirmação de testamento </w:t>
      </w:r>
      <w:proofErr w:type="spellStart"/>
      <w:r>
        <w:t>hológrafo</w:t>
      </w:r>
      <w:proofErr w:type="spellEnd"/>
      <w:r>
        <w:t xml:space="preserve"> e a partilha de bens situados no Brasil. A matéria encontra-se sob reserva de jurisdição, sendo de competência exclusiva da jurisdição brasileira, nos termos do art. 23, II, do CPC, o que, por si só, inviabiliza o pleito homologatório, nos termos do art. 964 do CPC. Com efeito, consoante disposto na legislação de regência, compete exclusivamente à autoridade judiciária nacional proceder à confirmação de testamento particular, ao inventário e à partilha de bens situados no Brasil, ainda que o autor da herança seja estrangeiro ou resida no exterior. Portanto, a eficácia de disposições testamentárias que recaiam sobre patrimônio situado no Brasil depende de controle jurisdicional interno, em respeito à ordem pública e à soberania nacional. De igual modo, a alegação de consenso entre as herdeiras não tem o condão de afastar o controle jurisdicional incidente sobre o testamento </w:t>
      </w:r>
      <w:proofErr w:type="spellStart"/>
      <w:r>
        <w:t>hológrafo</w:t>
      </w:r>
      <w:proofErr w:type="spellEnd"/>
      <w:r>
        <w:t xml:space="preserve">. Eventual acordo poderá ser validamente submetido ao juízo nacional competente, que avaliará a regularidade formal do testamento e, a partir daí, a </w:t>
      </w:r>
      <w:proofErr w:type="spellStart"/>
      <w:r>
        <w:t>possibility</w:t>
      </w:r>
      <w:proofErr w:type="spellEnd"/>
      <w:r>
        <w:t xml:space="preserve"> de inventário e partilha, seja judicial ou extrajudicial. Ademais, o próprio Código Civil estabelece regramento específico quanto à abertura e ao registro judicial do testamento particular (</w:t>
      </w:r>
      <w:proofErr w:type="spellStart"/>
      <w:r>
        <w:t>arts</w:t>
      </w:r>
      <w:proofErr w:type="spellEnd"/>
      <w:r>
        <w:t>. 1.876 e seguintes), prevendo expressamente, no art. 1.877, que "morto o testador, publicar-se-á em juízo o testamento, com citação dos herdeiros legítimos". Dessa forma, a homologação de ato notarial estrangeiro não pode substituir o devido processo perante a jurisdição brasileira.</w:t>
      </w:r>
    </w:p>
    <w:p w14:paraId="36FF8592" w14:textId="77777777" w:rsidR="00026E6C" w:rsidRDefault="00026E6C" w:rsidP="00026E6C">
      <w:pPr>
        <w:pStyle w:val="NormalWeb"/>
        <w:numPr>
          <w:ilvl w:val="0"/>
          <w:numId w:val="3"/>
        </w:numPr>
      </w:pPr>
      <w:r>
        <w:rPr>
          <w:rStyle w:val="Forte"/>
          <w:rFonts w:eastAsiaTheme="majorEastAsia"/>
        </w:rPr>
        <w:t>Número do Processo:</w:t>
      </w:r>
      <w:r>
        <w:t xml:space="preserve"> </w:t>
      </w:r>
      <w:proofErr w:type="spellStart"/>
      <w:r>
        <w:t>AREsp</w:t>
      </w:r>
      <w:proofErr w:type="spellEnd"/>
      <w:r>
        <w:t xml:space="preserve"> 2.642.744-RJ.</w:t>
      </w:r>
    </w:p>
    <w:p w14:paraId="03B415B3" w14:textId="77777777" w:rsidR="00026E6C" w:rsidRDefault="00026E6C" w:rsidP="00026E6C">
      <w:pPr>
        <w:pStyle w:val="NormalWeb"/>
        <w:numPr>
          <w:ilvl w:val="0"/>
          <w:numId w:val="3"/>
        </w:numPr>
      </w:pPr>
      <w:r>
        <w:rPr>
          <w:rStyle w:val="Forte"/>
          <w:rFonts w:eastAsiaTheme="majorEastAsia"/>
        </w:rPr>
        <w:t>Relator:</w:t>
      </w:r>
      <w:r>
        <w:t xml:space="preserve"> Min. Gurgel de Faria.</w:t>
      </w:r>
    </w:p>
    <w:p w14:paraId="2EB11778" w14:textId="77777777" w:rsidR="00026E6C" w:rsidRDefault="00026E6C" w:rsidP="00026E6C">
      <w:pPr>
        <w:pStyle w:val="NormalWeb"/>
        <w:numPr>
          <w:ilvl w:val="0"/>
          <w:numId w:val="3"/>
        </w:numPr>
      </w:pPr>
      <w:r>
        <w:rPr>
          <w:rStyle w:val="Forte"/>
          <w:rFonts w:eastAsiaTheme="majorEastAsia"/>
        </w:rPr>
        <w:t>Relator para o acórdão:</w:t>
      </w:r>
      <w:r>
        <w:t xml:space="preserve"> N/A.</w:t>
      </w:r>
    </w:p>
    <w:p w14:paraId="5ADE2D36" w14:textId="77777777" w:rsidR="00026E6C" w:rsidRDefault="00026E6C" w:rsidP="00026E6C">
      <w:pPr>
        <w:pStyle w:val="NormalWeb"/>
        <w:numPr>
          <w:ilvl w:val="0"/>
          <w:numId w:val="3"/>
        </w:numPr>
      </w:pPr>
      <w:r>
        <w:rPr>
          <w:rStyle w:val="Forte"/>
          <w:rFonts w:eastAsiaTheme="majorEastAsia"/>
        </w:rPr>
        <w:t>Número do Tema:</w:t>
      </w:r>
      <w:r>
        <w:t xml:space="preserve"> Tema 1199.</w:t>
      </w:r>
    </w:p>
    <w:p w14:paraId="1879498F" w14:textId="77777777" w:rsidR="00026E6C" w:rsidRDefault="00026E6C" w:rsidP="00026E6C">
      <w:pPr>
        <w:pStyle w:val="NormalWeb"/>
        <w:numPr>
          <w:ilvl w:val="0"/>
          <w:numId w:val="3"/>
        </w:numPr>
      </w:pPr>
      <w:r>
        <w:rPr>
          <w:rStyle w:val="Forte"/>
          <w:rFonts w:eastAsiaTheme="majorEastAsia"/>
        </w:rPr>
        <w:t>Ramos do Direito:</w:t>
      </w:r>
      <w:r>
        <w:t xml:space="preserve"> DIREITO ADMINISTRATIVO.</w:t>
      </w:r>
    </w:p>
    <w:p w14:paraId="0007BDBB" w14:textId="77777777" w:rsidR="00026E6C" w:rsidRDefault="00026E6C" w:rsidP="00026E6C">
      <w:pPr>
        <w:pStyle w:val="NormalWeb"/>
        <w:numPr>
          <w:ilvl w:val="0"/>
          <w:numId w:val="3"/>
        </w:numPr>
      </w:pPr>
      <w:r>
        <w:rPr>
          <w:rStyle w:val="Forte"/>
          <w:rFonts w:eastAsiaTheme="majorEastAsia"/>
        </w:rPr>
        <w:t>Tema-Assunto:</w:t>
      </w:r>
      <w:r>
        <w:t xml:space="preserve"> Processo administrativo sancionador. Aplicabilidade da continuidade delitiva às infrações administrativas. Necessidade de previsão legal expressa. Interpretação do Tema n. 1199/STF.</w:t>
      </w:r>
    </w:p>
    <w:p w14:paraId="44066D0D" w14:textId="77777777" w:rsidR="00026E6C" w:rsidRDefault="00026E6C" w:rsidP="00026E6C">
      <w:pPr>
        <w:pStyle w:val="NormalWeb"/>
        <w:numPr>
          <w:ilvl w:val="0"/>
          <w:numId w:val="3"/>
        </w:numPr>
      </w:pPr>
      <w:r>
        <w:rPr>
          <w:rStyle w:val="Forte"/>
          <w:rFonts w:eastAsiaTheme="majorEastAsia"/>
        </w:rPr>
        <w:t>Destaque:</w:t>
      </w:r>
      <w:r>
        <w:t xml:space="preserve"> A aplicação da continuidade delitiva ou de outros institutos do Direito Penal às infrações administrativas somente é admitida quando houver previsão expressa em lei.</w:t>
      </w:r>
    </w:p>
    <w:p w14:paraId="45925574" w14:textId="77777777" w:rsidR="00026E6C" w:rsidRDefault="00026E6C" w:rsidP="00026E6C">
      <w:pPr>
        <w:pStyle w:val="NormalWeb"/>
        <w:numPr>
          <w:ilvl w:val="0"/>
          <w:numId w:val="3"/>
        </w:numPr>
      </w:pPr>
      <w:r>
        <w:rPr>
          <w:rStyle w:val="Forte"/>
          <w:rFonts w:eastAsiaTheme="majorEastAsia"/>
        </w:rPr>
        <w:t>Inteiro Teor:</w:t>
      </w:r>
      <w:r>
        <w:t xml:space="preserve"> A questão central a ser dirimida consiste na possibilidade de aplicação do instituto da continuidade delitiva, previsto no art. 71 do Código Penal, às infrações administrativas. Inicialmente, impõe-se destacar que a legislação administrativa aplicável ao caso concreto, a Lei n. 9.933/1999, que </w:t>
      </w:r>
      <w:r>
        <w:lastRenderedPageBreak/>
        <w:t xml:space="preserve">dispõe sobre as competências do </w:t>
      </w:r>
      <w:proofErr w:type="spellStart"/>
      <w:r>
        <w:t>Conmetro</w:t>
      </w:r>
      <w:proofErr w:type="spellEnd"/>
      <w:r>
        <w:t xml:space="preserve"> e do Inmetro, dentre outras providências, não disciplina expressamente a continuidade infracional. Nesse contexto, surge a necessidade de avaliar se, apesar da ausência de previsão expressa na legislação administrativa, seria legítima a aplicação de um instituto do Direito Penal, como a continuidade delitiva, às infrações administrativas. É certo que o Superior Tribunal de Justiça vinha compreendendo pela possibilidade, em tese, de aplicação da regra da continuidade delitiva no âmbito das infrações administrativas, notadamente quando as diversas irregularidades de igual natureza eram apuradas na mesma ação fiscalizatória (</w:t>
      </w:r>
      <w:proofErr w:type="spellStart"/>
      <w:r>
        <w:t>AgInt</w:t>
      </w:r>
      <w:proofErr w:type="spellEnd"/>
      <w:r>
        <w:t xml:space="preserve"> no </w:t>
      </w:r>
      <w:proofErr w:type="spellStart"/>
      <w:r>
        <w:t>AREsp</w:t>
      </w:r>
      <w:proofErr w:type="spellEnd"/>
      <w:r>
        <w:t xml:space="preserve"> n. 1.356.452/RJ, Rel. Ministro Sérgio </w:t>
      </w:r>
      <w:proofErr w:type="spellStart"/>
      <w:r>
        <w:t>Kukina</w:t>
      </w:r>
      <w:proofErr w:type="spellEnd"/>
      <w:r>
        <w:t xml:space="preserve">, Primeira Turma, julgado em 9/2/2021, </w:t>
      </w:r>
      <w:proofErr w:type="spellStart"/>
      <w:r>
        <w:t>DJe</w:t>
      </w:r>
      <w:proofErr w:type="spellEnd"/>
      <w:r>
        <w:t xml:space="preserve"> de 17/2/2021; e </w:t>
      </w:r>
      <w:proofErr w:type="spellStart"/>
      <w:r>
        <w:t>AgInt</w:t>
      </w:r>
      <w:proofErr w:type="spellEnd"/>
      <w:r>
        <w:t xml:space="preserve"> no REsp n. 1.666.784/RJ, Rel. Ministro Francisco Falcão, Segunda Turma, julgado em 15/3/2018, </w:t>
      </w:r>
      <w:proofErr w:type="spellStart"/>
      <w:r>
        <w:t>DJe</w:t>
      </w:r>
      <w:proofErr w:type="spellEnd"/>
      <w:r>
        <w:t xml:space="preserve"> de 21/3/2018). Nesse sentido, o Tribunal de origem assentou que o instituto da continuidade delitiva, previsto no art. 71 do Código Penal, deve ser aplicado analogicamente às infrações administrativas quando houver unidade de desígnios entre as condutas, bem como identidade de natureza e circunstâncias fáticas. Todavia, o Supremo Tribunal Federal, no julgamento do Tema 1.199/STF, estabeleceu, em matéria sancionadora, a compreensão de que a aplicação de institutos do Direito Penal é admitida apenas quando houver previsão expressa em lei. Entendeu-se que, ausente previsão específica na legislação pertinente, não se pode presumir a existência de mecanismos atenuadores da responsabilidade administrativa. Isto é, se não houver previsão legal, não há como aplicar ao Direito Administrativo o instituto radicado no Direito Penal. Nesse contexto, não se mostra lógico que a compreensão do STF, mais restritiva, firmada em precedente obrigatório, seja aplicada em demandas relativas à improbidade administrativa - cuja sanção é muito mais grave e com consequências mais próximas às do Direito Penal -, e deixe de ser aplicada em demandas relacionadas a infrações puramente administrativas, como fiscalização metrológica, como no caso em exame. Saliente-se que, recentemente, a Primeira Turma do STJ analisou a aplicação da continuidade delitiva em processo administrativo sancionador, ao julgar o REsp n. 2.087.667/RJ, relatado pelo Ministro Sérgio </w:t>
      </w:r>
      <w:proofErr w:type="spellStart"/>
      <w:r>
        <w:t>Kukina</w:t>
      </w:r>
      <w:proofErr w:type="spellEnd"/>
      <w:r>
        <w:t>, concluindo, na ocasião, pela sua possibilidade. Entretanto, aquele caso difere do presente, pois ali existia legislação administrativa específica que autorizava expressamente a aplicação do instituto, circunstância que não se verifica na situação atual sob análise. Assim, considerando a necessidade de manutenção de coerência com a razão trazida no precedente obrigatório do STF (Tema 1199/STF) e a inexistência de disposição normativa expressa que, no caso, autorize a aplicação do instituto da continuidade delitiva às infrações administrativas em análise, a adoção deste instituto configuraria indevida ampliação dos limites normativos impostos pelo legislador, em afronta ao princípio da legalidade estrita, que rege o Direito Administrativo Sancionador.</w:t>
      </w:r>
    </w:p>
    <w:p w14:paraId="3991A096" w14:textId="77777777" w:rsidR="00EC5BD0" w:rsidRDefault="00EC5BD0"/>
    <w:sectPr w:rsidR="00EC5B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Tex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277C9"/>
    <w:multiLevelType w:val="multilevel"/>
    <w:tmpl w:val="434E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EC2C08"/>
    <w:multiLevelType w:val="multilevel"/>
    <w:tmpl w:val="A29E0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310C99"/>
    <w:multiLevelType w:val="multilevel"/>
    <w:tmpl w:val="07D4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182417">
    <w:abstractNumId w:val="1"/>
  </w:num>
  <w:num w:numId="2" w16cid:durableId="1533764581">
    <w:abstractNumId w:val="2"/>
  </w:num>
  <w:num w:numId="3" w16cid:durableId="935022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A05"/>
    <w:rsid w:val="00026E6C"/>
    <w:rsid w:val="00140843"/>
    <w:rsid w:val="002A7868"/>
    <w:rsid w:val="00354A05"/>
    <w:rsid w:val="009A109B"/>
    <w:rsid w:val="00A71711"/>
    <w:rsid w:val="00EC5B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C500A76"/>
  <w15:chartTrackingRefBased/>
  <w15:docId w15:val="{3C7992CD-AB7A-F54A-AE2B-2FEC00C45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54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54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54A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54A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54A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54A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54A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54A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54A0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54A0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54A0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54A0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54A0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54A0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54A0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54A0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54A0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54A05"/>
    <w:rPr>
      <w:rFonts w:eastAsiaTheme="majorEastAsia" w:cstheme="majorBidi"/>
      <w:color w:val="272727" w:themeColor="text1" w:themeTint="D8"/>
    </w:rPr>
  </w:style>
  <w:style w:type="paragraph" w:styleId="Ttulo">
    <w:name w:val="Title"/>
    <w:basedOn w:val="Normal"/>
    <w:next w:val="Normal"/>
    <w:link w:val="TtuloChar"/>
    <w:uiPriority w:val="10"/>
    <w:qFormat/>
    <w:rsid w:val="00354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54A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54A0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54A0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54A05"/>
    <w:pPr>
      <w:spacing w:before="160"/>
      <w:jc w:val="center"/>
    </w:pPr>
    <w:rPr>
      <w:i/>
      <w:iCs/>
      <w:color w:val="404040" w:themeColor="text1" w:themeTint="BF"/>
    </w:rPr>
  </w:style>
  <w:style w:type="character" w:customStyle="1" w:styleId="CitaoChar">
    <w:name w:val="Citação Char"/>
    <w:basedOn w:val="Fontepargpadro"/>
    <w:link w:val="Citao"/>
    <w:uiPriority w:val="29"/>
    <w:rsid w:val="00354A05"/>
    <w:rPr>
      <w:i/>
      <w:iCs/>
      <w:color w:val="404040" w:themeColor="text1" w:themeTint="BF"/>
    </w:rPr>
  </w:style>
  <w:style w:type="paragraph" w:styleId="PargrafodaLista">
    <w:name w:val="List Paragraph"/>
    <w:basedOn w:val="Normal"/>
    <w:uiPriority w:val="34"/>
    <w:qFormat/>
    <w:rsid w:val="00354A05"/>
    <w:pPr>
      <w:ind w:left="720"/>
      <w:contextualSpacing/>
    </w:pPr>
  </w:style>
  <w:style w:type="character" w:styleId="nfaseIntensa">
    <w:name w:val="Intense Emphasis"/>
    <w:basedOn w:val="Fontepargpadro"/>
    <w:uiPriority w:val="21"/>
    <w:qFormat/>
    <w:rsid w:val="00354A05"/>
    <w:rPr>
      <w:i/>
      <w:iCs/>
      <w:color w:val="0F4761" w:themeColor="accent1" w:themeShade="BF"/>
    </w:rPr>
  </w:style>
  <w:style w:type="paragraph" w:styleId="CitaoIntensa">
    <w:name w:val="Intense Quote"/>
    <w:basedOn w:val="Normal"/>
    <w:next w:val="Normal"/>
    <w:link w:val="CitaoIntensaChar"/>
    <w:uiPriority w:val="30"/>
    <w:qFormat/>
    <w:rsid w:val="00354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54A05"/>
    <w:rPr>
      <w:i/>
      <w:iCs/>
      <w:color w:val="0F4761" w:themeColor="accent1" w:themeShade="BF"/>
    </w:rPr>
  </w:style>
  <w:style w:type="character" w:styleId="RefernciaIntensa">
    <w:name w:val="Intense Reference"/>
    <w:basedOn w:val="Fontepargpadro"/>
    <w:uiPriority w:val="32"/>
    <w:qFormat/>
    <w:rsid w:val="00354A05"/>
    <w:rPr>
      <w:b/>
      <w:bCs/>
      <w:smallCaps/>
      <w:color w:val="0F4761" w:themeColor="accent1" w:themeShade="BF"/>
      <w:spacing w:val="5"/>
    </w:rPr>
  </w:style>
  <w:style w:type="character" w:customStyle="1" w:styleId="ng-star-inserted">
    <w:name w:val="ng-star-inserted"/>
    <w:basedOn w:val="Fontepargpadro"/>
    <w:rsid w:val="00354A05"/>
  </w:style>
  <w:style w:type="paragraph" w:customStyle="1" w:styleId="paragraph">
    <w:name w:val="paragraph"/>
    <w:basedOn w:val="Normal"/>
    <w:rsid w:val="00354A05"/>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026E6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026E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1380</Words>
  <Characters>7886</Characters>
  <Application>Microsoft Office Word</Application>
  <DocSecurity>0</DocSecurity>
  <Lines>151</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Thomaz Drumond</dc:creator>
  <cp:keywords/>
  <dc:description/>
  <cp:lastModifiedBy>Thomaz Drumond</cp:lastModifiedBy>
  <cp:revision>2</cp:revision>
  <dcterms:created xsi:type="dcterms:W3CDTF">2026-03-04T20:57:00Z</dcterms:created>
  <dcterms:modified xsi:type="dcterms:W3CDTF">2026-03-04T21:20:00Z</dcterms:modified>
</cp:coreProperties>
</file>