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22"/>
        <w:numPr>
          <w:ilvl w:val="0"/>
          <w:numId w:val="1"/>
        </w:numPr>
      </w:pPr>
      <w:r>
        <w:rPr>
          <w:highlight w:val="none"/>
        </w:rPr>
        <w:t xml:space="preserve">Situação de trancamento (trabalho)</w:t>
      </w:r>
      <w:r>
        <w:rPr>
          <w:highlight w:val="none"/>
        </w:rPr>
      </w:r>
      <w:r/>
    </w:p>
    <w:p>
      <w:pPr>
        <w:pStyle w:val="822"/>
        <w:numPr>
          <w:ilvl w:val="0"/>
          <w:numId w:val="1"/>
        </w:numPr>
      </w:pPr>
      <w:r>
        <w:rPr>
          <w:highlight w:val="none"/>
        </w:rPr>
        <w:t xml:space="preserve">Resultados obtidos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 </w:t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98879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7948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9887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471.6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pStyle w:val="822"/>
        <w:numPr>
          <w:ilvl w:val="0"/>
          <w:numId w:val="2"/>
        </w:numPr>
        <w:rPr>
          <w:highlight w:val="none"/>
        </w:rPr>
      </w:pPr>
      <w:r>
        <w:rPr>
          <w:highlight w:val="none"/>
        </w:rPr>
        <w:t xml:space="preserve">Dos 5 datasets de genes, 3 tem genes com cutoff de padj &lt;= 0.01 + logfc 1/-1</w:t>
      </w:r>
      <w:r>
        <w:rPr>
          <w:highlight w:val="none"/>
        </w:rPr>
      </w:r>
      <w:r/>
    </w:p>
    <w:p>
      <w:pPr>
        <w:pStyle w:val="822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13 genes encontrados em comum entre os 3</w:t>
      </w:r>
      <w:r>
        <w:rPr>
          <w:highlight w:val="none"/>
        </w:rPr>
      </w:r>
      <w:r/>
    </w:p>
    <w:p>
      <w:pPr>
        <w:pStyle w:val="822"/>
        <w:numPr>
          <w:ilvl w:val="1"/>
          <w:numId w:val="2"/>
        </w:numPr>
        <w:rPr>
          <w:highlight w:val="none"/>
        </w:rPr>
      </w:pPr>
      <w:r>
        <w:rPr>
          <w:highlight w:val="none"/>
        </w:rPr>
        <w:t xml:space="preserve">Utilizar mínimo de 2 datasets para considerar os genes?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Casos de teste:</w:t>
      </w:r>
      <w:r>
        <w:rPr>
          <w:highlight w:val="none"/>
        </w:rPr>
      </w:r>
      <w:r/>
    </w:p>
    <w:p>
      <w:pPr>
        <w:pStyle w:val="822"/>
        <w:numPr>
          <w:ilvl w:val="0"/>
          <w:numId w:val="3"/>
        </w:numPr>
        <w:rPr>
          <w:highlight w:val="none"/>
        </w:rPr>
      </w:pPr>
      <w:r>
        <w:rPr>
          <w:highlight w:val="none"/>
        </w:rPr>
        <w:t xml:space="preserve">Perfil dos 13 genes encontrados em comum:</w:t>
      </w:r>
      <w:r>
        <w:rPr>
          <w:highlight w:val="none"/>
        </w:rPr>
      </w:r>
      <w:r/>
    </w:p>
    <w:tbl>
      <w:tblPr>
        <w:tblStyle w:val="674"/>
        <w:tblW w:w="0" w:type="auto"/>
        <w:tblLayout w:type="fixed"/>
        <w:tblLook w:val="04A0" w:firstRow="1" w:lastRow="0" w:firstColumn="1" w:lastColumn="0" w:noHBand="0" w:noVBand="1"/>
      </w:tblPr>
      <w:tblGrid>
        <w:gridCol w:w="1559"/>
        <w:gridCol w:w="1276"/>
        <w:gridCol w:w="1276"/>
        <w:gridCol w:w="1134"/>
      </w:tblGrid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>
              <w:t xml:space="preserve">Gene.ID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GSE33814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GSE37031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GSE89632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FOS</w:t>
            </w:r>
            <w:r/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1.072215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5.803802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2.886247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IGFBP1</w:t>
            </w:r>
            <w:r/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1.863966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3.775404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2.252961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IGFBP2</w:t>
            </w:r>
            <w:r/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1.23614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4.296079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1.542447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THBS1</w:t>
            </w:r>
            <w:r/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-1.187326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1.908844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1.807104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IRS2</w:t>
            </w:r>
            <w:r/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1.05567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2.373641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1.100925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SOCS2</w:t>
            </w:r>
            <w:r/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1.44059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3.046417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2.120376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UBD</w:t>
            </w:r>
            <w:r/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-2.194579</w:t>
            </w:r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-2.390414</w:t>
            </w:r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-1.154378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GADD45G</w:t>
            </w:r>
            <w:r/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1.590966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2.086613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2.734519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DNMT3L</w:t>
            </w:r>
            <w:r/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1.283976</w:t>
            </w:r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-1.36289</w:t>
            </w:r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-1.059641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GOLM1</w:t>
            </w:r>
            <w:r/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-1.602733</w:t>
            </w:r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-1.674421</w:t>
            </w:r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-1.092904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ANGPTL8</w:t>
            </w:r>
            <w:r/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-1.903798</w:t>
            </w:r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-2.834018</w:t>
            </w:r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-1.670127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EFHD1</w:t>
            </w:r>
            <w:r/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1.627327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2.333312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1.064707</w:t>
            </w:r>
            <w:r/>
          </w:p>
        </w:tc>
      </w:tr>
      <w:tr>
        <w:trPr>
          <w:trHeight w:val="28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textDirection w:val="lrTb"/>
            <w:noWrap w:val="false"/>
          </w:tcPr>
          <w:p>
            <w:r/>
            <w:r>
              <w:t xml:space="preserve">CRISPLD2</w:t>
            </w:r>
            <w:r/>
            <w:r/>
          </w:p>
        </w:tc>
        <w:tc>
          <w:tcPr>
            <w:shd w:val="clear" w:color="ff0000" w:fill="ff0000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-1.116024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276" w:type="dxa"/>
            <w:textDirection w:val="lrTb"/>
            <w:noWrap w:val="false"/>
          </w:tcPr>
          <w:p>
            <w:r>
              <w:t xml:space="preserve">1.431682</w:t>
            </w:r>
            <w:r/>
          </w:p>
        </w:tc>
        <w:tc>
          <w:tcPr>
            <w:shd w:val="clear" w:color="2f5696" w:fill="2f5696"/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r>
              <w:t xml:space="preserve">1.367285</w:t>
            </w:r>
            <w:r/>
          </w:p>
        </w:tc>
      </w:tr>
    </w:tbl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822"/>
        <w:numPr>
          <w:ilvl w:val="0"/>
          <w:numId w:val="4"/>
        </w:numPr>
        <w:rPr>
          <w:strike w:val="false"/>
          <w:highlight w:val="none"/>
        </w:rPr>
      </w:pPr>
      <w:r>
        <w:rPr>
          <w:strike w:val="false"/>
          <w:highlight w:val="none"/>
        </w:rPr>
        <w:t xml:space="preserve">92 genes no total inclusos no mínimo de 2 datasets</w:t>
      </w:r>
      <w:r>
        <w:rPr>
          <w:strike w:val="false"/>
          <w:highlight w:val="none"/>
        </w:rPr>
        <w:t xml:space="preserve"> (</w:t>
      </w:r>
      <w:hyperlink r:id="rId10" w:tooltip="https://github.com/thzgr/msresults/blob/main/automated_results/padj005_logfc1/genes_names.txt" w:history="1">
        <w:r>
          <w:rPr>
            <w:rStyle w:val="800"/>
            <w:strike w:val="false"/>
            <w:highlight w:val="none"/>
          </w:rPr>
          <w:t xml:space="preserve">link</w:t>
        </w:r>
      </w:hyperlink>
      <w:r>
        <w:rPr>
          <w:strike w:val="false"/>
          <w:highlight w:val="none"/>
        </w:rPr>
        <w:t xml:space="preserve">)</w:t>
      </w:r>
      <w:r>
        <w:rPr>
          <w:strike w:val="false"/>
          <w:highlight w:val="none"/>
        </w:rPr>
      </w:r>
      <w:r/>
      <w:r>
        <w:rPr>
          <w:strike w:val="false"/>
          <w:highlight w:val="none"/>
          <w:lang w:val="pt-BR"/>
        </w:rPr>
      </w:r>
      <w:r>
        <w:rPr>
          <w:strike w:val="false"/>
          <w:highlight w:val="none"/>
          <w:lang w:val="pt-BR"/>
        </w:rPr>
      </w:r>
      <w:r>
        <w:rPr>
          <w:strike w:val="false"/>
          <w:highlight w:val="none"/>
        </w:rPr>
      </w:r>
    </w:p>
    <w:p>
      <w:pPr>
        <w:pStyle w:val="822"/>
        <w:numPr>
          <w:ilvl w:val="1"/>
          <w:numId w:val="4"/>
        </w:numPr>
        <w:rPr>
          <w:strike w:val="false"/>
          <w:highlight w:val="none"/>
        </w:rPr>
      </w:pPr>
      <w:r>
        <w:rPr>
          <w:strike w:val="false"/>
          <w:highlight w:val="none"/>
          <w:lang w:val="pt-BR"/>
        </w:rPr>
        <w:t xml:space="preserve">Top 10 miRs que mais aparecem na análise reversa (procura por miRs que tem genes como alvos dentre os 92</w:t>
      </w:r>
      <w:r>
        <w:rPr>
          <w:strike w:val="false"/>
          <w:highlight w:val="none"/>
          <w:lang w:val="pt-BR"/>
        </w:rPr>
      </w:r>
    </w:p>
    <w:p>
      <w:pPr>
        <w:pStyle w:val="822"/>
        <w:numPr>
          <w:ilvl w:val="2"/>
          <w:numId w:val="4"/>
        </w:numPr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w:t xml:space="preserve">Dos microRNAs que mais aparecem com os genes dentre os 92 como alvo não há nenhum que também apareça na análise dos datasets somente de miRs</w:t>
      </w:r>
      <w:r>
        <w:rPr>
          <w:strike w:val="false"/>
          <w:highlight w:val="none"/>
          <w:lang w:val="pt-BR"/>
        </w:rPr>
      </w:r>
    </w:p>
    <w:p>
      <w:pPr>
        <w:ind w:left="709" w:firstLine="0"/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333625" cy="17716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86847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rcRect l="0" t="0" r="0" b="0"/>
                        <a:stretch/>
                      </pic:blipFill>
                      <pic:spPr bwMode="auto">
                        <a:xfrm>
                          <a:off x="0" y="0"/>
                          <a:ext cx="2333624" cy="1771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83.8pt;height:139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trike w:val="false"/>
          <w:highlight w:val="none"/>
          <w:lang w:val="pt-BR"/>
        </w:rPr>
      </w:r>
      <w:r>
        <w:rPr>
          <w:strike w:val="false"/>
          <w:highlight w:val="none"/>
          <w:lang w:val="pt-BR"/>
        </w:rPr>
      </w:r>
    </w:p>
    <w:p>
      <w:pPr>
        <w:pStyle w:val="822"/>
        <w:numPr>
          <w:ilvl w:val="0"/>
          <w:numId w:val="5"/>
        </w:numPr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w:t xml:space="preserve">13 genes com interseção entre os 3 datasets (link)</w:t>
      </w:r>
      <w:r>
        <w:rPr>
          <w:strike w:val="false"/>
          <w:highlight w:val="none"/>
          <w:lang w:val="pt-BR"/>
        </w:rPr>
      </w:r>
    </w:p>
    <w:p>
      <w:pPr>
        <w:pStyle w:val="822"/>
        <w:numPr>
          <w:ilvl w:val="1"/>
          <w:numId w:val="5"/>
        </w:numPr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w:t xml:space="preserve">Top 20 miRs que mais aparecem na análise reversa, mínimo 2 genes alvo dentre os 13</w:t>
      </w:r>
      <w:r>
        <w:rPr>
          <w:highlight w:val="none"/>
        </w:rPr>
      </w:r>
      <w:r>
        <w:rPr>
          <w:highlight w:val="none"/>
        </w:rPr>
      </w:r>
      <w:r>
        <w:rPr>
          <w:strike w:val="false"/>
          <w:highlight w:val="none"/>
          <w:lang w:val="pt-BR"/>
        </w:rPr>
      </w:r>
    </w:p>
    <w:p>
      <w:pPr>
        <w:pStyle w:val="822"/>
        <w:numPr>
          <w:ilvl w:val="2"/>
          <w:numId w:val="5"/>
        </w:numPr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w:t xml:space="preserve">Aparecem miR-221 e 222 em comum</w:t>
      </w:r>
      <w:r>
        <w:rPr>
          <w:strike w:val="false"/>
          <w:highlight w:val="none"/>
          <w:lang w:val="pt-BR"/>
        </w:rPr>
      </w:r>
    </w:p>
    <w:p>
      <w:pPr>
        <w:ind w:left="709" w:firstLine="0"/>
      </w:pPr>
      <w:r>
        <w:rPr>
          <w:strike w:val="false"/>
          <w:highlight w:val="none"/>
          <w:lang w:val="pt-BR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4050" cy="123771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759508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0" r="0" b="52747"/>
                        <a:stretch/>
                      </pic:blipFill>
                      <pic:spPr bwMode="auto">
                        <a:xfrm flipH="0" flipV="0">
                          <a:off x="0" y="0"/>
                          <a:ext cx="1924049" cy="12377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51.5pt;height:97.5pt;" stroked="false">
                <v:path textboxrect="0,0,0,0"/>
                <v:imagedata r:id="rId12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924050" cy="140071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853901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rcRect l="0" t="46524" r="0" b="0"/>
                        <a:stretch/>
                      </pic:blipFill>
                      <pic:spPr bwMode="auto">
                        <a:xfrm rot="0" flipH="0" flipV="0">
                          <a:off x="0" y="0"/>
                          <a:ext cx="1924049" cy="14007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151.5pt;height:110.3pt;rotation:0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highlight w:val="none"/>
        </w:rPr>
      </w:r>
    </w:p>
    <w:p>
      <w:pPr>
        <w:ind w:left="709" w:firstLine="0"/>
        <w:rPr>
          <w:highlight w:val="none"/>
        </w:rPr>
      </w:pPr>
      <w:r/>
      <w:r/>
      <w:r>
        <w:rPr>
          <w:strike w:val="false"/>
          <w:highlight w:val="none"/>
          <w:lang w:val="pt-BR"/>
        </w:rPr>
      </w:r>
      <w:r/>
    </w:p>
    <w:p>
      <w:pPr>
        <w:pStyle w:val="822"/>
        <w:numPr>
          <w:ilvl w:val="0"/>
          <w:numId w:val="6"/>
        </w:numPr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w:t xml:space="preserve">microRNA-221: </w:t>
      </w:r>
      <w:r>
        <w:rPr>
          <w:strike w:val="false"/>
          <w:highlight w:val="none"/>
          <w:lang w:val="pt-BR"/>
        </w:rPr>
      </w:r>
    </w:p>
    <w:p>
      <w:pPr>
        <w:pStyle w:val="822"/>
        <w:numPr>
          <w:ilvl w:val="1"/>
          <w:numId w:val="6"/>
        </w:numPr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</w:r>
      <w:r>
        <w:rPr>
          <w:strike w:val="false"/>
          <w:highlight w:val="none"/>
          <w:lang w:val="pt-BR"/>
        </w:rPr>
        <w:t xml:space="preserve">FOS &gt; score: </w:t>
      </w:r>
      <w:r>
        <w:rPr>
          <w:strike w:val="false"/>
          <w:highlight w:val="none"/>
          <w:lang w:val="pt-BR"/>
        </w:rPr>
        <w:t xml:space="preserve">0.7638 &gt; 14 fontes (com mirbase, </w:t>
      </w:r>
      <w:r>
        <w:rPr>
          <w:strike w:val="false"/>
          <w:highlight w:val="none"/>
          <w:lang w:val="pt-BR"/>
        </w:rPr>
        <w:t xml:space="preserve">com targetscan</w:t>
      </w:r>
      <w:r/>
      <w:r>
        <w:rPr>
          <w:strike w:val="false"/>
          <w:highlight w:val="none"/>
          <w:lang w:val="pt-BR"/>
        </w:rPr>
        <w:t xml:space="preserve">)</w:t>
      </w:r>
      <w:r>
        <w:rPr>
          <w:strike w:val="false"/>
          <w:highlight w:val="none"/>
          <w:lang w:val="pt-BR"/>
        </w:rPr>
      </w:r>
      <w:r/>
    </w:p>
    <w:p>
      <w:pPr>
        <w:pStyle w:val="822"/>
        <w:numPr>
          <w:ilvl w:val="1"/>
          <w:numId w:val="6"/>
        </w:numPr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</w:r>
      <w:r>
        <w:rPr>
          <w:strike w:val="false"/>
          <w:highlight w:val="none"/>
          <w:lang w:val="pt-BR"/>
        </w:rPr>
        <w:t xml:space="preserve">THBS1 &gt; score: </w:t>
      </w:r>
      <w:r>
        <w:rPr>
          <w:strike w:val="false"/>
          <w:highlight w:val="none"/>
          <w:lang w:val="pt-BR"/>
        </w:rPr>
        <w:t xml:space="preserve">0.6649 &gt; 11 fontes (sem mirbase, com targetscan)</w:t>
      </w:r>
      <w:r>
        <w:rPr>
          <w:strike w:val="false"/>
          <w:highlight w:val="none"/>
          <w:lang w:val="pt-BR"/>
        </w:rPr>
      </w:r>
      <w:r>
        <w:rPr>
          <w:strike w:val="false"/>
          <w:highlight w:val="none"/>
          <w:lang w:val="pt-BR"/>
        </w:rPr>
      </w:r>
    </w:p>
    <w:p>
      <w:pPr>
        <w:pStyle w:val="822"/>
        <w:numPr>
          <w:ilvl w:val="0"/>
          <w:numId w:val="8"/>
        </w:numPr>
        <w:rPr>
          <w:strike w:val="false"/>
          <w:highlight w:val="none"/>
        </w:rPr>
      </w:pPr>
      <w:r>
        <w:rPr>
          <w:strike w:val="false"/>
          <w:highlight w:val="none"/>
        </w:rPr>
        <w:t xml:space="preserve">microRNA-222:</w:t>
      </w:r>
      <w:r/>
    </w:p>
    <w:p>
      <w:pPr>
        <w:pStyle w:val="822"/>
        <w:numPr>
          <w:ilvl w:val="1"/>
          <w:numId w:val="8"/>
        </w:numPr>
        <w:rPr>
          <w:strike w:val="false"/>
          <w:highlight w:val="none"/>
        </w:rPr>
      </w:pPr>
      <w:r>
        <w:rPr>
          <w:strike w:val="false"/>
          <w:highlight w:val="none"/>
        </w:rPr>
        <w:t xml:space="preserve">FOS &gt; score: 0.7084 &gt; 12 fontes (com mirbase, com targetscan)</w:t>
      </w:r>
      <w:r>
        <w:rPr>
          <w:strike w:val="false"/>
          <w:highlight w:val="none"/>
        </w:rPr>
      </w:r>
    </w:p>
    <w:p>
      <w:pPr>
        <w:pStyle w:val="822"/>
        <w:numPr>
          <w:ilvl w:val="1"/>
          <w:numId w:val="8"/>
        </w:numPr>
        <w:rPr>
          <w:strike w:val="false"/>
          <w:highlight w:val="none"/>
        </w:rPr>
      </w:pPr>
      <w:r>
        <w:rPr>
          <w:strike w:val="false"/>
          <w:highlight w:val="none"/>
        </w:rPr>
        <w:t xml:space="preserve">THBS1 &gt; score: 0.7032 &gt; 13 fontes </w:t>
      </w:r>
      <w:r>
        <w:rPr>
          <w:strike w:val="false"/>
          <w:highlight w:val="none"/>
          <w:lang w:val="pt-BR"/>
        </w:rPr>
        <w:t xml:space="preserve">(sem mirbase, com targetscan)</w:t>
      </w:r>
      <w:r/>
      <w:r>
        <w:rPr>
          <w:strike w:val="false"/>
          <w:highlight w:val="none"/>
        </w:rPr>
      </w:r>
      <w:r>
        <w:rPr>
          <w:strike w:val="false"/>
          <w:highlight w:val="none"/>
        </w:rPr>
      </w:r>
    </w:p>
    <w:p>
      <w:pPr>
        <w:pStyle w:val="822"/>
        <w:numPr>
          <w:ilvl w:val="0"/>
          <w:numId w:val="10"/>
        </w:numPr>
        <w:rPr>
          <w:strike w:val="false"/>
          <w:highlight w:val="none"/>
        </w:rPr>
      </w:pPr>
      <w:r>
        <w:rPr>
          <w:strike w:val="false"/>
          <w:highlight w:val="none"/>
          <w:lang w:val="pt-BR"/>
        </w:rPr>
        <w:t xml:space="preserve">KEGG pathways:</w:t>
      </w:r>
      <w:r>
        <w:rPr>
          <w:strike w:val="false"/>
          <w:highlight w:val="none"/>
          <w:lang w:val="pt-BR"/>
        </w:rPr>
      </w:r>
    </w:p>
    <w:p>
      <w:pPr>
        <w:pStyle w:val="822"/>
        <w:numPr>
          <w:ilvl w:val="1"/>
          <w:numId w:val="10"/>
        </w:numPr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w:t xml:space="preserve">From 92 genes:</w:t>
      </w:r>
      <w:r>
        <w:rPr>
          <w:strike w:val="false"/>
          <w:highlight w:val="none"/>
          <w:lang w:val="pt-BR"/>
        </w:rPr>
      </w:r>
    </w:p>
    <w:p>
      <w:pPr>
        <w:ind w:left="0" w:firstLine="0"/>
        <w:jc w:val="center"/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042965" cy="404296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298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042964" cy="4042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18.3pt;height:318.3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strike w:val="false"/>
          <w:highlight w:val="none"/>
          <w:lang w:val="pt-BR"/>
        </w:rPr>
      </w:r>
    </w:p>
    <w:p>
      <w:pPr>
        <w:pStyle w:val="822"/>
        <w:numPr>
          <w:ilvl w:val="0"/>
          <w:numId w:val="11"/>
        </w:numPr>
        <w:jc w:val="left"/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w:t xml:space="preserve">KEGG pathways:</w:t>
      </w:r>
      <w:r>
        <w:rPr>
          <w:strike w:val="false"/>
          <w:highlight w:val="none"/>
          <w:lang w:val="pt-BR"/>
        </w:rPr>
      </w:r>
    </w:p>
    <w:p>
      <w:pPr>
        <w:pStyle w:val="822"/>
        <w:numPr>
          <w:ilvl w:val="1"/>
          <w:numId w:val="11"/>
        </w:numPr>
        <w:jc w:val="left"/>
        <w:rPr>
          <w:strike w:val="false"/>
          <w:highlight w:val="none"/>
          <w:lang w:val="pt-BR"/>
        </w:rPr>
      </w:pPr>
      <w:r>
        <w:rPr>
          <w:strike w:val="false"/>
          <w:highlight w:val="none"/>
          <w:lang w:val="pt-BR"/>
        </w:rPr>
        <w:t xml:space="preserve">13 genes:</w:t>
      </w:r>
      <w:r>
        <w:rPr>
          <w:strike w:val="false"/>
          <w:highlight w:val="none"/>
          <w:lang w:val="pt-BR"/>
        </w:rPr>
      </w:r>
    </w:p>
    <w:tbl>
      <w:tblPr>
        <w:tblStyle w:val="674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2016"/>
        <w:gridCol w:w="4786"/>
        <w:gridCol w:w="709"/>
        <w:gridCol w:w="850"/>
        <w:gridCol w:w="1134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Category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Term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Count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P-Value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Benjamini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KEGG_PATHWAY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Growth hormone synthesis, secretion and action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2.1E-3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1.8E-1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KEGG_PATHWAY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Type II diabetes mellitus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2.8E-2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8.0E-1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KEGG_PATHWAY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Prolactin signaling 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4.2E-2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8.0E-1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KEGG_PATHWAY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p53 signaling 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4.4E-2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8.0E-1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KEGG_PATHWAY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Colorectal cancer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5.2E-2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8.0E-1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KEGG_PATHWAY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FoxO signaling 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7.8E-2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8.0E-1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KEGG_PATHWAY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Apoptosis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8.1E-2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8.0E-1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KEGG_PATHWAY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Insulin signaling 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8.1E-2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8.0E-1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KEGG_PATHWAY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Breast cancer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8.7E-2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8.0E-1</w:t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01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KEGG_PATHWAY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786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Non-alcoholic fatty liver disease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709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850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9.1E-2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34" w:type="dxa"/>
            <w:vAlign w:val="center"/>
            <w:textDirection w:val="lrTb"/>
            <w:noWrap w:val="false"/>
          </w:tcPr>
          <w:p>
            <w:pPr>
              <w:shd w:val="nil"/>
            </w:pPr>
            <w:r>
              <w:t xml:space="preserve">8.0E-1</w:t>
            </w:r>
            <w:r/>
          </w:p>
        </w:tc>
      </w:tr>
    </w:tbl>
    <w:p>
      <w:pPr>
        <w:shd w:val="nil"/>
        <w:rPr>
          <w:highlight w:val="none"/>
          <w:lang w:val="pt-BR"/>
        </w:rPr>
      </w:pPr>
      <w:r>
        <w:rPr>
          <w:highlight w:val="none"/>
          <w:lang w:val="pt-BR"/>
        </w:rPr>
      </w:r>
      <w:r>
        <w:rPr>
          <w:highlight w:val="none"/>
          <w:lang w:val="pt-BR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42">
    <w:name w:val="Heading 1"/>
    <w:basedOn w:val="818"/>
    <w:next w:val="818"/>
    <w:link w:val="643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43">
    <w:name w:val="Heading 1 Char"/>
    <w:link w:val="642"/>
    <w:uiPriority w:val="9"/>
    <w:rPr>
      <w:rFonts w:ascii="Arial" w:hAnsi="Arial" w:cs="Arial" w:eastAsia="Arial"/>
      <w:sz w:val="40"/>
      <w:szCs w:val="40"/>
    </w:rPr>
  </w:style>
  <w:style w:type="paragraph" w:styleId="644">
    <w:name w:val="Heading 2"/>
    <w:basedOn w:val="818"/>
    <w:next w:val="818"/>
    <w:link w:val="64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45">
    <w:name w:val="Heading 2 Char"/>
    <w:link w:val="644"/>
    <w:uiPriority w:val="9"/>
    <w:rPr>
      <w:rFonts w:ascii="Arial" w:hAnsi="Arial" w:cs="Arial" w:eastAsia="Arial"/>
      <w:sz w:val="34"/>
    </w:rPr>
  </w:style>
  <w:style w:type="paragraph" w:styleId="646">
    <w:name w:val="Heading 3"/>
    <w:basedOn w:val="818"/>
    <w:next w:val="818"/>
    <w:link w:val="64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7">
    <w:name w:val="Heading 3 Char"/>
    <w:link w:val="646"/>
    <w:uiPriority w:val="9"/>
    <w:rPr>
      <w:rFonts w:ascii="Arial" w:hAnsi="Arial" w:cs="Arial" w:eastAsia="Arial"/>
      <w:sz w:val="30"/>
      <w:szCs w:val="30"/>
    </w:rPr>
  </w:style>
  <w:style w:type="paragraph" w:styleId="648">
    <w:name w:val="Heading 4"/>
    <w:basedOn w:val="818"/>
    <w:next w:val="818"/>
    <w:link w:val="64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9">
    <w:name w:val="Heading 4 Char"/>
    <w:link w:val="648"/>
    <w:uiPriority w:val="9"/>
    <w:rPr>
      <w:rFonts w:ascii="Arial" w:hAnsi="Arial" w:cs="Arial" w:eastAsia="Arial"/>
      <w:b/>
      <w:bCs/>
      <w:sz w:val="26"/>
      <w:szCs w:val="26"/>
    </w:rPr>
  </w:style>
  <w:style w:type="paragraph" w:styleId="650">
    <w:name w:val="Heading 5"/>
    <w:basedOn w:val="818"/>
    <w:next w:val="818"/>
    <w:link w:val="65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51">
    <w:name w:val="Heading 5 Char"/>
    <w:link w:val="650"/>
    <w:uiPriority w:val="9"/>
    <w:rPr>
      <w:rFonts w:ascii="Arial" w:hAnsi="Arial" w:cs="Arial" w:eastAsia="Arial"/>
      <w:b/>
      <w:bCs/>
      <w:sz w:val="24"/>
      <w:szCs w:val="24"/>
    </w:rPr>
  </w:style>
  <w:style w:type="paragraph" w:styleId="652">
    <w:name w:val="Heading 6"/>
    <w:basedOn w:val="818"/>
    <w:next w:val="818"/>
    <w:link w:val="65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53">
    <w:name w:val="Heading 6 Char"/>
    <w:link w:val="652"/>
    <w:uiPriority w:val="9"/>
    <w:rPr>
      <w:rFonts w:ascii="Arial" w:hAnsi="Arial" w:cs="Arial" w:eastAsia="Arial"/>
      <w:b/>
      <w:bCs/>
      <w:sz w:val="22"/>
      <w:szCs w:val="22"/>
    </w:rPr>
  </w:style>
  <w:style w:type="paragraph" w:styleId="654">
    <w:name w:val="Heading 7"/>
    <w:basedOn w:val="818"/>
    <w:next w:val="818"/>
    <w:link w:val="65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55">
    <w:name w:val="Heading 7 Char"/>
    <w:link w:val="65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6">
    <w:name w:val="Heading 8"/>
    <w:basedOn w:val="818"/>
    <w:next w:val="818"/>
    <w:link w:val="65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7">
    <w:name w:val="Heading 8 Char"/>
    <w:link w:val="656"/>
    <w:uiPriority w:val="9"/>
    <w:rPr>
      <w:rFonts w:ascii="Arial" w:hAnsi="Arial" w:cs="Arial" w:eastAsia="Arial"/>
      <w:i/>
      <w:iCs/>
      <w:sz w:val="22"/>
      <w:szCs w:val="22"/>
    </w:rPr>
  </w:style>
  <w:style w:type="paragraph" w:styleId="658">
    <w:name w:val="Heading 9"/>
    <w:basedOn w:val="818"/>
    <w:next w:val="818"/>
    <w:link w:val="65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9">
    <w:name w:val="Heading 9 Char"/>
    <w:link w:val="658"/>
    <w:uiPriority w:val="9"/>
    <w:rPr>
      <w:rFonts w:ascii="Arial" w:hAnsi="Arial" w:cs="Arial" w:eastAsia="Arial"/>
      <w:i/>
      <w:iCs/>
      <w:sz w:val="21"/>
      <w:szCs w:val="21"/>
    </w:rPr>
  </w:style>
  <w:style w:type="paragraph" w:styleId="660">
    <w:name w:val="Title"/>
    <w:basedOn w:val="818"/>
    <w:next w:val="818"/>
    <w:link w:val="661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61">
    <w:name w:val="Title Char"/>
    <w:link w:val="660"/>
    <w:uiPriority w:val="10"/>
    <w:rPr>
      <w:sz w:val="48"/>
      <w:szCs w:val="48"/>
    </w:rPr>
  </w:style>
  <w:style w:type="paragraph" w:styleId="662">
    <w:name w:val="Subtitle"/>
    <w:basedOn w:val="818"/>
    <w:next w:val="818"/>
    <w:link w:val="663"/>
    <w:uiPriority w:val="11"/>
    <w:qFormat/>
    <w:pPr>
      <w:spacing w:before="200" w:after="200"/>
    </w:pPr>
    <w:rPr>
      <w:sz w:val="24"/>
      <w:szCs w:val="24"/>
    </w:rPr>
  </w:style>
  <w:style w:type="character" w:styleId="663">
    <w:name w:val="Subtitle Char"/>
    <w:link w:val="662"/>
    <w:uiPriority w:val="11"/>
    <w:rPr>
      <w:sz w:val="24"/>
      <w:szCs w:val="24"/>
    </w:rPr>
  </w:style>
  <w:style w:type="paragraph" w:styleId="664">
    <w:name w:val="Quote"/>
    <w:basedOn w:val="818"/>
    <w:next w:val="818"/>
    <w:link w:val="665"/>
    <w:uiPriority w:val="29"/>
    <w:qFormat/>
    <w:pPr>
      <w:ind w:left="720" w:right="720"/>
    </w:pPr>
    <w:rPr>
      <w:i/>
    </w:rPr>
  </w:style>
  <w:style w:type="character" w:styleId="665">
    <w:name w:val="Quote Char"/>
    <w:link w:val="664"/>
    <w:uiPriority w:val="29"/>
    <w:rPr>
      <w:i/>
    </w:rPr>
  </w:style>
  <w:style w:type="paragraph" w:styleId="666">
    <w:name w:val="Intense Quote"/>
    <w:basedOn w:val="818"/>
    <w:next w:val="818"/>
    <w:link w:val="667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7">
    <w:name w:val="Intense Quote Char"/>
    <w:link w:val="666"/>
    <w:uiPriority w:val="30"/>
    <w:rPr>
      <w:i/>
    </w:rPr>
  </w:style>
  <w:style w:type="paragraph" w:styleId="668">
    <w:name w:val="Header"/>
    <w:basedOn w:val="818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9">
    <w:name w:val="Header Char"/>
    <w:link w:val="668"/>
    <w:uiPriority w:val="99"/>
  </w:style>
  <w:style w:type="paragraph" w:styleId="670">
    <w:name w:val="Footer"/>
    <w:basedOn w:val="818"/>
    <w:link w:val="67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71">
    <w:name w:val="Footer Char"/>
    <w:link w:val="670"/>
    <w:uiPriority w:val="99"/>
  </w:style>
  <w:style w:type="paragraph" w:styleId="672">
    <w:name w:val="Caption"/>
    <w:basedOn w:val="818"/>
    <w:next w:val="8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73">
    <w:name w:val="Caption Char"/>
    <w:basedOn w:val="672"/>
    <w:link w:val="670"/>
    <w:uiPriority w:val="99"/>
  </w:style>
  <w:style w:type="table" w:styleId="674">
    <w:name w:val="Table Grid"/>
    <w:basedOn w:val="8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5">
    <w:name w:val="Table Grid Light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6">
    <w:name w:val="Plain Table 1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7">
    <w:name w:val="Plain Table 2"/>
    <w:basedOn w:val="8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8">
    <w:name w:val="Plain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9">
    <w:name w:val="Plain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Plain Table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1">
    <w:name w:val="Grid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Grid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Grid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Grid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Grid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03">
    <w:name w:val="Grid Table 4 - Accent 1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4">
    <w:name w:val="Grid Table 4 - Accent 2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5">
    <w:name w:val="Grid Table 4 - Accent 3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6">
    <w:name w:val="Grid Table 4 - Accent 4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7">
    <w:name w:val="Grid Table 4 - Accent 5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8">
    <w:name w:val="Grid Table 4 - Accent 6"/>
    <w:basedOn w:val="8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9">
    <w:name w:val="Grid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0">
    <w:name w:val="Grid Table 5 Dark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12">
    <w:name w:val="Grid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13">
    <w:name w:val="Grid Table 5 Dark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4">
    <w:name w:val="Grid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5">
    <w:name w:val="Grid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6">
    <w:name w:val="Grid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7">
    <w:name w:val="Grid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8">
    <w:name w:val="Grid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9">
    <w:name w:val="Grid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0">
    <w:name w:val="Grid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1">
    <w:name w:val="Grid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2">
    <w:name w:val="Grid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23">
    <w:name w:val="Grid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1 Light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List Table 1 Light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List Table 1 Light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List Table 1 Light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List Table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8">
    <w:name w:val="List Table 2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9">
    <w:name w:val="List Table 2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0">
    <w:name w:val="List Table 2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1">
    <w:name w:val="List Table 2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42">
    <w:name w:val="List Table 2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43">
    <w:name w:val="List Table 2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3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3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3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3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4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4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4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4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5 Dark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5 Dark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2">
    <w:name w:val="List Table 5 Dark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3">
    <w:name w:val="List Table 5 Dark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4">
    <w:name w:val="List Table 5 Dark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5">
    <w:name w:val="List Table 6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6">
    <w:name w:val="List Table 6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7">
    <w:name w:val="List Table 6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8">
    <w:name w:val="List Table 6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9">
    <w:name w:val="List Table 6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0">
    <w:name w:val="List Table 6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1">
    <w:name w:val="List Table 6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72">
    <w:name w:val="List Table 7 Colorful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73">
    <w:name w:val="List Table 7 Colorful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4">
    <w:name w:val="List Table 7 Colorful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5">
    <w:name w:val="List Table 7 Colorful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6">
    <w:name w:val="List Table 7 Colorful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7">
    <w:name w:val="List Table 7 Colorful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8">
    <w:name w:val="List Table 7 Colorful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9">
    <w:name w:val="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0">
    <w:name w:val="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1">
    <w:name w:val="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2">
    <w:name w:val="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3">
    <w:name w:val="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4">
    <w:name w:val="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5">
    <w:name w:val="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6">
    <w:name w:val="Bordered &amp; Lined - Accent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7">
    <w:name w:val="Bordered &amp; Lined - Accent 1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8">
    <w:name w:val="Bordered &amp; Lined - Accent 2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9">
    <w:name w:val="Bordered &amp; Lined - Accent 3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0">
    <w:name w:val="Bordered &amp; Lined - Accent 4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1">
    <w:name w:val="Bordered &amp; Lined - Accent 5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2">
    <w:name w:val="Bordered &amp; Lined - Accent 6"/>
    <w:basedOn w:val="8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3">
    <w:name w:val="Bordered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4">
    <w:name w:val="Bordered - Accent 1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5">
    <w:name w:val="Bordered - Accent 2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6">
    <w:name w:val="Bordered - Accent 3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7">
    <w:name w:val="Bordered - Accent 4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8">
    <w:name w:val="Bordered - Accent 5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9">
    <w:name w:val="Bordered - Accent 6"/>
    <w:basedOn w:val="8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00">
    <w:name w:val="Hyperlink"/>
    <w:uiPriority w:val="99"/>
    <w:unhideWhenUsed/>
    <w:rPr>
      <w:color w:val="0000FF" w:themeColor="hyperlink"/>
      <w:u w:val="single"/>
    </w:rPr>
  </w:style>
  <w:style w:type="paragraph" w:styleId="801">
    <w:name w:val="footnote text"/>
    <w:basedOn w:val="818"/>
    <w:link w:val="802"/>
    <w:uiPriority w:val="99"/>
    <w:semiHidden/>
    <w:unhideWhenUsed/>
    <w:pPr>
      <w:spacing w:after="40" w:line="240" w:lineRule="auto"/>
    </w:pPr>
    <w:rPr>
      <w:sz w:val="18"/>
    </w:rPr>
  </w:style>
  <w:style w:type="character" w:styleId="802">
    <w:name w:val="Footnote Text Char"/>
    <w:link w:val="801"/>
    <w:uiPriority w:val="99"/>
    <w:rPr>
      <w:sz w:val="18"/>
    </w:rPr>
  </w:style>
  <w:style w:type="character" w:styleId="803">
    <w:name w:val="footnote reference"/>
    <w:uiPriority w:val="99"/>
    <w:unhideWhenUsed/>
    <w:rPr>
      <w:vertAlign w:val="superscript"/>
    </w:rPr>
  </w:style>
  <w:style w:type="paragraph" w:styleId="804">
    <w:name w:val="endnote text"/>
    <w:basedOn w:val="818"/>
    <w:link w:val="805"/>
    <w:uiPriority w:val="99"/>
    <w:semiHidden/>
    <w:unhideWhenUsed/>
    <w:pPr>
      <w:spacing w:after="0" w:line="240" w:lineRule="auto"/>
    </w:pPr>
    <w:rPr>
      <w:sz w:val="20"/>
    </w:rPr>
  </w:style>
  <w:style w:type="character" w:styleId="805">
    <w:name w:val="Endnote Text Char"/>
    <w:link w:val="804"/>
    <w:uiPriority w:val="99"/>
    <w:rPr>
      <w:sz w:val="20"/>
    </w:rPr>
  </w:style>
  <w:style w:type="character" w:styleId="806">
    <w:name w:val="endnote reference"/>
    <w:uiPriority w:val="99"/>
    <w:semiHidden/>
    <w:unhideWhenUsed/>
    <w:rPr>
      <w:vertAlign w:val="superscript"/>
    </w:rPr>
  </w:style>
  <w:style w:type="paragraph" w:styleId="807">
    <w:name w:val="toc 1"/>
    <w:basedOn w:val="818"/>
    <w:next w:val="818"/>
    <w:uiPriority w:val="39"/>
    <w:unhideWhenUsed/>
    <w:pPr>
      <w:ind w:left="0" w:right="0" w:firstLine="0"/>
      <w:spacing w:after="57"/>
    </w:pPr>
  </w:style>
  <w:style w:type="paragraph" w:styleId="808">
    <w:name w:val="toc 2"/>
    <w:basedOn w:val="818"/>
    <w:next w:val="818"/>
    <w:uiPriority w:val="39"/>
    <w:unhideWhenUsed/>
    <w:pPr>
      <w:ind w:left="283" w:right="0" w:firstLine="0"/>
      <w:spacing w:after="57"/>
    </w:pPr>
  </w:style>
  <w:style w:type="paragraph" w:styleId="809">
    <w:name w:val="toc 3"/>
    <w:basedOn w:val="818"/>
    <w:next w:val="818"/>
    <w:uiPriority w:val="39"/>
    <w:unhideWhenUsed/>
    <w:pPr>
      <w:ind w:left="567" w:right="0" w:firstLine="0"/>
      <w:spacing w:after="57"/>
    </w:pPr>
  </w:style>
  <w:style w:type="paragraph" w:styleId="810">
    <w:name w:val="toc 4"/>
    <w:basedOn w:val="818"/>
    <w:next w:val="818"/>
    <w:uiPriority w:val="39"/>
    <w:unhideWhenUsed/>
    <w:pPr>
      <w:ind w:left="850" w:right="0" w:firstLine="0"/>
      <w:spacing w:after="57"/>
    </w:pPr>
  </w:style>
  <w:style w:type="paragraph" w:styleId="811">
    <w:name w:val="toc 5"/>
    <w:basedOn w:val="818"/>
    <w:next w:val="818"/>
    <w:uiPriority w:val="39"/>
    <w:unhideWhenUsed/>
    <w:pPr>
      <w:ind w:left="1134" w:right="0" w:firstLine="0"/>
      <w:spacing w:after="57"/>
    </w:pPr>
  </w:style>
  <w:style w:type="paragraph" w:styleId="812">
    <w:name w:val="toc 6"/>
    <w:basedOn w:val="818"/>
    <w:next w:val="818"/>
    <w:uiPriority w:val="39"/>
    <w:unhideWhenUsed/>
    <w:pPr>
      <w:ind w:left="1417" w:right="0" w:firstLine="0"/>
      <w:spacing w:after="57"/>
    </w:pPr>
  </w:style>
  <w:style w:type="paragraph" w:styleId="813">
    <w:name w:val="toc 7"/>
    <w:basedOn w:val="818"/>
    <w:next w:val="818"/>
    <w:uiPriority w:val="39"/>
    <w:unhideWhenUsed/>
    <w:pPr>
      <w:ind w:left="1701" w:right="0" w:firstLine="0"/>
      <w:spacing w:after="57"/>
    </w:pPr>
  </w:style>
  <w:style w:type="paragraph" w:styleId="814">
    <w:name w:val="toc 8"/>
    <w:basedOn w:val="818"/>
    <w:next w:val="818"/>
    <w:uiPriority w:val="39"/>
    <w:unhideWhenUsed/>
    <w:pPr>
      <w:ind w:left="1984" w:right="0" w:firstLine="0"/>
      <w:spacing w:after="57"/>
    </w:pPr>
  </w:style>
  <w:style w:type="paragraph" w:styleId="815">
    <w:name w:val="toc 9"/>
    <w:basedOn w:val="818"/>
    <w:next w:val="818"/>
    <w:uiPriority w:val="39"/>
    <w:unhideWhenUsed/>
    <w:pPr>
      <w:ind w:left="2268" w:right="0" w:firstLine="0"/>
      <w:spacing w:after="57"/>
    </w:pPr>
  </w:style>
  <w:style w:type="paragraph" w:styleId="816">
    <w:name w:val="TOC Heading"/>
    <w:uiPriority w:val="39"/>
    <w:unhideWhenUsed/>
  </w:style>
  <w:style w:type="paragraph" w:styleId="817">
    <w:name w:val="table of figures"/>
    <w:basedOn w:val="818"/>
    <w:next w:val="818"/>
    <w:uiPriority w:val="99"/>
    <w:unhideWhenUsed/>
    <w:pPr>
      <w:spacing w:after="0" w:afterAutospacing="0"/>
    </w:pPr>
  </w:style>
  <w:style w:type="paragraph" w:styleId="818" w:default="1">
    <w:name w:val="Normal"/>
    <w:qFormat/>
  </w:style>
  <w:style w:type="table" w:styleId="8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20" w:default="1">
    <w:name w:val="No List"/>
    <w:uiPriority w:val="99"/>
    <w:semiHidden/>
    <w:unhideWhenUsed/>
  </w:style>
  <w:style w:type="paragraph" w:styleId="821">
    <w:name w:val="No Spacing"/>
    <w:basedOn w:val="818"/>
    <w:uiPriority w:val="1"/>
    <w:qFormat/>
    <w:pPr>
      <w:spacing w:after="0" w:line="240" w:lineRule="auto"/>
    </w:pPr>
  </w:style>
  <w:style w:type="paragraph" w:styleId="822">
    <w:name w:val="List Paragraph"/>
    <w:basedOn w:val="818"/>
    <w:uiPriority w:val="34"/>
    <w:qFormat/>
    <w:pPr>
      <w:contextualSpacing/>
      <w:ind w:left="720"/>
    </w:pPr>
  </w:style>
  <w:style w:type="character" w:styleId="82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thzgr/msresults/blob/main/automated_results/padj005_logfc1/genes_names.txt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2022-07-10T23:58:06Z</dcterms:modified>
</cp:coreProperties>
</file>