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6D6ED" w14:textId="77777777" w:rsidR="00311A8C" w:rsidRPr="00586423" w:rsidRDefault="00311A8C" w:rsidP="00311A8C">
      <w:pPr>
        <w:jc w:val="center"/>
        <w:rPr>
          <w:rFonts w:ascii="Rockwell Extra Bold" w:eastAsia="+mn-ea" w:hAnsi="Rockwell Extra Bold"/>
          <w:kern w:val="24"/>
          <w:sz w:val="44"/>
          <w:szCs w:val="44"/>
        </w:rPr>
      </w:pPr>
      <w:r>
        <w:rPr>
          <w:rFonts w:ascii="Rockwell Extra Bold" w:eastAsia="+mn-ea" w:hAnsi="Rockwell Extra Bold"/>
          <w:color w:val="FF0000"/>
          <w:kern w:val="24"/>
          <w:sz w:val="44"/>
          <w:szCs w:val="44"/>
        </w:rPr>
        <w:t xml:space="preserve">PB230: REPLICATION </w:t>
      </w:r>
    </w:p>
    <w:p w14:paraId="79F01AE2" w14:textId="1276B726" w:rsidR="00311A8C" w:rsidRDefault="00311A8C" w:rsidP="00311A8C">
      <w:pPr>
        <w:jc w:val="center"/>
        <w:rPr>
          <w:rFonts w:ascii="Garamond" w:hAnsi="Garamond"/>
          <w:sz w:val="36"/>
          <w:szCs w:val="36"/>
        </w:rPr>
      </w:pPr>
      <w:r w:rsidRPr="00586423">
        <w:rPr>
          <w:rFonts w:ascii="Garamond" w:hAnsi="Garamond"/>
          <w:sz w:val="36"/>
          <w:szCs w:val="36"/>
        </w:rPr>
        <w:t xml:space="preserve">-Study </w:t>
      </w:r>
      <w:r>
        <w:rPr>
          <w:rFonts w:ascii="Garamond" w:hAnsi="Garamond"/>
          <w:sz w:val="36"/>
          <w:szCs w:val="36"/>
        </w:rPr>
        <w:t>Results</w:t>
      </w:r>
      <w:r w:rsidRPr="00586423">
        <w:rPr>
          <w:rFonts w:ascii="Garamond" w:hAnsi="Garamond"/>
          <w:sz w:val="36"/>
          <w:szCs w:val="36"/>
        </w:rPr>
        <w:t>-</w:t>
      </w:r>
    </w:p>
    <w:p w14:paraId="6F5CEAC5" w14:textId="77777777" w:rsidR="00311A8C" w:rsidRPr="00586423" w:rsidRDefault="00311A8C" w:rsidP="00311A8C">
      <w:pPr>
        <w:jc w:val="center"/>
        <w:rPr>
          <w:rFonts w:ascii="Garamond" w:hAnsi="Garamond"/>
          <w:sz w:val="36"/>
          <w:szCs w:val="36"/>
        </w:rPr>
      </w:pPr>
    </w:p>
    <w:p w14:paraId="299456CC" w14:textId="34D37C62" w:rsidR="00AE7E57" w:rsidRDefault="00AE7E57"/>
    <w:p w14:paraId="305799DD" w14:textId="5AA769B9" w:rsidR="00311A8C" w:rsidRDefault="00311A8C">
      <w:pPr>
        <w:rPr>
          <w:rFonts w:ascii="Garamond" w:hAnsi="Garamond"/>
          <w:sz w:val="36"/>
          <w:szCs w:val="36"/>
        </w:rPr>
      </w:pPr>
      <w:r w:rsidRPr="00586423">
        <w:rPr>
          <w:rFonts w:ascii="Garamond" w:hAnsi="Garamond"/>
          <w:b/>
          <w:sz w:val="36"/>
          <w:szCs w:val="36"/>
        </w:rPr>
        <w:t xml:space="preserve">Study Title: </w:t>
      </w:r>
      <w:r w:rsidRPr="006E1A7C">
        <w:rPr>
          <w:rFonts w:ascii="Garamond" w:hAnsi="Garamond"/>
          <w:i/>
          <w:sz w:val="36"/>
          <w:szCs w:val="36"/>
        </w:rPr>
        <w:t xml:space="preserve">Prescribed Optimism: Is it Right to Be Wrong About the Future? </w:t>
      </w:r>
      <w:r w:rsidRPr="006E1A7C">
        <w:rPr>
          <w:rFonts w:ascii="Garamond" w:hAnsi="Garamond"/>
          <w:sz w:val="36"/>
          <w:szCs w:val="36"/>
        </w:rPr>
        <w:t xml:space="preserve">by David A. Armor, Cade Massey &amp; Aaron M. Sackett (2008, </w:t>
      </w:r>
      <w:r w:rsidRPr="006E1A7C">
        <w:rPr>
          <w:rFonts w:ascii="Garamond" w:hAnsi="Garamond"/>
          <w:i/>
          <w:iCs/>
          <w:sz w:val="36"/>
          <w:szCs w:val="36"/>
        </w:rPr>
        <w:t>Psychological Science</w:t>
      </w:r>
      <w:r w:rsidRPr="006E1A7C">
        <w:rPr>
          <w:rFonts w:ascii="Garamond" w:hAnsi="Garamond"/>
          <w:sz w:val="36"/>
          <w:szCs w:val="36"/>
        </w:rPr>
        <w:t>)</w:t>
      </w:r>
    </w:p>
    <w:p w14:paraId="79A190C6" w14:textId="2E1D9086" w:rsidR="00311A8C" w:rsidRPr="00586423" w:rsidRDefault="00311A8C" w:rsidP="00311A8C">
      <w:pPr>
        <w:pStyle w:val="Heading1"/>
        <w:jc w:val="center"/>
        <w:rPr>
          <w:rFonts w:ascii="Garamond" w:hAnsi="Garamond" w:cs="Times New Roman"/>
          <w:color w:val="auto"/>
        </w:rPr>
      </w:pPr>
      <w:r w:rsidRPr="00586423">
        <w:rPr>
          <w:rFonts w:ascii="Garamond" w:hAnsi="Garamond" w:cs="Times New Roman"/>
          <w:color w:val="auto"/>
        </w:rPr>
        <w:t xml:space="preserve">I. </w:t>
      </w:r>
      <w:r>
        <w:rPr>
          <w:rFonts w:ascii="Garamond" w:hAnsi="Garamond" w:cs="Times New Roman"/>
          <w:color w:val="auto"/>
        </w:rPr>
        <w:t>Preliminary Analyses</w:t>
      </w:r>
    </w:p>
    <w:p w14:paraId="463BEBCC" w14:textId="77777777" w:rsidR="00311A8C" w:rsidRPr="00586423" w:rsidRDefault="00311A8C" w:rsidP="00311A8C">
      <w:pPr>
        <w:jc w:val="center"/>
        <w:rPr>
          <w:rFonts w:ascii="Garamond" w:hAnsi="Garamond"/>
          <w:b/>
        </w:rPr>
      </w:pPr>
    </w:p>
    <w:p w14:paraId="03D1D24C" w14:textId="3FA42D9C" w:rsidR="00311A8C" w:rsidRPr="006E1A7C" w:rsidRDefault="00311A8C" w:rsidP="00646A6E">
      <w:pPr>
        <w:ind w:firstLine="720"/>
        <w:rPr>
          <w:rFonts w:ascii="Garamond" w:hAnsi="Garamond"/>
        </w:rPr>
      </w:pPr>
      <w:r w:rsidRPr="006E1A7C">
        <w:rPr>
          <w:rFonts w:ascii="Garamond" w:hAnsi="Garamond"/>
        </w:rPr>
        <w:t>People tend to make optimistically biased predictions about their personal futures</w:t>
      </w:r>
      <w:r>
        <w:rPr>
          <w:rFonts w:ascii="Garamond" w:hAnsi="Garamond"/>
        </w:rPr>
        <w:t>. F</w:t>
      </w:r>
      <w:r w:rsidRPr="006E1A7C">
        <w:rPr>
          <w:rFonts w:ascii="Garamond" w:hAnsi="Garamond"/>
        </w:rPr>
        <w:t xml:space="preserve">or example, we anticipate living longer than average, and we overestimate our chances of success in the job market (Weinstein, 1980). This observation conflicts with the assumption that our primary goal is to be accurate in our predictions. The original study explored–amongst other things–what kind of predictions (accurate, optimistic, or pessimistic) one ought to make. </w:t>
      </w:r>
    </w:p>
    <w:p w14:paraId="237D5147" w14:textId="39267ADE" w:rsidR="00311A8C" w:rsidRPr="006E1A7C" w:rsidRDefault="00311A8C" w:rsidP="00311A8C">
      <w:pPr>
        <w:rPr>
          <w:rFonts w:ascii="Garamond" w:hAnsi="Garamond"/>
        </w:rPr>
      </w:pPr>
    </w:p>
    <w:p w14:paraId="715308ED" w14:textId="3A8DF0BC" w:rsidR="007076D5" w:rsidRDefault="007076D5" w:rsidP="00646A6E">
      <w:pPr>
        <w:ind w:firstLine="720"/>
        <w:rPr>
          <w:rFonts w:ascii="Garamond" w:hAnsi="Garamond"/>
        </w:rPr>
      </w:pPr>
      <w:r>
        <w:rPr>
          <w:rFonts w:ascii="Garamond" w:hAnsi="Garamond"/>
        </w:rPr>
        <w:t>The distributions of scores for each condition are approximately normal (cheating skewness =</w:t>
      </w:r>
      <w:r w:rsidRPr="007076D5">
        <w:t xml:space="preserve"> </w:t>
      </w:r>
      <w:r w:rsidRPr="007076D5">
        <w:rPr>
          <w:rFonts w:ascii="Garamond" w:hAnsi="Garamond"/>
        </w:rPr>
        <w:t>-0.23</w:t>
      </w:r>
      <w:r>
        <w:rPr>
          <w:rFonts w:ascii="Garamond" w:hAnsi="Garamond"/>
        </w:rPr>
        <w:t xml:space="preserve">, kurtosis = -.83; cheater skewness = .01, kurtosis = -.33).  </w:t>
      </w:r>
      <w:r w:rsidR="00646A6E">
        <w:rPr>
          <w:rFonts w:ascii="Garamond" w:hAnsi="Garamond"/>
        </w:rPr>
        <w:t>Figure 1 shows the distribution of scores.</w:t>
      </w:r>
    </w:p>
    <w:p w14:paraId="74855E45" w14:textId="77777777" w:rsidR="007076D5" w:rsidRDefault="007076D5" w:rsidP="007076D5">
      <w:pPr>
        <w:rPr>
          <w:rFonts w:ascii="Garamond" w:hAnsi="Garamond"/>
        </w:rPr>
      </w:pPr>
    </w:p>
    <w:p w14:paraId="6B41DC22" w14:textId="58A6F2CB" w:rsidR="007076D5" w:rsidRDefault="007076D5" w:rsidP="007076D5">
      <w:pPr>
        <w:rPr>
          <w:rFonts w:ascii="Garamond" w:hAnsi="Garamond"/>
        </w:rPr>
      </w:pPr>
    </w:p>
    <w:p w14:paraId="17BD4C10" w14:textId="142A9578" w:rsidR="007076D5" w:rsidRPr="007076D5" w:rsidRDefault="007076D5" w:rsidP="007076D5">
      <w:pPr>
        <w:rPr>
          <w:rFonts w:ascii="Garamond" w:hAnsi="Garamond"/>
          <w:b/>
          <w:noProof/>
        </w:rPr>
      </w:pPr>
      <w:r>
        <w:rPr>
          <w:rFonts w:ascii="Garamond" w:hAnsi="Garamond"/>
          <w:noProof/>
        </w:rPr>
        <w:drawing>
          <wp:anchor distT="0" distB="0" distL="114300" distR="114300" simplePos="0" relativeHeight="251659264" behindDoc="1" locked="0" layoutInCell="1" allowOverlap="1" wp14:anchorId="1C536870" wp14:editId="4512BA03">
            <wp:simplePos x="0" y="0"/>
            <wp:positionH relativeFrom="column">
              <wp:posOffset>0</wp:posOffset>
            </wp:positionH>
            <wp:positionV relativeFrom="paragraph">
              <wp:posOffset>-1451</wp:posOffset>
            </wp:positionV>
            <wp:extent cx="3374390" cy="3374390"/>
            <wp:effectExtent l="0" t="0" r="0" b="0"/>
            <wp:wrapTight wrapText="bothSides">
              <wp:wrapPolygon edited="0">
                <wp:start x="0" y="0"/>
                <wp:lineTo x="0" y="21462"/>
                <wp:lineTo x="21462" y="21462"/>
                <wp:lineTo x="214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74390" cy="3374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247E">
        <w:rPr>
          <w:rFonts w:ascii="Garamond" w:hAnsi="Garamond"/>
          <w:b/>
          <w:noProof/>
        </w:rPr>
        <w:t>Figure 1.</w:t>
      </w:r>
      <w:r>
        <w:rPr>
          <w:rFonts w:ascii="Garamond" w:hAnsi="Garamond"/>
          <w:bCs/>
          <w:noProof/>
        </w:rPr>
        <w:t xml:space="preserve"> </w:t>
      </w:r>
      <w:r>
        <w:rPr>
          <w:rFonts w:ascii="Garamond" w:hAnsi="Garamond"/>
          <w:bCs/>
          <w:noProof/>
        </w:rPr>
        <w:t xml:space="preserve">Distribution of heads reported in cheating and cheater conditons. </w:t>
      </w:r>
      <w:r w:rsidR="00646A6E">
        <w:rPr>
          <w:rFonts w:ascii="Garamond" w:hAnsi="Garamond"/>
          <w:bCs/>
          <w:noProof/>
        </w:rPr>
        <w:t>The m</w:t>
      </w:r>
      <w:r>
        <w:rPr>
          <w:rFonts w:ascii="Garamond" w:hAnsi="Garamond"/>
          <w:bCs/>
          <w:noProof/>
        </w:rPr>
        <w:t xml:space="preserve">ean </w:t>
      </w:r>
      <w:r w:rsidR="00646A6E">
        <w:rPr>
          <w:rFonts w:ascii="Garamond" w:hAnsi="Garamond"/>
          <w:bCs/>
          <w:noProof/>
        </w:rPr>
        <w:t>for each conditon is represnted by the dashed red horizontal line.</w:t>
      </w:r>
    </w:p>
    <w:p w14:paraId="54D68BC7" w14:textId="77777777" w:rsidR="007076D5" w:rsidRDefault="007076D5" w:rsidP="007076D5">
      <w:pPr>
        <w:rPr>
          <w:rFonts w:ascii="Garamond" w:hAnsi="Garamond"/>
        </w:rPr>
      </w:pPr>
    </w:p>
    <w:p w14:paraId="0779CE84" w14:textId="77777777" w:rsidR="007076D5" w:rsidRDefault="007076D5" w:rsidP="007076D5">
      <w:pPr>
        <w:rPr>
          <w:rFonts w:ascii="Garamond" w:hAnsi="Garamond"/>
        </w:rPr>
      </w:pPr>
    </w:p>
    <w:p w14:paraId="45B3DCD5" w14:textId="77777777" w:rsidR="007076D5" w:rsidRDefault="007076D5" w:rsidP="007076D5">
      <w:pPr>
        <w:rPr>
          <w:rFonts w:ascii="Garamond" w:hAnsi="Garamond"/>
        </w:rPr>
      </w:pPr>
    </w:p>
    <w:p w14:paraId="46296F4D" w14:textId="77777777" w:rsidR="007076D5" w:rsidRDefault="007076D5" w:rsidP="007076D5">
      <w:pPr>
        <w:rPr>
          <w:rFonts w:ascii="Garamond" w:hAnsi="Garamond"/>
        </w:rPr>
      </w:pPr>
    </w:p>
    <w:p w14:paraId="1151AE6F" w14:textId="77777777" w:rsidR="007076D5" w:rsidRDefault="007076D5" w:rsidP="007076D5">
      <w:pPr>
        <w:rPr>
          <w:rFonts w:ascii="Garamond" w:hAnsi="Garamond"/>
        </w:rPr>
      </w:pPr>
    </w:p>
    <w:p w14:paraId="0A1151BD" w14:textId="77777777" w:rsidR="007076D5" w:rsidRDefault="007076D5" w:rsidP="007076D5">
      <w:pPr>
        <w:rPr>
          <w:rFonts w:ascii="Garamond" w:hAnsi="Garamond"/>
        </w:rPr>
      </w:pPr>
    </w:p>
    <w:p w14:paraId="3264D34E" w14:textId="77777777" w:rsidR="007076D5" w:rsidRDefault="007076D5" w:rsidP="007076D5">
      <w:pPr>
        <w:rPr>
          <w:rFonts w:ascii="Garamond" w:hAnsi="Garamond"/>
        </w:rPr>
      </w:pPr>
    </w:p>
    <w:p w14:paraId="05843BDC" w14:textId="77777777" w:rsidR="007076D5" w:rsidRDefault="007076D5" w:rsidP="007076D5">
      <w:pPr>
        <w:rPr>
          <w:rFonts w:ascii="Garamond" w:hAnsi="Garamond"/>
        </w:rPr>
      </w:pPr>
    </w:p>
    <w:p w14:paraId="3B962B4E" w14:textId="77777777" w:rsidR="007076D5" w:rsidRDefault="007076D5" w:rsidP="007076D5">
      <w:pPr>
        <w:rPr>
          <w:rFonts w:ascii="Garamond" w:hAnsi="Garamond"/>
        </w:rPr>
      </w:pPr>
    </w:p>
    <w:p w14:paraId="5203E1D2" w14:textId="77777777" w:rsidR="007076D5" w:rsidRDefault="007076D5" w:rsidP="007076D5">
      <w:pPr>
        <w:rPr>
          <w:rFonts w:ascii="Garamond" w:hAnsi="Garamond"/>
        </w:rPr>
      </w:pPr>
    </w:p>
    <w:p w14:paraId="33152D68" w14:textId="77777777" w:rsidR="007076D5" w:rsidRDefault="007076D5" w:rsidP="007076D5">
      <w:pPr>
        <w:rPr>
          <w:rFonts w:ascii="Garamond" w:hAnsi="Garamond"/>
        </w:rPr>
      </w:pPr>
    </w:p>
    <w:p w14:paraId="7C341FCB" w14:textId="77777777" w:rsidR="007076D5" w:rsidRDefault="007076D5" w:rsidP="007076D5">
      <w:pPr>
        <w:rPr>
          <w:rFonts w:ascii="Garamond" w:hAnsi="Garamond"/>
        </w:rPr>
      </w:pPr>
    </w:p>
    <w:p w14:paraId="69BFAC4B" w14:textId="77777777" w:rsidR="007076D5" w:rsidRDefault="007076D5" w:rsidP="007076D5">
      <w:pPr>
        <w:rPr>
          <w:rFonts w:ascii="Garamond" w:hAnsi="Garamond"/>
        </w:rPr>
      </w:pPr>
    </w:p>
    <w:p w14:paraId="64F0B670" w14:textId="77777777" w:rsidR="007076D5" w:rsidRDefault="007076D5" w:rsidP="007076D5">
      <w:pPr>
        <w:rPr>
          <w:rFonts w:ascii="Garamond" w:hAnsi="Garamond"/>
        </w:rPr>
      </w:pPr>
    </w:p>
    <w:p w14:paraId="1D4AC156" w14:textId="77777777" w:rsidR="007076D5" w:rsidRDefault="007076D5" w:rsidP="007076D5">
      <w:pPr>
        <w:rPr>
          <w:rFonts w:ascii="Garamond" w:hAnsi="Garamond"/>
        </w:rPr>
      </w:pPr>
    </w:p>
    <w:p w14:paraId="02A9F3D4" w14:textId="77777777" w:rsidR="007076D5" w:rsidRDefault="007076D5" w:rsidP="007076D5">
      <w:pPr>
        <w:rPr>
          <w:rFonts w:ascii="Garamond" w:hAnsi="Garamond"/>
        </w:rPr>
      </w:pPr>
    </w:p>
    <w:p w14:paraId="659438E3" w14:textId="7274B754" w:rsidR="00531914" w:rsidRDefault="007076D5" w:rsidP="00646A6E">
      <w:pPr>
        <w:ind w:firstLine="720"/>
        <w:rPr>
          <w:rFonts w:ascii="Garamond" w:hAnsi="Garamond"/>
        </w:rPr>
      </w:pPr>
      <w:r w:rsidRPr="007076D5">
        <w:rPr>
          <w:rFonts w:ascii="Garamond" w:hAnsi="Garamond"/>
        </w:rPr>
        <w:t>Descriptive statistics for</w:t>
      </w:r>
      <w:r>
        <w:rPr>
          <w:rFonts w:ascii="Garamond" w:hAnsi="Garamond"/>
        </w:rPr>
        <w:t xml:space="preserve"> the number of heads reported in the cheating and cheater conditions</w:t>
      </w:r>
      <w:r w:rsidRPr="007076D5">
        <w:rPr>
          <w:rFonts w:ascii="Garamond" w:hAnsi="Garamond"/>
        </w:rPr>
        <w:t xml:space="preserve"> are presented in Table 1. </w:t>
      </w:r>
      <w:r>
        <w:rPr>
          <w:rFonts w:ascii="Garamond" w:hAnsi="Garamond"/>
        </w:rPr>
        <w:t>The mean number of heads reported in the cheating condition was 5.74 (SD = 1.14), whereas the mean number of heads reported in the cheater condition was 4.72</w:t>
      </w:r>
      <w:r w:rsidRPr="007076D5">
        <w:rPr>
          <w:rFonts w:ascii="Garamond" w:hAnsi="Garamond"/>
        </w:rPr>
        <w:t>.</w:t>
      </w:r>
      <w:r>
        <w:rPr>
          <w:rFonts w:ascii="Garamond" w:hAnsi="Garamond"/>
        </w:rPr>
        <w:t xml:space="preserve"> The descriptive provide initial support for the alternate confirmatory hypothesis.</w:t>
      </w:r>
    </w:p>
    <w:p w14:paraId="59428BAC" w14:textId="77777777" w:rsidR="007076D5" w:rsidRDefault="007076D5" w:rsidP="00531914">
      <w:pPr>
        <w:rPr>
          <w:rFonts w:ascii="Garamond" w:hAnsi="Garamond"/>
          <w:b/>
          <w:bCs/>
          <w:lang w:val="en-GB"/>
        </w:rPr>
      </w:pPr>
    </w:p>
    <w:p w14:paraId="7ADDC8D0" w14:textId="68F52398" w:rsidR="00531914" w:rsidRPr="007076D5" w:rsidRDefault="00531914" w:rsidP="00531914">
      <w:pPr>
        <w:rPr>
          <w:rFonts w:ascii="Garamond" w:hAnsi="Garamond"/>
          <w:b/>
          <w:bCs/>
          <w:lang w:val="en-GB"/>
        </w:rPr>
      </w:pPr>
      <w:r w:rsidRPr="007076D5">
        <w:rPr>
          <w:rFonts w:ascii="Garamond" w:hAnsi="Garamond"/>
          <w:b/>
          <w:bCs/>
          <w:lang w:val="en-GB"/>
        </w:rPr>
        <w:t xml:space="preserve">Table 1 </w:t>
      </w:r>
    </w:p>
    <w:p w14:paraId="72093E7C" w14:textId="77777777" w:rsidR="00531914" w:rsidRPr="00531914" w:rsidRDefault="00531914" w:rsidP="00531914">
      <w:pPr>
        <w:rPr>
          <w:rFonts w:ascii="Garamond" w:hAnsi="Garamond"/>
          <w:i/>
          <w:iCs/>
          <w:lang w:val="en-GB"/>
        </w:rPr>
      </w:pPr>
      <w:r w:rsidRPr="00531914">
        <w:rPr>
          <w:rFonts w:ascii="Garamond" w:hAnsi="Garamond"/>
          <w:i/>
          <w:iCs/>
          <w:lang w:val="en-GB"/>
        </w:rPr>
        <w:t xml:space="preserve">Descriptive statistics for heads as a function of condition. </w:t>
      </w:r>
    </w:p>
    <w:p w14:paraId="67AF2237" w14:textId="77777777" w:rsidR="00531914" w:rsidRPr="00531914" w:rsidRDefault="00531914" w:rsidP="00531914">
      <w:pPr>
        <w:rPr>
          <w:rFonts w:ascii="Garamond" w:hAnsi="Garamond"/>
          <w:lang w:val="en-GB"/>
        </w:rPr>
      </w:pPr>
      <w:r w:rsidRPr="00531914">
        <w:rPr>
          <w:rFonts w:ascii="Garamond" w:hAnsi="Garamond"/>
          <w:lang w:val="en-GB"/>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2051"/>
        <w:gridCol w:w="864"/>
        <w:gridCol w:w="864"/>
      </w:tblGrid>
      <w:tr w:rsidR="00531914" w:rsidRPr="00531914" w14:paraId="2AAE8B44" w14:textId="77777777" w:rsidTr="0067440B">
        <w:tblPrEx>
          <w:tblCellMar>
            <w:top w:w="0" w:type="dxa"/>
            <w:bottom w:w="0" w:type="dxa"/>
          </w:tblCellMar>
        </w:tblPrEx>
        <w:tc>
          <w:tcPr>
            <w:tcW w:w="2051" w:type="dxa"/>
            <w:tcBorders>
              <w:top w:val="single" w:sz="6" w:space="0" w:color="auto"/>
              <w:left w:val="nil"/>
              <w:bottom w:val="nil"/>
              <w:right w:val="nil"/>
            </w:tcBorders>
            <w:vAlign w:val="center"/>
          </w:tcPr>
          <w:p w14:paraId="44C08BE5" w14:textId="778D2627" w:rsidR="00531914" w:rsidRPr="00531914" w:rsidRDefault="00531914" w:rsidP="00531914">
            <w:pPr>
              <w:rPr>
                <w:rFonts w:ascii="Garamond" w:hAnsi="Garamond"/>
                <w:lang w:val="en-GB"/>
              </w:rPr>
            </w:pPr>
            <w:r>
              <w:rPr>
                <w:rFonts w:ascii="Garamond" w:hAnsi="Garamond"/>
                <w:lang w:val="en-GB"/>
              </w:rPr>
              <w:t>C</w:t>
            </w:r>
            <w:r w:rsidRPr="00531914">
              <w:rPr>
                <w:rFonts w:ascii="Garamond" w:hAnsi="Garamond"/>
                <w:lang w:val="en-GB"/>
              </w:rPr>
              <w:t>ondition</w:t>
            </w:r>
          </w:p>
        </w:tc>
        <w:tc>
          <w:tcPr>
            <w:tcW w:w="864" w:type="dxa"/>
            <w:tcBorders>
              <w:top w:val="single" w:sz="6" w:space="0" w:color="auto"/>
              <w:left w:val="nil"/>
              <w:bottom w:val="nil"/>
              <w:right w:val="nil"/>
            </w:tcBorders>
            <w:vAlign w:val="center"/>
          </w:tcPr>
          <w:p w14:paraId="29C3A9F5" w14:textId="77777777" w:rsidR="00531914" w:rsidRPr="00531914" w:rsidRDefault="00531914" w:rsidP="00531914">
            <w:pPr>
              <w:rPr>
                <w:rFonts w:ascii="Garamond" w:hAnsi="Garamond"/>
                <w:lang w:val="en-GB"/>
              </w:rPr>
            </w:pPr>
            <w:r w:rsidRPr="00531914">
              <w:rPr>
                <w:rFonts w:ascii="Garamond" w:hAnsi="Garamond"/>
                <w:i/>
                <w:iCs/>
                <w:lang w:val="en-GB"/>
              </w:rPr>
              <w:t>M</w:t>
            </w:r>
          </w:p>
        </w:tc>
        <w:tc>
          <w:tcPr>
            <w:tcW w:w="864" w:type="dxa"/>
            <w:tcBorders>
              <w:top w:val="single" w:sz="6" w:space="0" w:color="auto"/>
              <w:left w:val="nil"/>
              <w:bottom w:val="nil"/>
              <w:right w:val="nil"/>
            </w:tcBorders>
            <w:vAlign w:val="center"/>
          </w:tcPr>
          <w:p w14:paraId="525BE6B5" w14:textId="77777777" w:rsidR="00531914" w:rsidRPr="00531914" w:rsidRDefault="00531914" w:rsidP="00531914">
            <w:pPr>
              <w:rPr>
                <w:rFonts w:ascii="Garamond" w:hAnsi="Garamond"/>
                <w:lang w:val="en-GB"/>
              </w:rPr>
            </w:pPr>
            <w:r w:rsidRPr="00531914">
              <w:rPr>
                <w:rFonts w:ascii="Garamond" w:hAnsi="Garamond"/>
                <w:i/>
                <w:iCs/>
                <w:lang w:val="en-GB"/>
              </w:rPr>
              <w:t>SD</w:t>
            </w:r>
          </w:p>
        </w:tc>
      </w:tr>
      <w:tr w:rsidR="00531914" w:rsidRPr="00531914" w14:paraId="752862F2" w14:textId="77777777" w:rsidTr="0067440B">
        <w:tblPrEx>
          <w:tblCellMar>
            <w:top w:w="0" w:type="dxa"/>
            <w:bottom w:w="0" w:type="dxa"/>
          </w:tblCellMar>
        </w:tblPrEx>
        <w:tc>
          <w:tcPr>
            <w:tcW w:w="2051" w:type="dxa"/>
            <w:tcBorders>
              <w:top w:val="single" w:sz="6" w:space="0" w:color="auto"/>
              <w:left w:val="nil"/>
              <w:bottom w:val="nil"/>
              <w:right w:val="nil"/>
            </w:tcBorders>
            <w:vAlign w:val="center"/>
          </w:tcPr>
          <w:p w14:paraId="05217D8F" w14:textId="263586AE" w:rsidR="00531914" w:rsidRPr="00531914" w:rsidRDefault="00531914" w:rsidP="00531914">
            <w:pPr>
              <w:rPr>
                <w:rFonts w:ascii="Garamond" w:hAnsi="Garamond"/>
                <w:lang w:val="en-GB"/>
              </w:rPr>
            </w:pPr>
            <w:r>
              <w:rPr>
                <w:rFonts w:ascii="Garamond" w:hAnsi="Garamond"/>
                <w:lang w:val="en-GB"/>
              </w:rPr>
              <w:t>C</w:t>
            </w:r>
            <w:r w:rsidRPr="00531914">
              <w:rPr>
                <w:rFonts w:ascii="Garamond" w:hAnsi="Garamond"/>
                <w:lang w:val="en-GB"/>
              </w:rPr>
              <w:t>heater</w:t>
            </w:r>
          </w:p>
        </w:tc>
        <w:tc>
          <w:tcPr>
            <w:tcW w:w="864" w:type="dxa"/>
            <w:tcBorders>
              <w:top w:val="single" w:sz="6" w:space="0" w:color="auto"/>
              <w:left w:val="nil"/>
              <w:bottom w:val="nil"/>
              <w:right w:val="nil"/>
            </w:tcBorders>
            <w:vAlign w:val="center"/>
          </w:tcPr>
          <w:p w14:paraId="70DA7FDB" w14:textId="77777777" w:rsidR="00531914" w:rsidRPr="00531914" w:rsidRDefault="00531914" w:rsidP="00531914">
            <w:pPr>
              <w:rPr>
                <w:rFonts w:ascii="Garamond" w:hAnsi="Garamond"/>
                <w:lang w:val="en-GB"/>
              </w:rPr>
            </w:pPr>
            <w:r w:rsidRPr="00531914">
              <w:rPr>
                <w:rFonts w:ascii="Garamond" w:hAnsi="Garamond"/>
                <w:lang w:val="en-GB"/>
              </w:rPr>
              <w:t>4.72</w:t>
            </w:r>
          </w:p>
        </w:tc>
        <w:tc>
          <w:tcPr>
            <w:tcW w:w="864" w:type="dxa"/>
            <w:tcBorders>
              <w:top w:val="single" w:sz="6" w:space="0" w:color="auto"/>
              <w:left w:val="nil"/>
              <w:bottom w:val="nil"/>
              <w:right w:val="nil"/>
            </w:tcBorders>
            <w:vAlign w:val="center"/>
          </w:tcPr>
          <w:p w14:paraId="0967FB82" w14:textId="77777777" w:rsidR="00531914" w:rsidRPr="00531914" w:rsidRDefault="00531914" w:rsidP="00531914">
            <w:pPr>
              <w:rPr>
                <w:rFonts w:ascii="Garamond" w:hAnsi="Garamond"/>
                <w:lang w:val="en-GB"/>
              </w:rPr>
            </w:pPr>
            <w:r w:rsidRPr="00531914">
              <w:rPr>
                <w:rFonts w:ascii="Garamond" w:hAnsi="Garamond"/>
                <w:lang w:val="en-GB"/>
              </w:rPr>
              <w:t>1.30</w:t>
            </w:r>
          </w:p>
        </w:tc>
      </w:tr>
      <w:tr w:rsidR="00531914" w:rsidRPr="00531914" w14:paraId="44771E7B" w14:textId="77777777" w:rsidTr="0067440B">
        <w:tblPrEx>
          <w:tblCellMar>
            <w:top w:w="0" w:type="dxa"/>
            <w:bottom w:w="0" w:type="dxa"/>
          </w:tblCellMar>
        </w:tblPrEx>
        <w:tc>
          <w:tcPr>
            <w:tcW w:w="2051" w:type="dxa"/>
            <w:tcBorders>
              <w:top w:val="nil"/>
              <w:left w:val="nil"/>
              <w:bottom w:val="single" w:sz="6" w:space="0" w:color="auto"/>
              <w:right w:val="nil"/>
            </w:tcBorders>
            <w:vAlign w:val="center"/>
          </w:tcPr>
          <w:p w14:paraId="2968CB03" w14:textId="39EB3AB6" w:rsidR="00531914" w:rsidRPr="00531914" w:rsidRDefault="00531914" w:rsidP="00531914">
            <w:pPr>
              <w:rPr>
                <w:rFonts w:ascii="Garamond" w:hAnsi="Garamond"/>
                <w:lang w:val="en-GB"/>
              </w:rPr>
            </w:pPr>
            <w:r>
              <w:rPr>
                <w:rFonts w:ascii="Garamond" w:hAnsi="Garamond"/>
                <w:lang w:val="en-GB"/>
              </w:rPr>
              <w:t>C</w:t>
            </w:r>
            <w:r w:rsidRPr="00531914">
              <w:rPr>
                <w:rFonts w:ascii="Garamond" w:hAnsi="Garamond"/>
                <w:lang w:val="en-GB"/>
              </w:rPr>
              <w:t>heating</w:t>
            </w:r>
          </w:p>
        </w:tc>
        <w:tc>
          <w:tcPr>
            <w:tcW w:w="864" w:type="dxa"/>
            <w:tcBorders>
              <w:top w:val="nil"/>
              <w:left w:val="nil"/>
              <w:bottom w:val="single" w:sz="6" w:space="0" w:color="auto"/>
              <w:right w:val="nil"/>
            </w:tcBorders>
            <w:vAlign w:val="center"/>
          </w:tcPr>
          <w:p w14:paraId="3440F78D" w14:textId="77777777" w:rsidR="00531914" w:rsidRPr="00531914" w:rsidRDefault="00531914" w:rsidP="00531914">
            <w:pPr>
              <w:rPr>
                <w:rFonts w:ascii="Garamond" w:hAnsi="Garamond"/>
                <w:lang w:val="en-GB"/>
              </w:rPr>
            </w:pPr>
            <w:r w:rsidRPr="00531914">
              <w:rPr>
                <w:rFonts w:ascii="Garamond" w:hAnsi="Garamond"/>
                <w:lang w:val="en-GB"/>
              </w:rPr>
              <w:t>5.74</w:t>
            </w:r>
          </w:p>
        </w:tc>
        <w:tc>
          <w:tcPr>
            <w:tcW w:w="864" w:type="dxa"/>
            <w:tcBorders>
              <w:top w:val="nil"/>
              <w:left w:val="nil"/>
              <w:bottom w:val="single" w:sz="6" w:space="0" w:color="auto"/>
              <w:right w:val="nil"/>
            </w:tcBorders>
            <w:vAlign w:val="center"/>
          </w:tcPr>
          <w:p w14:paraId="3B659E4F" w14:textId="77777777" w:rsidR="00531914" w:rsidRPr="00531914" w:rsidRDefault="00531914" w:rsidP="00531914">
            <w:pPr>
              <w:rPr>
                <w:rFonts w:ascii="Garamond" w:hAnsi="Garamond"/>
                <w:lang w:val="en-GB"/>
              </w:rPr>
            </w:pPr>
            <w:r w:rsidRPr="00531914">
              <w:rPr>
                <w:rFonts w:ascii="Garamond" w:hAnsi="Garamond"/>
                <w:lang w:val="en-GB"/>
              </w:rPr>
              <w:t>1.14</w:t>
            </w:r>
          </w:p>
        </w:tc>
      </w:tr>
    </w:tbl>
    <w:p w14:paraId="2F16F9A3" w14:textId="0C02B04A" w:rsidR="00531914" w:rsidRPr="00531914" w:rsidRDefault="00531914" w:rsidP="00531914">
      <w:pPr>
        <w:rPr>
          <w:rFonts w:ascii="Garamond" w:hAnsi="Garamond"/>
          <w:lang w:val="en-GB"/>
        </w:rPr>
      </w:pPr>
      <w:r w:rsidRPr="00531914">
        <w:rPr>
          <w:rFonts w:ascii="Garamond" w:hAnsi="Garamond"/>
          <w:i/>
          <w:iCs/>
          <w:lang w:val="en-GB"/>
        </w:rPr>
        <w:t>Note.</w:t>
      </w:r>
      <w:r w:rsidRPr="00531914">
        <w:rPr>
          <w:rFonts w:ascii="Garamond" w:hAnsi="Garamond"/>
          <w:lang w:val="en-GB"/>
        </w:rPr>
        <w:t xml:space="preserve"> </w:t>
      </w:r>
      <w:r w:rsidRPr="00531914">
        <w:rPr>
          <w:rFonts w:ascii="Garamond" w:hAnsi="Garamond"/>
          <w:i/>
          <w:iCs/>
          <w:lang w:val="en-GB"/>
        </w:rPr>
        <w:t>M</w:t>
      </w:r>
      <w:r w:rsidRPr="00531914">
        <w:rPr>
          <w:rFonts w:ascii="Garamond" w:hAnsi="Garamond"/>
          <w:lang w:val="en-GB"/>
        </w:rPr>
        <w:t xml:space="preserve"> and </w:t>
      </w:r>
      <w:r w:rsidRPr="00531914">
        <w:rPr>
          <w:rFonts w:ascii="Garamond" w:hAnsi="Garamond"/>
          <w:i/>
          <w:iCs/>
          <w:lang w:val="en-GB"/>
        </w:rPr>
        <w:t>SD</w:t>
      </w:r>
      <w:r w:rsidRPr="00531914">
        <w:rPr>
          <w:rFonts w:ascii="Garamond" w:hAnsi="Garamond"/>
          <w:lang w:val="en-GB"/>
        </w:rPr>
        <w:t xml:space="preserve"> represent mean and standard deviation.</w:t>
      </w:r>
    </w:p>
    <w:p w14:paraId="084702CF" w14:textId="75B1F9EB" w:rsidR="00311A8C" w:rsidRPr="00586423" w:rsidRDefault="00311A8C" w:rsidP="00311A8C">
      <w:pPr>
        <w:pStyle w:val="Heading1"/>
        <w:jc w:val="center"/>
        <w:rPr>
          <w:rFonts w:ascii="Garamond" w:hAnsi="Garamond" w:cs="Times New Roman"/>
          <w:color w:val="auto"/>
        </w:rPr>
      </w:pPr>
      <w:r w:rsidRPr="00586423">
        <w:rPr>
          <w:rFonts w:ascii="Garamond" w:hAnsi="Garamond" w:cs="Times New Roman"/>
          <w:color w:val="auto"/>
        </w:rPr>
        <w:t>II.</w:t>
      </w:r>
      <w:r>
        <w:rPr>
          <w:rFonts w:ascii="Garamond" w:hAnsi="Garamond" w:cs="Times New Roman"/>
          <w:color w:val="auto"/>
        </w:rPr>
        <w:t xml:space="preserve"> Confirmatory Analysis</w:t>
      </w:r>
    </w:p>
    <w:p w14:paraId="27436770" w14:textId="77777777" w:rsidR="00311A8C" w:rsidRDefault="00311A8C" w:rsidP="00311A8C">
      <w:pPr>
        <w:rPr>
          <w:rFonts w:ascii="Garamond" w:hAnsi="Garamond"/>
          <w:b/>
        </w:rPr>
      </w:pPr>
    </w:p>
    <w:p w14:paraId="52E6FCEB" w14:textId="320BE243" w:rsidR="00311A8C" w:rsidRDefault="00311A8C" w:rsidP="00D5247E">
      <w:pPr>
        <w:ind w:firstLine="720"/>
        <w:rPr>
          <w:rFonts w:ascii="Garamond" w:hAnsi="Garamond"/>
          <w:bCs/>
        </w:rPr>
      </w:pPr>
      <w:r w:rsidRPr="00311A8C">
        <w:rPr>
          <w:rFonts w:ascii="Garamond" w:hAnsi="Garamond"/>
          <w:bCs/>
        </w:rPr>
        <w:t xml:space="preserve">An independent t-test was performed to test the difference in </w:t>
      </w:r>
      <w:r>
        <w:rPr>
          <w:rFonts w:ascii="Garamond" w:hAnsi="Garamond"/>
          <w:bCs/>
        </w:rPr>
        <w:t>mean number of heads reported</w:t>
      </w:r>
      <w:r w:rsidRPr="00311A8C">
        <w:rPr>
          <w:rFonts w:ascii="Garamond" w:hAnsi="Garamond"/>
          <w:bCs/>
        </w:rPr>
        <w:t xml:space="preserve"> between </w:t>
      </w:r>
      <w:r>
        <w:rPr>
          <w:rFonts w:ascii="Garamond" w:hAnsi="Garamond"/>
          <w:bCs/>
        </w:rPr>
        <w:t>those in the “cheating” condition versus those in the “cheater” condition</w:t>
      </w:r>
      <w:r w:rsidRPr="00311A8C">
        <w:rPr>
          <w:rFonts w:ascii="Garamond" w:hAnsi="Garamond"/>
          <w:bCs/>
        </w:rPr>
        <w:t xml:space="preserve">. </w:t>
      </w:r>
      <w:r>
        <w:rPr>
          <w:rFonts w:ascii="Garamond" w:hAnsi="Garamond"/>
          <w:bCs/>
        </w:rPr>
        <w:t xml:space="preserve"> P</w:t>
      </w:r>
      <w:r w:rsidRPr="00311A8C">
        <w:rPr>
          <w:rFonts w:ascii="Garamond" w:hAnsi="Garamond"/>
          <w:bCs/>
        </w:rPr>
        <w:t>articipants in the “cheating” condition claimed to</w:t>
      </w:r>
      <w:r>
        <w:rPr>
          <w:rFonts w:ascii="Garamond" w:hAnsi="Garamond"/>
          <w:bCs/>
        </w:rPr>
        <w:t xml:space="preserve"> </w:t>
      </w:r>
      <w:r w:rsidRPr="00311A8C">
        <w:rPr>
          <w:rFonts w:ascii="Garamond" w:hAnsi="Garamond"/>
          <w:bCs/>
        </w:rPr>
        <w:t>have obtained significantly more heads (M</w:t>
      </w:r>
      <w:r w:rsidR="00D5247E">
        <w:rPr>
          <w:rFonts w:ascii="Garamond" w:hAnsi="Garamond"/>
          <w:bCs/>
        </w:rPr>
        <w:t xml:space="preserve"> =</w:t>
      </w:r>
      <w:r w:rsidRPr="00311A8C">
        <w:rPr>
          <w:rFonts w:ascii="Garamond" w:hAnsi="Garamond"/>
          <w:bCs/>
        </w:rPr>
        <w:t xml:space="preserve"> </w:t>
      </w:r>
      <w:r w:rsidR="007A6962">
        <w:rPr>
          <w:rFonts w:ascii="Garamond" w:hAnsi="Garamond"/>
          <w:bCs/>
        </w:rPr>
        <w:t>5.74</w:t>
      </w:r>
      <w:r w:rsidRPr="00311A8C">
        <w:rPr>
          <w:rFonts w:ascii="Garamond" w:hAnsi="Garamond"/>
          <w:bCs/>
        </w:rPr>
        <w:t xml:space="preserve">, SD </w:t>
      </w:r>
      <w:r w:rsidR="00D5247E">
        <w:rPr>
          <w:rFonts w:ascii="Garamond" w:hAnsi="Garamond"/>
          <w:bCs/>
        </w:rPr>
        <w:t>=</w:t>
      </w:r>
      <w:r w:rsidRPr="00311A8C">
        <w:rPr>
          <w:rFonts w:ascii="Garamond" w:hAnsi="Garamond"/>
          <w:bCs/>
        </w:rPr>
        <w:t xml:space="preserve"> </w:t>
      </w:r>
      <w:r w:rsidR="007A6962">
        <w:rPr>
          <w:rFonts w:ascii="Garamond" w:hAnsi="Garamond"/>
          <w:bCs/>
        </w:rPr>
        <w:t>1.14</w:t>
      </w:r>
      <w:r w:rsidRPr="00311A8C">
        <w:rPr>
          <w:rFonts w:ascii="Garamond" w:hAnsi="Garamond"/>
          <w:bCs/>
        </w:rPr>
        <w:t>)</w:t>
      </w:r>
      <w:r w:rsidR="00D5247E">
        <w:rPr>
          <w:rFonts w:ascii="Garamond" w:hAnsi="Garamond"/>
          <w:bCs/>
        </w:rPr>
        <w:t xml:space="preserve"> </w:t>
      </w:r>
      <w:r w:rsidRPr="00311A8C">
        <w:rPr>
          <w:rFonts w:ascii="Garamond" w:hAnsi="Garamond"/>
          <w:bCs/>
        </w:rPr>
        <w:t xml:space="preserve">than did those in the “cheater” condition (M </w:t>
      </w:r>
      <w:r w:rsidR="00D5247E">
        <w:rPr>
          <w:rFonts w:ascii="Garamond" w:hAnsi="Garamond"/>
          <w:bCs/>
        </w:rPr>
        <w:t>=</w:t>
      </w:r>
      <w:r w:rsidRPr="00311A8C">
        <w:rPr>
          <w:rFonts w:ascii="Garamond" w:hAnsi="Garamond"/>
          <w:bCs/>
        </w:rPr>
        <w:t xml:space="preserve"> </w:t>
      </w:r>
      <w:r w:rsidR="007A6962">
        <w:rPr>
          <w:rFonts w:ascii="Garamond" w:hAnsi="Garamond"/>
          <w:bCs/>
        </w:rPr>
        <w:t>4.72</w:t>
      </w:r>
      <w:r w:rsidRPr="00311A8C">
        <w:rPr>
          <w:rFonts w:ascii="Garamond" w:hAnsi="Garamond"/>
          <w:bCs/>
        </w:rPr>
        <w:t xml:space="preserve">, SD </w:t>
      </w:r>
      <w:r w:rsidR="00D5247E">
        <w:rPr>
          <w:rFonts w:ascii="Garamond" w:hAnsi="Garamond"/>
          <w:bCs/>
        </w:rPr>
        <w:t>=</w:t>
      </w:r>
      <w:r w:rsidRPr="00311A8C">
        <w:rPr>
          <w:rFonts w:ascii="Garamond" w:hAnsi="Garamond"/>
          <w:bCs/>
        </w:rPr>
        <w:t xml:space="preserve"> </w:t>
      </w:r>
      <w:r w:rsidR="007A6962">
        <w:rPr>
          <w:rFonts w:ascii="Garamond" w:hAnsi="Garamond"/>
          <w:bCs/>
        </w:rPr>
        <w:t>1.30</w:t>
      </w:r>
      <w:r w:rsidRPr="00311A8C">
        <w:rPr>
          <w:rFonts w:ascii="Garamond" w:hAnsi="Garamond"/>
          <w:bCs/>
        </w:rPr>
        <w:t>),</w:t>
      </w:r>
      <w:r w:rsidR="00D5247E">
        <w:rPr>
          <w:rFonts w:ascii="Garamond" w:hAnsi="Garamond"/>
          <w:bCs/>
        </w:rPr>
        <w:t xml:space="preserve"> </w:t>
      </w:r>
      <w:r w:rsidRPr="007A6962">
        <w:rPr>
          <w:rFonts w:ascii="Garamond" w:hAnsi="Garamond"/>
          <w:bCs/>
          <w:i/>
          <w:iCs/>
        </w:rPr>
        <w:t>t</w:t>
      </w:r>
      <w:r w:rsidRPr="00311A8C">
        <w:rPr>
          <w:rFonts w:ascii="Garamond" w:hAnsi="Garamond"/>
          <w:bCs/>
        </w:rPr>
        <w:t>(</w:t>
      </w:r>
      <w:r w:rsidR="007A6962">
        <w:rPr>
          <w:rFonts w:ascii="Garamond" w:hAnsi="Garamond"/>
          <w:bCs/>
        </w:rPr>
        <w:t>148</w:t>
      </w:r>
      <w:r w:rsidRPr="00311A8C">
        <w:rPr>
          <w:rFonts w:ascii="Garamond" w:hAnsi="Garamond"/>
          <w:bCs/>
        </w:rPr>
        <w:t xml:space="preserve">) </w:t>
      </w:r>
      <w:r w:rsidR="00D5247E">
        <w:rPr>
          <w:rFonts w:ascii="Garamond" w:hAnsi="Garamond"/>
          <w:bCs/>
        </w:rPr>
        <w:t>=</w:t>
      </w:r>
      <w:r w:rsidRPr="00311A8C">
        <w:rPr>
          <w:rFonts w:ascii="Garamond" w:hAnsi="Garamond"/>
          <w:bCs/>
        </w:rPr>
        <w:t xml:space="preserve"> </w:t>
      </w:r>
      <w:r w:rsidR="007A6962">
        <w:rPr>
          <w:rFonts w:ascii="Garamond" w:hAnsi="Garamond"/>
          <w:bCs/>
        </w:rPr>
        <w:t>5.11</w:t>
      </w:r>
      <w:r w:rsidRPr="00311A8C">
        <w:rPr>
          <w:rFonts w:ascii="Garamond" w:hAnsi="Garamond"/>
          <w:bCs/>
        </w:rPr>
        <w:t xml:space="preserve">, p </w:t>
      </w:r>
      <w:r w:rsidR="00D5247E">
        <w:rPr>
          <w:rFonts w:ascii="Garamond" w:hAnsi="Garamond"/>
          <w:bCs/>
        </w:rPr>
        <w:t>&lt; .001</w:t>
      </w:r>
      <w:r w:rsidRPr="00311A8C">
        <w:rPr>
          <w:rFonts w:ascii="Garamond" w:hAnsi="Garamond"/>
          <w:bCs/>
        </w:rPr>
        <w:t xml:space="preserve">, d </w:t>
      </w:r>
      <w:r w:rsidR="00D5247E">
        <w:rPr>
          <w:rFonts w:ascii="Garamond" w:hAnsi="Garamond"/>
          <w:bCs/>
        </w:rPr>
        <w:t>= .83.</w:t>
      </w:r>
      <w:r w:rsidRPr="00311A8C">
        <w:rPr>
          <w:rFonts w:ascii="Garamond" w:hAnsi="Garamond"/>
          <w:bCs/>
        </w:rPr>
        <w:t xml:space="preserve"> </w:t>
      </w:r>
      <w:r w:rsidR="00D5247E">
        <w:rPr>
          <w:rFonts w:ascii="Garamond" w:hAnsi="Garamond"/>
          <w:bCs/>
        </w:rPr>
        <w:t>T</w:t>
      </w:r>
      <w:r w:rsidRPr="00311A8C">
        <w:rPr>
          <w:rFonts w:ascii="Garamond" w:hAnsi="Garamond"/>
          <w:bCs/>
        </w:rPr>
        <w:t xml:space="preserve">here was a mean difference in </w:t>
      </w:r>
      <w:r w:rsidR="00D5247E">
        <w:rPr>
          <w:rFonts w:ascii="Garamond" w:hAnsi="Garamond"/>
          <w:bCs/>
        </w:rPr>
        <w:t>number of heads called</w:t>
      </w:r>
      <w:r w:rsidRPr="00311A8C">
        <w:rPr>
          <w:rFonts w:ascii="Garamond" w:hAnsi="Garamond"/>
          <w:bCs/>
        </w:rPr>
        <w:t xml:space="preserve"> between the groups of </w:t>
      </w:r>
      <w:r w:rsidR="00D5247E">
        <w:rPr>
          <w:rFonts w:ascii="Garamond" w:hAnsi="Garamond"/>
          <w:bCs/>
        </w:rPr>
        <w:t>1.02</w:t>
      </w:r>
      <w:r w:rsidRPr="00311A8C">
        <w:rPr>
          <w:rFonts w:ascii="Garamond" w:hAnsi="Garamond"/>
          <w:bCs/>
        </w:rPr>
        <w:t xml:space="preserve"> in favor of </w:t>
      </w:r>
      <w:r w:rsidR="00D5247E">
        <w:rPr>
          <w:rFonts w:ascii="Garamond" w:hAnsi="Garamond"/>
          <w:bCs/>
        </w:rPr>
        <w:t>the cheating condition (see Figure 1)</w:t>
      </w:r>
      <w:r w:rsidRPr="00311A8C">
        <w:rPr>
          <w:rFonts w:ascii="Garamond" w:hAnsi="Garamond"/>
          <w:bCs/>
        </w:rPr>
        <w:t xml:space="preserve">. The 95% confidence interval associated with this mean difference was obtained with 5,000 bootstrap resamples and </w:t>
      </w:r>
      <w:r w:rsidR="00D5247E">
        <w:rPr>
          <w:rFonts w:ascii="Garamond" w:hAnsi="Garamond"/>
          <w:bCs/>
        </w:rPr>
        <w:t>did not include zero</w:t>
      </w:r>
      <w:r w:rsidRPr="00311A8C">
        <w:rPr>
          <w:rFonts w:ascii="Garamond" w:hAnsi="Garamond"/>
          <w:bCs/>
        </w:rPr>
        <w:t xml:space="preserve"> (</w:t>
      </w:r>
      <w:proofErr w:type="spellStart"/>
      <w:r w:rsidR="00D5247E">
        <w:rPr>
          <w:rFonts w:ascii="Garamond" w:hAnsi="Garamond"/>
          <w:bCs/>
        </w:rPr>
        <w:t>M</w:t>
      </w:r>
      <w:r w:rsidR="00D5247E" w:rsidRPr="00D5247E">
        <w:rPr>
          <w:rFonts w:ascii="Garamond" w:hAnsi="Garamond"/>
          <w:bCs/>
          <w:vertAlign w:val="subscript"/>
        </w:rPr>
        <w:t>diff</w:t>
      </w:r>
      <w:proofErr w:type="spellEnd"/>
      <w:r w:rsidRPr="00311A8C">
        <w:rPr>
          <w:rFonts w:ascii="Garamond" w:hAnsi="Garamond"/>
          <w:bCs/>
        </w:rPr>
        <w:t xml:space="preserve"> = </w:t>
      </w:r>
      <w:r w:rsidR="00D5247E">
        <w:rPr>
          <w:rFonts w:ascii="Garamond" w:hAnsi="Garamond"/>
          <w:bCs/>
        </w:rPr>
        <w:t>1.02</w:t>
      </w:r>
      <w:r w:rsidRPr="00311A8C">
        <w:rPr>
          <w:rFonts w:ascii="Garamond" w:hAnsi="Garamond"/>
          <w:bCs/>
        </w:rPr>
        <w:t xml:space="preserve">, 95% CI = </w:t>
      </w:r>
      <w:r w:rsidR="00D5247E">
        <w:rPr>
          <w:rFonts w:ascii="Garamond" w:hAnsi="Garamond"/>
          <w:bCs/>
        </w:rPr>
        <w:t>.60</w:t>
      </w:r>
      <w:r w:rsidRPr="00311A8C">
        <w:rPr>
          <w:rFonts w:ascii="Garamond" w:hAnsi="Garamond"/>
          <w:bCs/>
        </w:rPr>
        <w:t xml:space="preserve">, </w:t>
      </w:r>
      <w:r w:rsidR="00D5247E">
        <w:rPr>
          <w:rFonts w:ascii="Garamond" w:hAnsi="Garamond"/>
          <w:bCs/>
        </w:rPr>
        <w:t>1.45</w:t>
      </w:r>
      <w:r w:rsidRPr="00311A8C">
        <w:rPr>
          <w:rFonts w:ascii="Garamond" w:hAnsi="Garamond"/>
          <w:bCs/>
        </w:rPr>
        <w:t xml:space="preserve">). As such, the difference in </w:t>
      </w:r>
      <w:r w:rsidR="00D5247E">
        <w:rPr>
          <w:rFonts w:ascii="Garamond" w:hAnsi="Garamond"/>
          <w:bCs/>
        </w:rPr>
        <w:t>mean heads called</w:t>
      </w:r>
      <w:r w:rsidRPr="00311A8C">
        <w:rPr>
          <w:rFonts w:ascii="Garamond" w:hAnsi="Garamond"/>
          <w:bCs/>
        </w:rPr>
        <w:t xml:space="preserve"> between</w:t>
      </w:r>
      <w:r w:rsidR="00D5247E" w:rsidRPr="00311A8C">
        <w:rPr>
          <w:rFonts w:ascii="Garamond" w:hAnsi="Garamond"/>
          <w:bCs/>
        </w:rPr>
        <w:t xml:space="preserve"> </w:t>
      </w:r>
      <w:r w:rsidR="00D5247E">
        <w:rPr>
          <w:rFonts w:ascii="Garamond" w:hAnsi="Garamond"/>
          <w:bCs/>
        </w:rPr>
        <w:t>those in the “cheating” condition versus those in the “cheater” condition</w:t>
      </w:r>
      <w:r w:rsidR="00D5247E" w:rsidRPr="00311A8C">
        <w:rPr>
          <w:rFonts w:ascii="Garamond" w:hAnsi="Garamond"/>
          <w:bCs/>
        </w:rPr>
        <w:t xml:space="preserve"> </w:t>
      </w:r>
      <w:r w:rsidRPr="00311A8C">
        <w:rPr>
          <w:rFonts w:ascii="Garamond" w:hAnsi="Garamond"/>
          <w:bCs/>
        </w:rPr>
        <w:t>is statistically significant.</w:t>
      </w:r>
    </w:p>
    <w:p w14:paraId="261A6BD0" w14:textId="77777777" w:rsidR="007076D5" w:rsidRDefault="007076D5" w:rsidP="00D5247E">
      <w:pPr>
        <w:ind w:firstLine="720"/>
        <w:rPr>
          <w:rFonts w:ascii="Garamond" w:hAnsi="Garamond"/>
          <w:bCs/>
        </w:rPr>
      </w:pPr>
    </w:p>
    <w:p w14:paraId="7EE9DAD7" w14:textId="6C7D7804" w:rsidR="00D5247E" w:rsidRDefault="00D5247E" w:rsidP="00D5247E">
      <w:pPr>
        <w:ind w:firstLine="720"/>
        <w:rPr>
          <w:rFonts w:ascii="Garamond" w:hAnsi="Garamond"/>
          <w:bCs/>
        </w:rPr>
      </w:pPr>
    </w:p>
    <w:p w14:paraId="60F1E0FD" w14:textId="2E6A1D75" w:rsidR="00D5247E" w:rsidRDefault="00D5247E" w:rsidP="00D5247E">
      <w:pPr>
        <w:rPr>
          <w:rFonts w:ascii="Garamond" w:hAnsi="Garamond"/>
          <w:bCs/>
          <w:noProof/>
        </w:rPr>
      </w:pPr>
      <w:r w:rsidRPr="00D5247E">
        <w:rPr>
          <w:rFonts w:ascii="Garamond" w:hAnsi="Garamond"/>
          <w:b/>
          <w:noProof/>
        </w:rPr>
        <w:drawing>
          <wp:anchor distT="0" distB="0" distL="114300" distR="114300" simplePos="0" relativeHeight="251658240" behindDoc="1" locked="0" layoutInCell="1" allowOverlap="1" wp14:anchorId="09E3370A" wp14:editId="7D8AB668">
            <wp:simplePos x="0" y="0"/>
            <wp:positionH relativeFrom="margin">
              <wp:align>left</wp:align>
            </wp:positionH>
            <wp:positionV relativeFrom="paragraph">
              <wp:posOffset>0</wp:posOffset>
            </wp:positionV>
            <wp:extent cx="3188970" cy="3188970"/>
            <wp:effectExtent l="0" t="0" r="0" b="0"/>
            <wp:wrapTight wrapText="bothSides">
              <wp:wrapPolygon edited="0">
                <wp:start x="0" y="0"/>
                <wp:lineTo x="0" y="21419"/>
                <wp:lineTo x="21419" y="21419"/>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1684" cy="31916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247E">
        <w:rPr>
          <w:rFonts w:ascii="Garamond" w:hAnsi="Garamond"/>
          <w:b/>
          <w:noProof/>
        </w:rPr>
        <w:t xml:space="preserve">Figure </w:t>
      </w:r>
      <w:r w:rsidR="007076D5">
        <w:rPr>
          <w:rFonts w:ascii="Garamond" w:hAnsi="Garamond"/>
          <w:b/>
          <w:noProof/>
        </w:rPr>
        <w:t>2</w:t>
      </w:r>
      <w:r w:rsidRPr="00D5247E">
        <w:rPr>
          <w:rFonts w:ascii="Garamond" w:hAnsi="Garamond"/>
          <w:b/>
          <w:noProof/>
        </w:rPr>
        <w:t>.</w:t>
      </w:r>
      <w:r>
        <w:rPr>
          <w:rFonts w:ascii="Garamond" w:hAnsi="Garamond"/>
          <w:bCs/>
          <w:noProof/>
        </w:rPr>
        <w:t xml:space="preserve"> </w:t>
      </w:r>
      <w:r w:rsidRPr="00D5247E">
        <w:rPr>
          <w:rFonts w:ascii="Garamond" w:hAnsi="Garamond"/>
          <w:bCs/>
          <w:noProof/>
        </w:rPr>
        <w:t xml:space="preserve">In </w:t>
      </w:r>
      <w:r>
        <w:rPr>
          <w:rFonts w:ascii="Garamond" w:hAnsi="Garamond"/>
          <w:bCs/>
          <w:noProof/>
        </w:rPr>
        <w:t>the experiment</w:t>
      </w:r>
      <w:r w:rsidRPr="00D5247E">
        <w:rPr>
          <w:rFonts w:ascii="Garamond" w:hAnsi="Garamond"/>
          <w:bCs/>
          <w:noProof/>
        </w:rPr>
        <w:t>, the mean number of heads claimed</w:t>
      </w:r>
      <w:r>
        <w:rPr>
          <w:rFonts w:ascii="Garamond" w:hAnsi="Garamond"/>
          <w:bCs/>
          <w:noProof/>
        </w:rPr>
        <w:t xml:space="preserve"> </w:t>
      </w:r>
      <w:r w:rsidRPr="00D5247E">
        <w:rPr>
          <w:rFonts w:ascii="Garamond" w:hAnsi="Garamond"/>
          <w:bCs/>
          <w:noProof/>
        </w:rPr>
        <w:t>in the “cheating” condition was significantly greater than the number claimed in the</w:t>
      </w:r>
      <w:r>
        <w:rPr>
          <w:rFonts w:ascii="Garamond" w:hAnsi="Garamond"/>
          <w:bCs/>
          <w:noProof/>
        </w:rPr>
        <w:t xml:space="preserve"> </w:t>
      </w:r>
      <w:r w:rsidRPr="00D5247E">
        <w:rPr>
          <w:rFonts w:ascii="Garamond" w:hAnsi="Garamond"/>
          <w:bCs/>
          <w:noProof/>
        </w:rPr>
        <w:t>“cheater” condition</w:t>
      </w:r>
    </w:p>
    <w:p w14:paraId="3C758DD7" w14:textId="1DB4CC06" w:rsidR="00D5247E" w:rsidRPr="00D5247E" w:rsidRDefault="00D5247E" w:rsidP="00D5247E">
      <w:pPr>
        <w:tabs>
          <w:tab w:val="left" w:pos="1131"/>
        </w:tabs>
        <w:rPr>
          <w:rFonts w:ascii="Garamond" w:hAnsi="Garamond"/>
        </w:rPr>
      </w:pPr>
    </w:p>
    <w:sectPr w:rsidR="00D5247E" w:rsidRPr="00D52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mn-e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yMDEzMTaxMDAxMTVX0lEKTi0uzszPAykwrAUAOPfEJCwAAAA="/>
  </w:docVars>
  <w:rsids>
    <w:rsidRoot w:val="00311A8C"/>
    <w:rsid w:val="00311A8C"/>
    <w:rsid w:val="00531914"/>
    <w:rsid w:val="00646A6E"/>
    <w:rsid w:val="007076D5"/>
    <w:rsid w:val="00712578"/>
    <w:rsid w:val="007A6962"/>
    <w:rsid w:val="00AE7E57"/>
    <w:rsid w:val="00D52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B9C8"/>
  <w15:chartTrackingRefBased/>
  <w15:docId w15:val="{CA86464C-E150-40FC-AEF5-631F0556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A8C"/>
    <w:pPr>
      <w:spacing w:after="0" w:line="240" w:lineRule="auto"/>
    </w:pPr>
    <w:rPr>
      <w:rFonts w:ascii="Times New Roman" w:eastAsiaTheme="minorEastAsia" w:hAnsi="Times New Roman" w:cs="Times New Roman"/>
      <w:sz w:val="24"/>
      <w:szCs w:val="24"/>
      <w:lang w:val="en-US"/>
    </w:rPr>
  </w:style>
  <w:style w:type="paragraph" w:styleId="Heading1">
    <w:name w:val="heading 1"/>
    <w:basedOn w:val="Normal"/>
    <w:next w:val="Normal"/>
    <w:link w:val="Heading1Char"/>
    <w:uiPriority w:val="9"/>
    <w:qFormat/>
    <w:rsid w:val="00311A8C"/>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A8C"/>
    <w:rPr>
      <w:rFonts w:asciiTheme="majorHAnsi" w:eastAsiaTheme="majorEastAsia" w:hAnsiTheme="majorHAnsi" w:cstheme="majorBidi"/>
      <w:b/>
      <w:bCs/>
      <w:color w:val="2D4F8E" w:themeColor="accent1" w:themeShade="B5"/>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Curran,T</dc:creator>
  <cp:keywords/>
  <dc:description/>
  <cp:lastModifiedBy>Curran,T</cp:lastModifiedBy>
  <cp:revision>3</cp:revision>
  <dcterms:created xsi:type="dcterms:W3CDTF">2020-10-27T15:04:00Z</dcterms:created>
  <dcterms:modified xsi:type="dcterms:W3CDTF">2020-10-27T15:38:00Z</dcterms:modified>
</cp:coreProperties>
</file>