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09B7E" w14:textId="77777777" w:rsidR="00F120C9" w:rsidRPr="00914890" w:rsidRDefault="00F120C9" w:rsidP="00F120C9">
      <w:pPr>
        <w:jc w:val="center"/>
        <w:rPr>
          <w:rFonts w:cs="Calibri"/>
        </w:rPr>
      </w:pPr>
      <w:r w:rsidRPr="00914890">
        <w:rPr>
          <w:rFonts w:cs="Calibri"/>
        </w:rPr>
        <w:t>Thomas DESROSIERS</w:t>
      </w:r>
    </w:p>
    <w:p w14:paraId="30FA073E" w14:textId="7B871D51" w:rsidR="00F120C9" w:rsidRPr="00914890" w:rsidRDefault="002766BE" w:rsidP="00F120C9">
      <w:pPr>
        <w:jc w:val="center"/>
        <w:rPr>
          <w:rFonts w:cs="Calibri"/>
        </w:rPr>
      </w:pPr>
      <w:r w:rsidRPr="002766BE">
        <w:rPr>
          <w:rFonts w:cs="Calibri"/>
        </w:rPr>
        <w:t>Intégration de systèmes</w:t>
      </w:r>
      <w:r w:rsidR="00F120C9" w:rsidRPr="00914890">
        <w:rPr>
          <w:rFonts w:cs="Calibri"/>
        </w:rPr>
        <w:br/>
      </w:r>
      <w:r w:rsidRPr="002766BE">
        <w:rPr>
          <w:rFonts w:cs="Calibri"/>
        </w:rPr>
        <w:t>247GE4LG</w:t>
      </w:r>
      <w:r w:rsidR="00F120C9" w:rsidRPr="00914890">
        <w:rPr>
          <w:rFonts w:cs="Calibri"/>
        </w:rPr>
        <w:br/>
      </w:r>
      <w:r w:rsidRPr="002766BE">
        <w:rPr>
          <w:rFonts w:cs="Calibri"/>
        </w:rPr>
        <w:t>000001</w:t>
      </w:r>
    </w:p>
    <w:p w14:paraId="02F4A088" w14:textId="164665F8" w:rsidR="00F120C9" w:rsidRPr="00914890" w:rsidRDefault="002766BE" w:rsidP="00F120C9">
      <w:pPr>
        <w:jc w:val="center"/>
        <w:rPr>
          <w:rFonts w:cs="Calibri"/>
        </w:rPr>
      </w:pPr>
      <w:r w:rsidRPr="002766BE">
        <w:rPr>
          <w:rFonts w:cs="Calibri"/>
        </w:rPr>
        <w:t xml:space="preserve">Rapport Laboratoire </w:t>
      </w:r>
      <w:r w:rsidR="00BC493F">
        <w:rPr>
          <w:rFonts w:cs="Calibri"/>
        </w:rPr>
        <w:t>4</w:t>
      </w:r>
      <w:r w:rsidR="00F120C9" w:rsidRPr="00914890">
        <w:rPr>
          <w:rFonts w:cs="Calibri"/>
        </w:rPr>
        <w:br/>
      </w:r>
      <w:r w:rsidR="00BC493F">
        <w:rPr>
          <w:rFonts w:cs="Calibri"/>
        </w:rPr>
        <w:t xml:space="preserve">Les </w:t>
      </w:r>
      <w:r w:rsidR="00BC493F" w:rsidRPr="00BC493F">
        <w:rPr>
          <w:rFonts w:cs="Calibri"/>
        </w:rPr>
        <w:t>Capteurs</w:t>
      </w:r>
    </w:p>
    <w:p w14:paraId="7DBF2E0F" w14:textId="139BCC86" w:rsidR="00F120C9" w:rsidRPr="00914890" w:rsidRDefault="00F120C9" w:rsidP="00F120C9">
      <w:pPr>
        <w:jc w:val="center"/>
        <w:rPr>
          <w:rFonts w:cs="Calibri"/>
        </w:rPr>
      </w:pPr>
      <w:r w:rsidRPr="00914890">
        <w:rPr>
          <w:rFonts w:cs="Calibri"/>
        </w:rPr>
        <w:t>Travail présenté à</w:t>
      </w:r>
      <w:r w:rsidRPr="00914890">
        <w:rPr>
          <w:rFonts w:cs="Calibri"/>
        </w:rPr>
        <w:br/>
      </w:r>
      <w:r w:rsidR="002766BE" w:rsidRPr="002766BE">
        <w:rPr>
          <w:rFonts w:cs="Calibri"/>
        </w:rPr>
        <w:t>Monsieur Marc JUNEAU</w:t>
      </w:r>
    </w:p>
    <w:p w14:paraId="2A56FF8C" w14:textId="4F5F91E9" w:rsidR="00F120C9" w:rsidRPr="00914890" w:rsidRDefault="00F120C9" w:rsidP="00F120C9">
      <w:pPr>
        <w:jc w:val="center"/>
        <w:rPr>
          <w:rFonts w:cs="Calibri"/>
        </w:rPr>
        <w:sectPr w:rsidR="00F120C9" w:rsidRPr="00914890" w:rsidSect="00044339">
          <w:pgSz w:w="12242" w:h="15842" w:code="1"/>
          <w:pgMar w:top="1418" w:right="1701" w:bottom="1418" w:left="1701" w:header="709" w:footer="709" w:gutter="0"/>
          <w:cols w:space="708"/>
          <w:vAlign w:val="both"/>
          <w:docGrid w:linePitch="360"/>
        </w:sectPr>
      </w:pPr>
      <w:r w:rsidRPr="00914890">
        <w:rPr>
          <w:rFonts w:cs="Calibri"/>
        </w:rPr>
        <w:br/>
        <w:t>Collège Lionel-Groulx</w:t>
      </w:r>
      <w:r w:rsidRPr="00914890">
        <w:rPr>
          <w:rFonts w:cs="Calibri"/>
        </w:rPr>
        <w:br/>
        <w:t xml:space="preserve">Date de remise du travail: </w:t>
      </w:r>
      <w:r w:rsidR="002766BE">
        <w:rPr>
          <w:rFonts w:cs="Calibri"/>
        </w:rPr>
        <w:t>jeudi</w:t>
      </w:r>
      <w:r w:rsidRPr="00914890">
        <w:rPr>
          <w:rFonts w:cs="Calibri"/>
        </w:rPr>
        <w:t>, 1</w:t>
      </w:r>
      <w:r w:rsidR="002766BE">
        <w:rPr>
          <w:rFonts w:cs="Calibri"/>
        </w:rPr>
        <w:t>1</w:t>
      </w:r>
      <w:r w:rsidRPr="00914890">
        <w:rPr>
          <w:rFonts w:cs="Calibri"/>
        </w:rPr>
        <w:t xml:space="preserve"> </w:t>
      </w:r>
      <w:r w:rsidR="002766BE">
        <w:rPr>
          <w:rFonts w:cs="Calibri"/>
        </w:rPr>
        <w:t xml:space="preserve">mars </w:t>
      </w:r>
      <w:r w:rsidRPr="00914890">
        <w:rPr>
          <w:rFonts w:cs="Calibri"/>
        </w:rPr>
        <w:t>202</w:t>
      </w:r>
      <w:r w:rsidR="002766BE">
        <w:rPr>
          <w:rFonts w:cs="Calibri"/>
        </w:rPr>
        <w:t>1</w:t>
      </w:r>
    </w:p>
    <w:p w14:paraId="31D1C9DC" w14:textId="3127B756" w:rsidR="00F120C9" w:rsidRDefault="006C2221" w:rsidP="006C2221">
      <w:pPr>
        <w:pStyle w:val="Titre1"/>
        <w:jc w:val="left"/>
      </w:pPr>
      <w:bookmarkStart w:id="0" w:name="_Toc445456824"/>
      <w:r>
        <w:lastRenderedPageBreak/>
        <w:t>Description des circuits</w:t>
      </w:r>
    </w:p>
    <w:p w14:paraId="5BB127D2" w14:textId="656C7E49" w:rsidR="006C2221" w:rsidRDefault="006C2221" w:rsidP="006C2221">
      <w:pPr>
        <w:pStyle w:val="Titre2"/>
      </w:pPr>
      <w:r>
        <w:t>Capteur de température</w:t>
      </w:r>
    </w:p>
    <w:p w14:paraId="0A559D07" w14:textId="77777777" w:rsidR="006C2221" w:rsidRDefault="006C2221" w:rsidP="006C2221">
      <w:pPr>
        <w:keepNext/>
        <w:jc w:val="center"/>
      </w:pPr>
      <w:r w:rsidRPr="006C2221">
        <w:rPr>
          <w:noProof/>
        </w:rPr>
        <w:drawing>
          <wp:inline distT="0" distB="0" distL="0" distR="0" wp14:anchorId="3E1C22A8" wp14:editId="22276B5A">
            <wp:extent cx="5554286" cy="324000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28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8594" w14:textId="61D983D3" w:rsidR="006C2221" w:rsidRDefault="006C2221" w:rsidP="006C2221">
      <w:pPr>
        <w:pStyle w:val="Lgende"/>
        <w:tabs>
          <w:tab w:val="left" w:pos="142"/>
        </w:tabs>
        <w:jc w:val="left"/>
        <w:rPr>
          <w:noProof/>
        </w:rPr>
      </w:pPr>
      <w:r>
        <w:tab/>
        <w:t xml:space="preserve">Figure </w:t>
      </w:r>
      <w:fldSimple w:instr=" SEQ Figure \* ARABIC ">
        <w:r w:rsidR="005D2E9F">
          <w:rPr>
            <w:noProof/>
          </w:rPr>
          <w:t>1</w:t>
        </w:r>
      </w:fldSimple>
      <w:r>
        <w:rPr>
          <w:noProof/>
        </w:rPr>
        <w:t xml:space="preserve"> Circuit de mesure de température et son amplificateur.</w:t>
      </w:r>
      <w:bookmarkEnd w:id="0"/>
    </w:p>
    <w:p w14:paraId="3ACA0A3F" w14:textId="7DA0CE6F" w:rsidR="00CC4794" w:rsidRDefault="006C2221" w:rsidP="00A41AFC">
      <w:pPr>
        <w:rPr>
          <w:rFonts w:ascii="Cambria Math" w:eastAsiaTheme="minorEastAsia" w:hAnsi="Cambria Math" w:cs="Cambria Math"/>
        </w:rPr>
      </w:pPr>
      <w:r>
        <w:t>Le LM35 retourne 10mV/</w:t>
      </w:r>
      <w:r w:rsidRPr="003C4DD5">
        <w:rPr>
          <w:rFonts w:ascii="Cambria Math" w:hAnsi="Cambria Math" w:cs="Cambria Math"/>
          <w:vertAlign w:val="superscript"/>
        </w:rPr>
        <w:t>∘</w:t>
      </w:r>
      <w:r>
        <w:rPr>
          <w:rFonts w:ascii="Cambria Math" w:hAnsi="Cambria Math" w:cs="Cambria Math"/>
        </w:rPr>
        <w:t xml:space="preserve">C </w:t>
      </w:r>
      <w:r w:rsidR="00A41AFC">
        <w:rPr>
          <w:rFonts w:ascii="Cambria Math" w:hAnsi="Cambria Math" w:cs="Cambria Math"/>
        </w:rPr>
        <w:t>pour un maximum de 150</w:t>
      </w:r>
      <w:r w:rsidR="00A41AFC" w:rsidRPr="003C4DD5">
        <w:rPr>
          <w:rFonts w:ascii="Cambria Math" w:hAnsi="Cambria Math" w:cs="Cambria Math"/>
          <w:vertAlign w:val="superscript"/>
        </w:rPr>
        <w:t>∘</w:t>
      </w:r>
      <w:r w:rsidR="00A41AFC">
        <w:rPr>
          <w:rFonts w:ascii="Cambria Math" w:hAnsi="Cambria Math" w:cs="Cambria Math"/>
        </w:rPr>
        <w:t>C</w:t>
      </w:r>
      <w:r w:rsidR="00A41AFC">
        <w:rPr>
          <w:rFonts w:ascii="Cambria Math" w:hAnsi="Cambria Math" w:cs="Cambria Math"/>
        </w:rPr>
        <w:t xml:space="preserve"> ce qui donnerait un maximum de 1.5V en sortie. Comme notre ADC mesure de 0V à 5V et que la tension de sortie maximale du LM35 est de 1.5V, nous utilisons donc seulement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3</m:t>
            </m:r>
          </m:den>
        </m:f>
      </m:oMath>
      <w:r w:rsidR="00A41AFC">
        <w:rPr>
          <w:rFonts w:ascii="Cambria Math" w:eastAsiaTheme="minorEastAsia" w:hAnsi="Cambria Math" w:cs="Cambria Math"/>
        </w:rPr>
        <w:t xml:space="preserve"> de notre plage d’échantillonnage. C’est pour cette raison que le signal est amplifié avec un gain de 11. Ainsi, le signal fait maintenant 0V – 5V. </w:t>
      </w:r>
      <w:r w:rsidR="003C4DD5">
        <w:rPr>
          <w:rFonts w:ascii="Cambria Math" w:eastAsiaTheme="minorEastAsia" w:hAnsi="Cambria Math" w:cs="Cambria Math"/>
        </w:rPr>
        <w:t>Cependant</w:t>
      </w:r>
      <w:r w:rsidR="00A41AFC">
        <w:rPr>
          <w:rFonts w:ascii="Cambria Math" w:eastAsiaTheme="minorEastAsia" w:hAnsi="Cambria Math" w:cs="Cambria Math"/>
        </w:rPr>
        <w:t xml:space="preserve">, le gain en précision qu’amène l’amplification se traduit aussi par une réduction de notre plage d’échantillonnage. Pour le signal de 5V amplifié avec un gain de 11 avec </w:t>
      </w:r>
      <w:r w:rsidR="00A41AFC">
        <w:t>10mV/</w:t>
      </w:r>
      <w:r w:rsidR="003C4DD5" w:rsidRPr="003C4DD5">
        <w:rPr>
          <w:rFonts w:ascii="Cambria Math" w:hAnsi="Cambria Math" w:cs="Cambria Math"/>
          <w:vertAlign w:val="superscript"/>
        </w:rPr>
        <w:t>∘</w:t>
      </w:r>
      <w:r w:rsidR="00A41AFC">
        <w:rPr>
          <w:rFonts w:ascii="Cambria Math" w:hAnsi="Cambria Math" w:cs="Cambria Math"/>
        </w:rPr>
        <w:t>C</w:t>
      </w:r>
      <w:r w:rsidR="00A41AFC">
        <w:rPr>
          <w:rFonts w:ascii="Cambria Math" w:hAnsi="Cambria Math" w:cs="Cambria Math"/>
        </w:rPr>
        <w:t xml:space="preserve"> à la sortie du LM35 on obtient donc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5V÷11</m:t>
            </m:r>
          </m:num>
          <m:den>
            <m:r>
              <w:rPr>
                <w:rFonts w:ascii="Cambria Math" w:hAnsi="Cambria Math" w:cs="Cambria Math"/>
              </w:rPr>
              <m:t>10mV</m:t>
            </m:r>
          </m:den>
        </m:f>
        <m:r>
          <w:rPr>
            <w:rFonts w:ascii="Cambria Math" w:hAnsi="Cambria Math" w:cs="Cambria Math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C</m:t>
        </m:r>
      </m:oMath>
      <w:r w:rsidR="003C4DD5">
        <w:rPr>
          <w:rFonts w:ascii="Cambria Math" w:eastAsiaTheme="minorEastAsia" w:hAnsi="Cambria Math" w:cs="Cambria Math"/>
        </w:rPr>
        <w:t xml:space="preserve"> </w:t>
      </w:r>
      <w:r w:rsidR="005A36B6">
        <w:rPr>
          <w:rFonts w:ascii="Cambria Math" w:eastAsiaTheme="minorEastAsia" w:hAnsi="Cambria Math" w:cs="Cambria Math"/>
        </w:rPr>
        <w:t>C</w:t>
      </w:r>
      <w:r w:rsidR="003C4DD5">
        <w:rPr>
          <w:rFonts w:ascii="Cambria Math" w:eastAsiaTheme="minorEastAsia" w:hAnsi="Cambria Math" w:cs="Cambria Math"/>
        </w:rPr>
        <w:t>omme température maximale mesurée une fois le signal amplifié.</w:t>
      </w:r>
    </w:p>
    <w:p w14:paraId="71C8DFDC" w14:textId="686FE30A" w:rsidR="00CC4794" w:rsidRDefault="003C4DD5">
      <w:pPr>
        <w:spacing w:after="160" w:line="259" w:lineRule="auto"/>
        <w:jc w:val="left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La plage de température mesurable une fois le signal amplifié représente le tier</w:t>
      </w:r>
      <w:r w:rsidR="005A36B6">
        <w:rPr>
          <w:rFonts w:ascii="Cambria Math" w:eastAsiaTheme="minorEastAsia" w:hAnsi="Cambria Math" w:cs="Cambria Math"/>
        </w:rPr>
        <w:t>s</w:t>
      </w:r>
      <w:r>
        <w:rPr>
          <w:rFonts w:ascii="Cambria Math" w:eastAsiaTheme="minorEastAsia" w:hAnsi="Cambria Math" w:cs="Cambria Math"/>
        </w:rPr>
        <w:t xml:space="preserve"> de celle non</w:t>
      </w:r>
      <w:r w:rsidR="005A36B6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amplifiée. Puisque l’application de notre montage est la mesure de température intérieur</w:t>
      </w:r>
      <w:r w:rsidR="005A36B6">
        <w:rPr>
          <w:rFonts w:ascii="Cambria Math" w:eastAsiaTheme="minorEastAsia" w:hAnsi="Cambria Math" w:cs="Cambria Math"/>
        </w:rPr>
        <w:t>e</w:t>
      </w:r>
      <w:r>
        <w:rPr>
          <w:rFonts w:ascii="Cambria Math" w:eastAsiaTheme="minorEastAsia" w:hAnsi="Cambria Math" w:cs="Cambria Math"/>
        </w:rPr>
        <w:t xml:space="preserve"> d’une pièce, on ne dépassera probablement jamais les </w:t>
      </w:r>
      <w:r w:rsidRPr="003C4DD5">
        <w:rPr>
          <w:rFonts w:ascii="Cambria Math" w:eastAsiaTheme="minorEastAsia" w:hAnsi="Cambria Math" w:cs="Cambria Math"/>
        </w:rPr>
        <w:t>45</w:t>
      </w:r>
      <w:r w:rsidRPr="003C4DD5">
        <w:rPr>
          <w:rFonts w:ascii="Cambria Math" w:eastAsiaTheme="minorEastAsia" w:hAnsi="Cambria Math" w:cs="Cambria Math"/>
          <w:vertAlign w:val="superscript"/>
        </w:rPr>
        <w:t>∘</w:t>
      </w:r>
      <w:r w:rsidRPr="003C4DD5">
        <w:rPr>
          <w:rFonts w:ascii="Cambria Math" w:eastAsiaTheme="minorEastAsia" w:hAnsi="Cambria Math" w:cs="Cambria Math"/>
        </w:rPr>
        <w:t>C</w:t>
      </w:r>
      <w:r>
        <w:rPr>
          <w:rFonts w:ascii="Cambria Math" w:eastAsiaTheme="minorEastAsia" w:hAnsi="Cambria Math" w:cs="Cambria Math"/>
        </w:rPr>
        <w:t>.</w:t>
      </w:r>
      <w:r w:rsidR="00CC4794">
        <w:rPr>
          <w:rFonts w:ascii="Cambria Math" w:eastAsiaTheme="minorEastAsia" w:hAnsi="Cambria Math" w:cs="Cambria Math"/>
        </w:rPr>
        <w:br w:type="page"/>
      </w:r>
    </w:p>
    <w:p w14:paraId="41AEC7B3" w14:textId="201FD120" w:rsidR="006C2221" w:rsidRDefault="00F14D26" w:rsidP="00CC4794">
      <w:pPr>
        <w:pStyle w:val="Titre2"/>
      </w:pPr>
      <w:r>
        <w:lastRenderedPageBreak/>
        <w:t>Photorésistance</w:t>
      </w:r>
    </w:p>
    <w:p w14:paraId="7FA68BB8" w14:textId="77777777" w:rsidR="00DB6E3E" w:rsidRPr="00DB6E3E" w:rsidRDefault="00DB6E3E" w:rsidP="00DB6E3E"/>
    <w:tbl>
      <w:tblPr>
        <w:tblW w:w="2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50"/>
        <w:gridCol w:w="1200"/>
      </w:tblGrid>
      <w:tr w:rsidR="00DB6E3E" w:rsidRPr="00DB6E3E" w14:paraId="0932708C" w14:textId="77777777" w:rsidTr="00DB6E3E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2B7182" w14:textId="3079E1E9" w:rsidR="00DB6E3E" w:rsidRPr="00DB6E3E" w:rsidRDefault="00DB6E3E" w:rsidP="00DB6E3E">
            <w:pPr>
              <w:jc w:val="left"/>
              <w:rPr>
                <w:rFonts w:eastAsia="Times New Roman" w:cs="Calibri"/>
                <w:color w:val="000000"/>
                <w:sz w:val="22"/>
                <w:lang w:eastAsia="fr-CA"/>
              </w:rPr>
            </w:pPr>
            <w:r w:rsidRPr="00DB6E3E">
              <w:rPr>
                <w:rFonts w:eastAsia="Times New Roman" w:cs="Calibri"/>
                <w:color w:val="000000"/>
                <w:sz w:val="22"/>
                <w:lang w:eastAsia="fr-CA"/>
              </w:rPr>
              <w:t>LUX</w:t>
            </w:r>
            <w:r>
              <w:rPr>
                <w:rFonts w:eastAsia="Times New Roman" w:cs="Calibri"/>
                <w:color w:val="000000"/>
                <w:sz w:val="22"/>
                <w:vertAlign w:val="subscript"/>
                <w:lang w:eastAsia="fr-CA"/>
              </w:rPr>
              <w:t>MAX</w:t>
            </w:r>
          </w:p>
        </w:tc>
        <w:tc>
          <w:tcPr>
            <w:tcW w:w="220" w:type="dxa"/>
            <w:shd w:val="clear" w:color="auto" w:fill="auto"/>
            <w:noWrap/>
            <w:vAlign w:val="center"/>
            <w:hideMark/>
          </w:tcPr>
          <w:p w14:paraId="0CAE5375" w14:textId="77777777" w:rsidR="00DB6E3E" w:rsidRPr="00DB6E3E" w:rsidRDefault="00DB6E3E" w:rsidP="00DB6E3E">
            <w:pPr>
              <w:jc w:val="center"/>
              <w:rPr>
                <w:rFonts w:eastAsia="Times New Roman" w:cs="Calibri"/>
                <w:color w:val="000000"/>
                <w:sz w:val="22"/>
                <w:lang w:eastAsia="fr-CA"/>
              </w:rPr>
            </w:pPr>
            <w:r w:rsidRPr="00DB6E3E">
              <w:rPr>
                <w:rFonts w:eastAsia="Times New Roman" w:cs="Calibri"/>
                <w:color w:val="000000"/>
                <w:sz w:val="22"/>
                <w:lang w:eastAsia="fr-CA"/>
              </w:rPr>
              <w:t>=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6C47112" w14:textId="027F88E7" w:rsidR="00DB6E3E" w:rsidRPr="00DB6E3E" w:rsidRDefault="00DB6E3E" w:rsidP="00DB6E3E">
            <w:pPr>
              <w:jc w:val="right"/>
              <w:rPr>
                <w:rFonts w:eastAsia="Times New Roman" w:cs="Calibri"/>
                <w:color w:val="000000"/>
                <w:sz w:val="22"/>
                <w:lang w:eastAsia="fr-CA"/>
              </w:rPr>
            </w:pPr>
            <w:r w:rsidRPr="00DB6E3E">
              <w:rPr>
                <w:rFonts w:eastAsia="Times New Roman" w:cs="Calibri"/>
                <w:color w:val="000000"/>
                <w:sz w:val="22"/>
                <w:lang w:eastAsia="fr-CA"/>
              </w:rPr>
              <w:t>6000</w:t>
            </w:r>
            <w:r>
              <w:rPr>
                <w:rFonts w:eastAsia="Times New Roman" w:cs="Calibri"/>
                <w:color w:val="000000"/>
                <w:sz w:val="22"/>
                <w:lang w:eastAsia="fr-CA"/>
              </w:rPr>
              <w:t xml:space="preserve"> LUX</w:t>
            </w:r>
          </w:p>
        </w:tc>
      </w:tr>
      <w:tr w:rsidR="00DB6E3E" w:rsidRPr="00DB6E3E" w14:paraId="568F0DDC" w14:textId="77777777" w:rsidTr="00DB6E3E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F145664" w14:textId="792A28B4" w:rsidR="00DB6E3E" w:rsidRPr="00DB6E3E" w:rsidRDefault="00DB6E3E" w:rsidP="00DB6E3E">
            <w:pPr>
              <w:jc w:val="left"/>
              <w:rPr>
                <w:rFonts w:eastAsia="Times New Roman" w:cs="Calibri"/>
                <w:color w:val="000000"/>
                <w:sz w:val="22"/>
                <w:lang w:eastAsia="fr-CA"/>
              </w:rPr>
            </w:pPr>
            <w:r w:rsidRPr="00DB6E3E">
              <w:rPr>
                <w:rFonts w:eastAsia="Times New Roman" w:cs="Calibri"/>
                <w:color w:val="000000"/>
                <w:sz w:val="22"/>
                <w:lang w:eastAsia="fr-CA"/>
              </w:rPr>
              <w:t>R</w:t>
            </w:r>
            <w:r w:rsidRPr="00DB6E3E">
              <w:rPr>
                <w:rFonts w:eastAsia="Times New Roman" w:cs="Calibri"/>
                <w:color w:val="000000"/>
                <w:sz w:val="22"/>
                <w:vertAlign w:val="subscript"/>
                <w:lang w:eastAsia="fr-CA"/>
              </w:rPr>
              <w:t>MIN</w:t>
            </w:r>
          </w:p>
        </w:tc>
        <w:tc>
          <w:tcPr>
            <w:tcW w:w="220" w:type="dxa"/>
            <w:shd w:val="clear" w:color="auto" w:fill="auto"/>
            <w:noWrap/>
            <w:vAlign w:val="center"/>
            <w:hideMark/>
          </w:tcPr>
          <w:p w14:paraId="7A43289F" w14:textId="77777777" w:rsidR="00DB6E3E" w:rsidRPr="00DB6E3E" w:rsidRDefault="00DB6E3E" w:rsidP="00DB6E3E">
            <w:pPr>
              <w:jc w:val="center"/>
              <w:rPr>
                <w:rFonts w:eastAsia="Times New Roman" w:cs="Calibri"/>
                <w:color w:val="000000"/>
                <w:sz w:val="22"/>
                <w:lang w:eastAsia="fr-CA"/>
              </w:rPr>
            </w:pPr>
            <w:r w:rsidRPr="00DB6E3E">
              <w:rPr>
                <w:rFonts w:eastAsia="Times New Roman" w:cs="Calibri"/>
                <w:color w:val="000000"/>
                <w:sz w:val="22"/>
                <w:lang w:eastAsia="fr-CA"/>
              </w:rPr>
              <w:t>=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D7A43FC" w14:textId="77777777" w:rsidR="00DB6E3E" w:rsidRPr="00DB6E3E" w:rsidRDefault="00DB6E3E" w:rsidP="00DB6E3E">
            <w:pPr>
              <w:jc w:val="right"/>
              <w:rPr>
                <w:rFonts w:eastAsia="Times New Roman" w:cs="Calibri"/>
                <w:color w:val="000000"/>
                <w:sz w:val="22"/>
                <w:lang w:eastAsia="fr-CA"/>
              </w:rPr>
            </w:pPr>
            <w:r w:rsidRPr="00DB6E3E">
              <w:rPr>
                <w:rFonts w:eastAsia="Times New Roman" w:cs="Calibri"/>
                <w:color w:val="000000"/>
                <w:sz w:val="22"/>
                <w:lang w:eastAsia="fr-CA"/>
              </w:rPr>
              <w:t>208Ω</w:t>
            </w:r>
          </w:p>
        </w:tc>
      </w:tr>
      <w:tr w:rsidR="00DB6E3E" w:rsidRPr="00DB6E3E" w14:paraId="2628022F" w14:textId="77777777" w:rsidTr="00DB6E3E">
        <w:trPr>
          <w:trHeight w:val="3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9139FBE" w14:textId="77777777" w:rsidR="00DB6E3E" w:rsidRPr="00DB6E3E" w:rsidRDefault="00DB6E3E" w:rsidP="00DB6E3E">
            <w:pPr>
              <w:jc w:val="right"/>
              <w:rPr>
                <w:rFonts w:eastAsia="Times New Roman" w:cs="Calibri"/>
                <w:color w:val="000000"/>
                <w:sz w:val="22"/>
                <w:lang w:eastAsia="fr-CA"/>
              </w:rPr>
            </w:pPr>
          </w:p>
        </w:tc>
        <w:tc>
          <w:tcPr>
            <w:tcW w:w="220" w:type="dxa"/>
            <w:shd w:val="clear" w:color="auto" w:fill="auto"/>
            <w:noWrap/>
            <w:vAlign w:val="center"/>
            <w:hideMark/>
          </w:tcPr>
          <w:p w14:paraId="10E4084E" w14:textId="77777777" w:rsidR="00DB6E3E" w:rsidRPr="00DB6E3E" w:rsidRDefault="00DB6E3E" w:rsidP="00DB6E3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71F485E" w14:textId="77777777" w:rsidR="00DB6E3E" w:rsidRPr="00DB6E3E" w:rsidRDefault="00DB6E3E" w:rsidP="00DB6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DB6E3E" w:rsidRPr="00DB6E3E" w14:paraId="1601DEE0" w14:textId="77777777" w:rsidTr="00DB6E3E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7E89C37" w14:textId="7F97091A" w:rsidR="00DB6E3E" w:rsidRPr="00DB6E3E" w:rsidRDefault="00DB6E3E" w:rsidP="00DB6E3E">
            <w:pPr>
              <w:jc w:val="left"/>
              <w:rPr>
                <w:rFonts w:eastAsia="Times New Roman" w:cs="Calibri"/>
                <w:color w:val="000000"/>
                <w:sz w:val="22"/>
                <w:lang w:eastAsia="fr-CA"/>
              </w:rPr>
            </w:pPr>
            <w:r w:rsidRPr="00DB6E3E">
              <w:rPr>
                <w:rFonts w:eastAsia="Times New Roman" w:cs="Calibri"/>
                <w:color w:val="000000"/>
                <w:sz w:val="22"/>
                <w:lang w:eastAsia="fr-CA"/>
              </w:rPr>
              <w:t>LUX</w:t>
            </w:r>
            <w:r w:rsidRPr="00DB6E3E">
              <w:rPr>
                <w:rFonts w:eastAsia="Times New Roman" w:cs="Calibri"/>
                <w:color w:val="000000"/>
                <w:sz w:val="22"/>
                <w:vertAlign w:val="subscript"/>
                <w:lang w:eastAsia="fr-CA"/>
              </w:rPr>
              <w:t>MIN</w:t>
            </w:r>
          </w:p>
        </w:tc>
        <w:tc>
          <w:tcPr>
            <w:tcW w:w="220" w:type="dxa"/>
            <w:shd w:val="clear" w:color="auto" w:fill="auto"/>
            <w:noWrap/>
            <w:vAlign w:val="center"/>
            <w:hideMark/>
          </w:tcPr>
          <w:p w14:paraId="61BDCD55" w14:textId="77777777" w:rsidR="00DB6E3E" w:rsidRPr="00DB6E3E" w:rsidRDefault="00DB6E3E" w:rsidP="00DB6E3E">
            <w:pPr>
              <w:jc w:val="center"/>
              <w:rPr>
                <w:rFonts w:eastAsia="Times New Roman" w:cs="Calibri"/>
                <w:color w:val="000000"/>
                <w:sz w:val="22"/>
                <w:lang w:eastAsia="fr-CA"/>
              </w:rPr>
            </w:pPr>
            <w:r w:rsidRPr="00DB6E3E">
              <w:rPr>
                <w:rFonts w:eastAsia="Times New Roman" w:cs="Calibri"/>
                <w:color w:val="000000"/>
                <w:sz w:val="22"/>
                <w:lang w:eastAsia="fr-CA"/>
              </w:rPr>
              <w:t>=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97B3089" w14:textId="4DE044A7" w:rsidR="00DB6E3E" w:rsidRPr="00DB6E3E" w:rsidRDefault="00DB6E3E" w:rsidP="00DB6E3E">
            <w:pPr>
              <w:jc w:val="right"/>
              <w:rPr>
                <w:rFonts w:eastAsia="Times New Roman" w:cs="Calibri"/>
                <w:color w:val="000000"/>
                <w:sz w:val="22"/>
                <w:lang w:eastAsia="fr-CA"/>
              </w:rPr>
            </w:pPr>
            <w:r>
              <w:rPr>
                <w:rFonts w:eastAsia="Times New Roman" w:cs="Calibri"/>
                <w:color w:val="000000"/>
                <w:sz w:val="22"/>
                <w:lang w:eastAsia="fr-CA"/>
              </w:rPr>
              <w:t xml:space="preserve">1 LUX </w:t>
            </w:r>
          </w:p>
        </w:tc>
      </w:tr>
      <w:tr w:rsidR="00DB6E3E" w:rsidRPr="00DB6E3E" w14:paraId="09DB1B60" w14:textId="77777777" w:rsidTr="00DB6E3E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0CFE874" w14:textId="58E68F99" w:rsidR="00DB6E3E" w:rsidRPr="00DB6E3E" w:rsidRDefault="00DB6E3E" w:rsidP="00DB6E3E">
            <w:pPr>
              <w:jc w:val="left"/>
              <w:rPr>
                <w:rFonts w:eastAsia="Times New Roman" w:cs="Calibri"/>
                <w:color w:val="000000"/>
                <w:sz w:val="22"/>
                <w:lang w:eastAsia="fr-CA"/>
              </w:rPr>
            </w:pPr>
            <w:r w:rsidRPr="00DB6E3E">
              <w:rPr>
                <w:rFonts w:eastAsia="Times New Roman" w:cs="Calibri"/>
                <w:color w:val="000000"/>
                <w:sz w:val="22"/>
                <w:lang w:eastAsia="fr-CA"/>
              </w:rPr>
              <w:t>R</w:t>
            </w:r>
            <w:r w:rsidRPr="00DB6E3E">
              <w:rPr>
                <w:rFonts w:eastAsia="Times New Roman" w:cs="Calibri"/>
                <w:color w:val="000000"/>
                <w:sz w:val="22"/>
                <w:vertAlign w:val="subscript"/>
                <w:lang w:eastAsia="fr-CA"/>
              </w:rPr>
              <w:t>MAX</w:t>
            </w:r>
          </w:p>
        </w:tc>
        <w:tc>
          <w:tcPr>
            <w:tcW w:w="220" w:type="dxa"/>
            <w:shd w:val="clear" w:color="auto" w:fill="auto"/>
            <w:noWrap/>
            <w:vAlign w:val="center"/>
            <w:hideMark/>
          </w:tcPr>
          <w:p w14:paraId="23158302" w14:textId="77777777" w:rsidR="00DB6E3E" w:rsidRPr="00DB6E3E" w:rsidRDefault="00DB6E3E" w:rsidP="00DB6E3E">
            <w:pPr>
              <w:jc w:val="center"/>
              <w:rPr>
                <w:rFonts w:eastAsia="Times New Roman" w:cs="Calibri"/>
                <w:color w:val="000000"/>
                <w:sz w:val="22"/>
                <w:lang w:eastAsia="fr-CA"/>
              </w:rPr>
            </w:pPr>
            <w:r w:rsidRPr="00DB6E3E">
              <w:rPr>
                <w:rFonts w:eastAsia="Times New Roman" w:cs="Calibri"/>
                <w:color w:val="000000"/>
                <w:sz w:val="22"/>
                <w:lang w:eastAsia="fr-CA"/>
              </w:rPr>
              <w:t>=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B4FA78A" w14:textId="77777777" w:rsidR="00DB6E3E" w:rsidRPr="00DB6E3E" w:rsidRDefault="00DB6E3E" w:rsidP="00DB6E3E">
            <w:pPr>
              <w:jc w:val="right"/>
              <w:rPr>
                <w:rFonts w:eastAsia="Times New Roman" w:cs="Calibri"/>
                <w:color w:val="000000"/>
                <w:sz w:val="22"/>
                <w:lang w:eastAsia="fr-CA"/>
              </w:rPr>
            </w:pPr>
            <w:r w:rsidRPr="00DB6E3E">
              <w:rPr>
                <w:rFonts w:eastAsia="Times New Roman" w:cs="Calibri"/>
                <w:color w:val="000000"/>
                <w:sz w:val="22"/>
                <w:lang w:eastAsia="fr-CA"/>
              </w:rPr>
              <w:t>113,47kΩ</w:t>
            </w:r>
          </w:p>
        </w:tc>
      </w:tr>
    </w:tbl>
    <w:p w14:paraId="65DAC6E0" w14:textId="2FB68945" w:rsidR="00DB6E3E" w:rsidRDefault="00DB6E3E" w:rsidP="00DB6E3E"/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200"/>
        <w:gridCol w:w="1200"/>
        <w:gridCol w:w="1200"/>
        <w:gridCol w:w="1200"/>
      </w:tblGrid>
      <w:tr w:rsidR="00A80319" w14:paraId="536547E8" w14:textId="77777777" w:rsidTr="00A80319">
        <w:trPr>
          <w:trHeight w:val="31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9E8B" w14:textId="77777777" w:rsidR="00A80319" w:rsidRDefault="00A80319">
            <w:pPr>
              <w:jc w:val="center"/>
              <w:rPr>
                <w:rFonts w:cs="Calibri"/>
                <w:color w:val="000000"/>
                <w:sz w:val="22"/>
                <w:lang w:eastAsia="fr-CA"/>
              </w:rPr>
            </w:pPr>
            <w:r>
              <w:rPr>
                <w:rFonts w:cs="Calibri"/>
                <w:color w:val="000000"/>
                <w:sz w:val="22"/>
              </w:rPr>
              <w:t>Environnement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1277" w14:textId="77777777" w:rsidR="00A80319" w:rsidRDefault="00A80319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Signification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1C26" w14:textId="77777777" w:rsidR="00A80319" w:rsidRDefault="00A80319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LUX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AAB21" w14:textId="39C0EA5D" w:rsidR="00A80319" w:rsidRDefault="00A80319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Ω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FC35" w14:textId="38BD79C2" w:rsidR="00A80319" w:rsidRDefault="00A80319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V</w:t>
            </w:r>
            <w:r w:rsidRPr="00A80319">
              <w:rPr>
                <w:rFonts w:cs="Calibri"/>
                <w:color w:val="000000"/>
                <w:sz w:val="22"/>
                <w:vertAlign w:val="subscript"/>
              </w:rPr>
              <w:t>OUT</w:t>
            </w:r>
            <w:r>
              <w:rPr>
                <w:rFonts w:cs="Calibri"/>
                <w:color w:val="000000"/>
                <w:sz w:val="22"/>
                <w:vertAlign w:val="subscript"/>
              </w:rPr>
              <w:t xml:space="preserve"> </w:t>
            </w:r>
            <w:r>
              <w:rPr>
                <w:rStyle w:val="Appelnotedebasdep"/>
                <w:rFonts w:cs="Calibri"/>
                <w:color w:val="000000"/>
                <w:sz w:val="22"/>
              </w:rPr>
              <w:footnoteReference w:id="1"/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F7AC3" w14:textId="77777777" w:rsidR="00A80319" w:rsidRDefault="00A80319">
            <w:pPr>
              <w:jc w:val="center"/>
              <w:rPr>
                <w:rFonts w:cs="Calibri"/>
                <w:color w:val="000000"/>
                <w:sz w:val="22"/>
              </w:rPr>
            </w:pPr>
          </w:p>
        </w:tc>
      </w:tr>
      <w:tr w:rsidR="00A80319" w14:paraId="1F7096BB" w14:textId="77777777" w:rsidTr="00A8031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6A8B" w14:textId="77777777" w:rsidR="00A80319" w:rsidRDefault="00A80319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Obscurité totale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8397A" w14:textId="77777777" w:rsidR="00A80319" w:rsidRDefault="00A80319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LUX</w:t>
            </w:r>
            <w:r w:rsidRPr="00A80319">
              <w:rPr>
                <w:rFonts w:cs="Calibri"/>
                <w:color w:val="000000"/>
                <w:sz w:val="22"/>
                <w:vertAlign w:val="subscript"/>
              </w:rPr>
              <w:t>MIN</w:t>
            </w:r>
            <w:r>
              <w:rPr>
                <w:rFonts w:cs="Calibri"/>
                <w:color w:val="000000"/>
                <w:sz w:val="22"/>
              </w:rPr>
              <w:t xml:space="preserve"> / R</w:t>
            </w:r>
            <w:r w:rsidRPr="00A80319">
              <w:rPr>
                <w:rFonts w:cs="Calibri"/>
                <w:color w:val="000000"/>
                <w:sz w:val="22"/>
                <w:vertAlign w:val="subscript"/>
              </w:rPr>
              <w:t>MAX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D536" w14:textId="77777777" w:rsidR="00A80319" w:rsidRDefault="00A80319">
            <w:pPr>
              <w:jc w:val="right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1D54EE" w14:textId="77777777" w:rsidR="00A80319" w:rsidRDefault="00A80319">
            <w:pPr>
              <w:jc w:val="right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117470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FFE8" w14:textId="77777777" w:rsidR="00A80319" w:rsidRDefault="00A80319">
            <w:pPr>
              <w:jc w:val="right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0,042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95222" w14:textId="77777777" w:rsidR="00A80319" w:rsidRDefault="00A80319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Calculé</w:t>
            </w:r>
          </w:p>
        </w:tc>
      </w:tr>
      <w:tr w:rsidR="00A80319" w14:paraId="7D6E48A2" w14:textId="77777777" w:rsidTr="00A8031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000000" w:fill="auto"/>
            <w:noWrap/>
            <w:vAlign w:val="center"/>
            <w:hideMark/>
          </w:tcPr>
          <w:p w14:paraId="3D533623" w14:textId="77777777" w:rsidR="00A80319" w:rsidRDefault="00A80319">
            <w:pPr>
              <w:jc w:val="left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auto"/>
            <w:noWrap/>
            <w:vAlign w:val="center"/>
            <w:hideMark/>
          </w:tcPr>
          <w:p w14:paraId="3C50AB04" w14:textId="77777777" w:rsidR="00A80319" w:rsidRDefault="00A80319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8B2C" w14:textId="77777777" w:rsidR="00A80319" w:rsidRDefault="00A80319">
            <w:pPr>
              <w:jc w:val="right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10534" w14:textId="77777777" w:rsidR="00A80319" w:rsidRDefault="00A80319">
            <w:pPr>
              <w:jc w:val="right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6300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817D39" w14:textId="77777777" w:rsidR="00A80319" w:rsidRDefault="00A80319">
            <w:pPr>
              <w:jc w:val="right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0,585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3ADCBBF" w14:textId="77777777" w:rsidR="00A80319" w:rsidRDefault="00A80319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Mesuré</w:t>
            </w:r>
          </w:p>
        </w:tc>
      </w:tr>
      <w:tr w:rsidR="00A80319" w14:paraId="0D23E13C" w14:textId="77777777" w:rsidTr="00A8031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000000" w:fill="auto"/>
            <w:noWrap/>
            <w:vAlign w:val="center"/>
            <w:hideMark/>
          </w:tcPr>
          <w:p w14:paraId="0AE55E6C" w14:textId="77777777" w:rsidR="00A80319" w:rsidRDefault="00A80319">
            <w:pPr>
              <w:jc w:val="left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auto"/>
            <w:noWrap/>
            <w:vAlign w:val="center"/>
            <w:hideMark/>
          </w:tcPr>
          <w:p w14:paraId="1C641A8C" w14:textId="77777777" w:rsidR="00A80319" w:rsidRDefault="00A80319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B2102" w14:textId="77777777" w:rsidR="00A80319" w:rsidRDefault="00A80319">
            <w:pPr>
              <w:jc w:val="right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E33C1" w14:textId="77777777" w:rsidR="00A80319" w:rsidRDefault="00A80319">
            <w:pPr>
              <w:jc w:val="right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1700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E4276A" w14:textId="77777777" w:rsidR="00A80319" w:rsidRDefault="00A80319">
            <w:pPr>
              <w:jc w:val="right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0,955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8C8DF1B" w14:textId="77777777" w:rsidR="00A80319" w:rsidRDefault="00A80319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Mesuré</w:t>
            </w:r>
          </w:p>
        </w:tc>
      </w:tr>
      <w:tr w:rsidR="00A80319" w14:paraId="649D9DA2" w14:textId="77777777" w:rsidTr="00A8031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000000" w:fill="auto"/>
            <w:noWrap/>
            <w:vAlign w:val="center"/>
            <w:hideMark/>
          </w:tcPr>
          <w:p w14:paraId="348466C8" w14:textId="77777777" w:rsidR="00A80319" w:rsidRDefault="00A80319">
            <w:pPr>
              <w:jc w:val="left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auto"/>
            <w:noWrap/>
            <w:vAlign w:val="center"/>
            <w:hideMark/>
          </w:tcPr>
          <w:p w14:paraId="5667D208" w14:textId="77777777" w:rsidR="00A80319" w:rsidRDefault="00A80319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72C4" w14:textId="77777777" w:rsidR="00A80319" w:rsidRDefault="00A80319">
            <w:pPr>
              <w:jc w:val="right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CCBEB1" w14:textId="77777777" w:rsidR="00A80319" w:rsidRDefault="00A80319">
            <w:pPr>
              <w:jc w:val="right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750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BC5EF3" w14:textId="77777777" w:rsidR="00A80319" w:rsidRDefault="00A80319">
            <w:pPr>
              <w:jc w:val="right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2,195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E93512B" w14:textId="77777777" w:rsidR="00A80319" w:rsidRDefault="00A80319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Mesuré</w:t>
            </w:r>
          </w:p>
        </w:tc>
      </w:tr>
      <w:tr w:rsidR="00A80319" w14:paraId="64BFF10F" w14:textId="77777777" w:rsidTr="00A80319">
        <w:trPr>
          <w:trHeight w:val="31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46D7" w14:textId="77777777" w:rsidR="00A80319" w:rsidRDefault="00A80319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Lumière du jour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6AA9" w14:textId="77777777" w:rsidR="00A80319" w:rsidRDefault="00A80319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LUX</w:t>
            </w:r>
            <w:r w:rsidRPr="00A80319">
              <w:rPr>
                <w:rFonts w:cs="Calibri"/>
                <w:color w:val="000000"/>
                <w:sz w:val="22"/>
                <w:vertAlign w:val="subscript"/>
              </w:rPr>
              <w:t>MAX</w:t>
            </w:r>
            <w:r>
              <w:rPr>
                <w:rFonts w:cs="Calibri"/>
                <w:color w:val="000000"/>
                <w:sz w:val="22"/>
              </w:rPr>
              <w:t xml:space="preserve"> / R</w:t>
            </w:r>
            <w:r w:rsidRPr="00A80319">
              <w:rPr>
                <w:rFonts w:cs="Calibri"/>
                <w:color w:val="000000"/>
                <w:sz w:val="22"/>
                <w:vertAlign w:val="subscript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7DD50" w14:textId="77777777" w:rsidR="00A80319" w:rsidRDefault="00A80319">
            <w:pPr>
              <w:jc w:val="right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23315" w14:textId="77777777" w:rsidR="00A80319" w:rsidRDefault="00A80319">
            <w:pPr>
              <w:jc w:val="right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208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918E" w14:textId="77777777" w:rsidR="00A80319" w:rsidRDefault="00A80319">
            <w:pPr>
              <w:jc w:val="right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4,139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2E820" w14:textId="77777777" w:rsidR="00A80319" w:rsidRDefault="00A80319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Calculé</w:t>
            </w:r>
          </w:p>
        </w:tc>
      </w:tr>
    </w:tbl>
    <w:p w14:paraId="5A604F4D" w14:textId="77777777" w:rsidR="00717B7A" w:rsidRDefault="00717B7A" w:rsidP="00717B7A">
      <w:pPr>
        <w:jc w:val="center"/>
      </w:pPr>
    </w:p>
    <w:p w14:paraId="12887CCA" w14:textId="77777777" w:rsidR="00717B7A" w:rsidRDefault="00717B7A" w:rsidP="00717B7A">
      <w:pPr>
        <w:jc w:val="center"/>
      </w:pPr>
    </w:p>
    <w:p w14:paraId="08BCE44D" w14:textId="19280F80" w:rsidR="00DB6E3E" w:rsidRDefault="00717B7A" w:rsidP="00717B7A">
      <w:pPr>
        <w:jc w:val="center"/>
      </w:pPr>
      <w:r w:rsidRPr="00717B7A">
        <w:drawing>
          <wp:inline distT="0" distB="0" distL="0" distR="0" wp14:anchorId="1FCF57BD" wp14:editId="1A300C78">
            <wp:extent cx="2156460" cy="25196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6B3B" w14:textId="39098615" w:rsidR="00717B7A" w:rsidRDefault="00717B7A" w:rsidP="00717B7A">
      <w:pPr>
        <w:jc w:val="center"/>
        <w:rPr>
          <w:sz w:val="20"/>
          <w:szCs w:val="18"/>
        </w:rPr>
      </w:pPr>
    </w:p>
    <w:p w14:paraId="3D69B0B1" w14:textId="5783B3E6" w:rsidR="00717B7A" w:rsidRPr="00717B7A" w:rsidRDefault="00717B7A" w:rsidP="00717B7A">
      <w:pPr>
        <w:jc w:val="left"/>
        <w:rPr>
          <w:sz w:val="20"/>
          <w:szCs w:val="18"/>
        </w:rPr>
      </w:pPr>
      <w:r>
        <w:rPr>
          <w:sz w:val="20"/>
          <w:szCs w:val="18"/>
        </w:rPr>
        <w:t xml:space="preserve">Le choix d’une résistance de 1kΩ plutôt qu’une résistance de </w:t>
      </w:r>
      <w:r>
        <w:rPr>
          <w:sz w:val="20"/>
          <w:szCs w:val="18"/>
        </w:rPr>
        <w:t>1</w:t>
      </w:r>
      <w:r>
        <w:rPr>
          <w:sz w:val="20"/>
          <w:szCs w:val="18"/>
        </w:rPr>
        <w:t>0</w:t>
      </w:r>
      <w:r>
        <w:rPr>
          <w:sz w:val="20"/>
          <w:szCs w:val="18"/>
        </w:rPr>
        <w:t>kΩ</w:t>
      </w:r>
      <w:r>
        <w:rPr>
          <w:sz w:val="20"/>
          <w:szCs w:val="18"/>
        </w:rPr>
        <w:t xml:space="preserve"> nous permet d’avoir une plus grande précision lorsque la valeur de la photorésistance avoisine les </w:t>
      </w:r>
      <w:r>
        <w:rPr>
          <w:sz w:val="20"/>
          <w:szCs w:val="18"/>
        </w:rPr>
        <w:t>1kΩ</w:t>
      </w:r>
      <w:r>
        <w:rPr>
          <w:sz w:val="20"/>
          <w:szCs w:val="18"/>
        </w:rPr>
        <w:t xml:space="preserve"> ce qui correspond à la valeur en LUX mesurée à l’intérieur d’une pièce durant le jour soit 500LUX environ.</w:t>
      </w:r>
    </w:p>
    <w:sectPr w:rsidR="00717B7A" w:rsidRPr="00717B7A" w:rsidSect="00234D42">
      <w:footerReference w:type="default" r:id="rId10"/>
      <w:pgSz w:w="12242" w:h="15842" w:code="1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E1136" w14:textId="77777777" w:rsidR="00710498" w:rsidRDefault="00710498">
      <w:r>
        <w:separator/>
      </w:r>
    </w:p>
  </w:endnote>
  <w:endnote w:type="continuationSeparator" w:id="0">
    <w:p w14:paraId="37C269BB" w14:textId="77777777" w:rsidR="00710498" w:rsidRDefault="00710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0207178"/>
      <w:docPartObj>
        <w:docPartGallery w:val="Page Numbers (Bottom of Page)"/>
        <w:docPartUnique/>
      </w:docPartObj>
    </w:sdtPr>
    <w:sdtEndPr/>
    <w:sdtContent>
      <w:p w14:paraId="10104DE2" w14:textId="77777777" w:rsidR="00234D42" w:rsidRDefault="00F120C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59B2B" w14:textId="77777777" w:rsidR="00710498" w:rsidRDefault="00710498">
      <w:r>
        <w:separator/>
      </w:r>
    </w:p>
  </w:footnote>
  <w:footnote w:type="continuationSeparator" w:id="0">
    <w:p w14:paraId="4BD91EAE" w14:textId="77777777" w:rsidR="00710498" w:rsidRDefault="00710498">
      <w:r>
        <w:continuationSeparator/>
      </w:r>
    </w:p>
  </w:footnote>
  <w:footnote w:id="1">
    <w:p w14:paraId="57F4E3DD" w14:textId="19A0E561" w:rsidR="00A80319" w:rsidRPr="00A80319" w:rsidRDefault="00A80319">
      <w:pPr>
        <w:pStyle w:val="Notedebasdepage"/>
        <w:rPr>
          <w:rFonts w:eastAsiaTheme="minorEastAsia"/>
        </w:rPr>
      </w:pPr>
      <w:r>
        <w:rPr>
          <w:rStyle w:val="Appelnotedebasdep"/>
        </w:rPr>
        <w:footnoteRef/>
      </w:r>
      <w:r>
        <w:t xml:space="preserve"> La formule de V</w:t>
      </w:r>
      <w:r>
        <w:rPr>
          <w:vertAlign w:val="subscript"/>
        </w:rPr>
        <w:t>OUT</w:t>
      </w:r>
      <w:r>
        <w:t xml:space="preserve"> </w:t>
      </w:r>
      <w:r w:rsidR="000C4178">
        <w:t xml:space="preserve">est la même que pour </w:t>
      </w:r>
      <w:r>
        <w:t>un diviseur de tension</w:t>
      </w:r>
      <w:r w:rsidR="000C4178">
        <w:t xml:space="preserve"> soit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OUT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CC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PHOTO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</w:p>
    <w:p w14:paraId="7437ED94" w14:textId="77777777" w:rsidR="00A80319" w:rsidRPr="00A80319" w:rsidRDefault="00A80319">
      <w:pPr>
        <w:pStyle w:val="Notedebasdepage"/>
        <w:rPr>
          <w:rFonts w:eastAsiaTheme="minor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16754"/>
    <w:multiLevelType w:val="multilevel"/>
    <w:tmpl w:val="0C9C3F1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00"/>
    <w:rsid w:val="000C4178"/>
    <w:rsid w:val="002064B2"/>
    <w:rsid w:val="00263FEF"/>
    <w:rsid w:val="002766BE"/>
    <w:rsid w:val="00293AC2"/>
    <w:rsid w:val="003C4DD5"/>
    <w:rsid w:val="00534174"/>
    <w:rsid w:val="005A36B6"/>
    <w:rsid w:val="005D2E9F"/>
    <w:rsid w:val="006C2221"/>
    <w:rsid w:val="00710498"/>
    <w:rsid w:val="00717B7A"/>
    <w:rsid w:val="00722050"/>
    <w:rsid w:val="00A41AFC"/>
    <w:rsid w:val="00A80319"/>
    <w:rsid w:val="00BA3710"/>
    <w:rsid w:val="00BB0D67"/>
    <w:rsid w:val="00BB6C60"/>
    <w:rsid w:val="00BC493F"/>
    <w:rsid w:val="00C4269A"/>
    <w:rsid w:val="00CC4794"/>
    <w:rsid w:val="00DB6E3E"/>
    <w:rsid w:val="00DE2F17"/>
    <w:rsid w:val="00F120C9"/>
    <w:rsid w:val="00F14D26"/>
    <w:rsid w:val="00F54832"/>
    <w:rsid w:val="00F86500"/>
    <w:rsid w:val="00FE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E815"/>
  <w15:chartTrackingRefBased/>
  <w15:docId w15:val="{226192DB-C330-4EF1-8DD1-35F754A0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0C9"/>
    <w:pPr>
      <w:spacing w:after="0" w:line="240" w:lineRule="auto"/>
      <w:jc w:val="both"/>
    </w:pPr>
    <w:rPr>
      <w:rFonts w:ascii="Calibri" w:hAnsi="Calibri"/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120C9"/>
    <w:pPr>
      <w:numPr>
        <w:numId w:val="1"/>
      </w:numPr>
      <w:spacing w:before="2000" w:after="400"/>
      <w:contextualSpacing/>
      <w:jc w:val="center"/>
      <w:outlineLvl w:val="0"/>
    </w:pPr>
    <w:rPr>
      <w:rFonts w:eastAsiaTheme="majorEastAsia" w:cstheme="majorBidi"/>
      <w:b/>
      <w:spacing w:val="5"/>
      <w:kern w:val="28"/>
      <w:sz w:val="36"/>
      <w:szCs w:val="52"/>
    </w:rPr>
  </w:style>
  <w:style w:type="paragraph" w:styleId="Titre2">
    <w:name w:val="heading 2"/>
    <w:basedOn w:val="Normal"/>
    <w:next w:val="Normal"/>
    <w:link w:val="Titre2Car"/>
    <w:uiPriority w:val="9"/>
    <w:qFormat/>
    <w:rsid w:val="00F120C9"/>
    <w:pPr>
      <w:keepNext/>
      <w:keepLines/>
      <w:numPr>
        <w:ilvl w:val="1"/>
        <w:numId w:val="1"/>
      </w:numPr>
      <w:spacing w:before="480" w:after="20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20C9"/>
    <w:pPr>
      <w:keepNext/>
      <w:keepLines/>
      <w:numPr>
        <w:ilvl w:val="2"/>
        <w:numId w:val="1"/>
      </w:numPr>
      <w:spacing w:before="360" w:after="200"/>
      <w:jc w:val="left"/>
      <w:outlineLvl w:val="2"/>
    </w:pPr>
    <w:rPr>
      <w:rFonts w:eastAsiaTheme="majorEastAsia" w:cstheme="majorBidi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20C9"/>
    <w:pPr>
      <w:keepNext/>
      <w:keepLines/>
      <w:numPr>
        <w:ilvl w:val="3"/>
        <w:numId w:val="1"/>
      </w:numPr>
      <w:spacing w:before="360" w:after="200"/>
      <w:ind w:left="862" w:hanging="862"/>
      <w:jc w:val="left"/>
      <w:outlineLvl w:val="3"/>
    </w:pPr>
    <w:rPr>
      <w:rFonts w:eastAsiaTheme="majorEastAsia" w:cstheme="majorBidi"/>
      <w:b/>
      <w:bCs/>
      <w:i/>
      <w:iCs/>
      <w:u w:val="dotted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20C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20C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20C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20C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20C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20C9"/>
    <w:rPr>
      <w:rFonts w:ascii="Calibri" w:eastAsiaTheme="majorEastAsia" w:hAnsi="Calibri" w:cstheme="majorBidi"/>
      <w:b/>
      <w:spacing w:val="5"/>
      <w:kern w:val="28"/>
      <w:sz w:val="36"/>
      <w:szCs w:val="5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120C9"/>
    <w:rPr>
      <w:rFonts w:ascii="Calibri" w:eastAsiaTheme="majorEastAsia" w:hAnsi="Calibri" w:cstheme="majorBidi"/>
      <w:b/>
      <w:bCs/>
      <w:sz w:val="28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120C9"/>
    <w:rPr>
      <w:rFonts w:ascii="Calibri" w:eastAsiaTheme="majorEastAsia" w:hAnsi="Calibri" w:cstheme="majorBidi"/>
      <w:b/>
      <w:bCs/>
      <w:i/>
      <w:sz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120C9"/>
    <w:rPr>
      <w:rFonts w:ascii="Calibri" w:eastAsiaTheme="majorEastAsia" w:hAnsi="Calibri" w:cstheme="majorBidi"/>
      <w:b/>
      <w:bCs/>
      <w:i/>
      <w:iCs/>
      <w:sz w:val="24"/>
      <w:u w:val="dotted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F120C9"/>
    <w:rPr>
      <w:rFonts w:asciiTheme="majorHAnsi" w:eastAsiaTheme="majorEastAsia" w:hAnsiTheme="majorHAnsi" w:cstheme="majorBidi"/>
      <w:color w:val="1F3763" w:themeColor="accent1" w:themeShade="7F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F120C9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120C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F120C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F120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Bibliographie">
    <w:name w:val="Bibliography"/>
    <w:basedOn w:val="Normal"/>
    <w:next w:val="Normal"/>
    <w:uiPriority w:val="37"/>
    <w:semiHidden/>
    <w:unhideWhenUsed/>
    <w:rsid w:val="00F120C9"/>
  </w:style>
  <w:style w:type="paragraph" w:styleId="En-tte">
    <w:name w:val="header"/>
    <w:basedOn w:val="Normal"/>
    <w:link w:val="En-tteCar"/>
    <w:uiPriority w:val="99"/>
    <w:unhideWhenUsed/>
    <w:rsid w:val="00F120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120C9"/>
    <w:rPr>
      <w:rFonts w:ascii="Calibri" w:hAnsi="Calibri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120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120C9"/>
    <w:rPr>
      <w:rFonts w:ascii="Calibri" w:hAnsi="Calibri"/>
      <w:sz w:val="24"/>
      <w:lang w:eastAsia="fr-FR"/>
    </w:rPr>
  </w:style>
  <w:style w:type="paragraph" w:customStyle="1" w:styleId="PARAGR">
    <w:name w:val="PARAGR"/>
    <w:basedOn w:val="Normal"/>
    <w:qFormat/>
    <w:rsid w:val="00F120C9"/>
    <w:pPr>
      <w:spacing w:after="400" w:line="360" w:lineRule="auto"/>
    </w:pPr>
  </w:style>
  <w:style w:type="paragraph" w:styleId="Lgende">
    <w:name w:val="caption"/>
    <w:basedOn w:val="Normal"/>
    <w:next w:val="Normal"/>
    <w:uiPriority w:val="35"/>
    <w:unhideWhenUsed/>
    <w:qFormat/>
    <w:rsid w:val="006C2221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2064B2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8031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80319"/>
    <w:rPr>
      <w:rFonts w:ascii="Calibri" w:hAnsi="Calibri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A803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g\Documents\model\gabaritWord_clg-cou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1E9E2-4F09-4E1D-86D8-792834438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gabaritWord_clg-court.dotx</Template>
  <TotalTime>474</TotalTime>
  <Pages>3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Desrosiers</dc:creator>
  <cp:keywords/>
  <dc:description/>
  <cp:lastModifiedBy>Thomas Desrosiers</cp:lastModifiedBy>
  <cp:revision>9</cp:revision>
  <cp:lastPrinted>2021-03-24T19:55:00Z</cp:lastPrinted>
  <dcterms:created xsi:type="dcterms:W3CDTF">2021-03-24T11:02:00Z</dcterms:created>
  <dcterms:modified xsi:type="dcterms:W3CDTF">2021-03-24T19:55:00Z</dcterms:modified>
</cp:coreProperties>
</file>