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B1618" w14:textId="77777777" w:rsidR="00BF7311" w:rsidRPr="00160233" w:rsidRDefault="00BF7311" w:rsidP="00BF7311">
      <w:pPr>
        <w:pStyle w:val="Title"/>
        <w:rPr>
          <w:rFonts w:asciiTheme="minorHAnsi" w:hAnsiTheme="minorHAnsi"/>
        </w:rPr>
      </w:pPr>
      <w:r w:rsidRPr="00160233">
        <w:rPr>
          <w:rStyle w:val="Strong"/>
          <w:rFonts w:asciiTheme="minorHAnsi" w:hAnsiTheme="minorHAnsi"/>
        </w:rPr>
        <w:t>Computational and Research Data Skills Programme (CARDS)</w:t>
      </w:r>
    </w:p>
    <w:p w14:paraId="6CC40B09" w14:textId="09591B6A" w:rsidR="007417E1" w:rsidRPr="00160233" w:rsidRDefault="007417E1" w:rsidP="007417E1">
      <w:pPr>
        <w:textAlignment w:val="baseline"/>
        <w:rPr>
          <w:rFonts w:eastAsia="Times New Roman" w:cs="Segoe UI"/>
          <w:sz w:val="18"/>
          <w:szCs w:val="18"/>
          <w:lang w:eastAsia="en-GB"/>
        </w:rPr>
      </w:pPr>
    </w:p>
    <w:p w14:paraId="37E83F5F" w14:textId="692CEA94" w:rsidR="007417E1" w:rsidRPr="00160233" w:rsidRDefault="007417E1" w:rsidP="007417E1">
      <w:pPr>
        <w:textAlignment w:val="baseline"/>
        <w:rPr>
          <w:rFonts w:eastAsia="Times New Roman" w:cs="Segoe UI"/>
          <w:color w:val="595959"/>
          <w:sz w:val="18"/>
          <w:szCs w:val="18"/>
          <w:lang w:eastAsia="en-GB"/>
        </w:rPr>
      </w:pPr>
      <w:r w:rsidRPr="00160233">
        <w:rPr>
          <w:rFonts w:eastAsia="Times New Roman" w:cs="Segoe UI"/>
          <w:color w:val="595959"/>
          <w:sz w:val="28"/>
          <w:szCs w:val="28"/>
          <w:lang w:eastAsia="en-GB"/>
        </w:rPr>
        <w:t>Draft By: Tom Giles</w:t>
      </w:r>
    </w:p>
    <w:p w14:paraId="63D3F6F4" w14:textId="510FE0B9" w:rsidR="007417E1" w:rsidRPr="00160233" w:rsidRDefault="007417E1" w:rsidP="007417E1">
      <w:pPr>
        <w:textAlignment w:val="baseline"/>
        <w:rPr>
          <w:rFonts w:eastAsia="Times New Roman" w:cs="Segoe UI"/>
          <w:color w:val="595959"/>
          <w:sz w:val="18"/>
          <w:szCs w:val="18"/>
          <w:lang w:eastAsia="en-GB"/>
        </w:rPr>
      </w:pPr>
      <w:r w:rsidRPr="00160233">
        <w:rPr>
          <w:rFonts w:eastAsia="Times New Roman" w:cs="Segoe UI"/>
          <w:color w:val="595959"/>
          <w:sz w:val="28"/>
          <w:szCs w:val="28"/>
          <w:lang w:eastAsia="en-GB"/>
        </w:rPr>
        <w:t>Date: 11</w:t>
      </w:r>
      <w:r w:rsidRPr="00160233">
        <w:rPr>
          <w:rFonts w:eastAsia="Times New Roman" w:cs="Segoe UI"/>
          <w:color w:val="595959"/>
          <w:sz w:val="22"/>
          <w:szCs w:val="22"/>
          <w:vertAlign w:val="superscript"/>
          <w:lang w:eastAsia="en-GB"/>
        </w:rPr>
        <w:t>th</w:t>
      </w:r>
      <w:r w:rsidRPr="00160233">
        <w:rPr>
          <w:rFonts w:eastAsia="Times New Roman" w:cs="Segoe UI"/>
          <w:color w:val="595959"/>
          <w:sz w:val="28"/>
          <w:szCs w:val="28"/>
          <w:lang w:eastAsia="en-GB"/>
        </w:rPr>
        <w:t> March 2026 </w:t>
      </w:r>
    </w:p>
    <w:p w14:paraId="7BC014A6" w14:textId="7BC97109" w:rsidR="007417E1" w:rsidRPr="00160233" w:rsidRDefault="007417E1">
      <w:pPr>
        <w:rPr>
          <w:rFonts w:eastAsia="Times New Roman" w:cs="Segoe UI"/>
          <w:b/>
          <w:bCs/>
          <w:color w:val="0F4761"/>
          <w:sz w:val="48"/>
          <w:szCs w:val="48"/>
          <w:lang w:eastAsia="en-GB"/>
        </w:rPr>
      </w:pPr>
    </w:p>
    <w:p w14:paraId="328F5453" w14:textId="13037C26" w:rsidR="302F199B" w:rsidRPr="00160233" w:rsidRDefault="302F199B" w:rsidP="007417E1">
      <w:pPr>
        <w:pStyle w:val="Heading1"/>
        <w:rPr>
          <w:rFonts w:asciiTheme="minorHAnsi" w:hAnsiTheme="minorHAnsi"/>
        </w:rPr>
      </w:pPr>
      <w:r w:rsidRPr="00160233">
        <w:rPr>
          <w:rFonts w:asciiTheme="minorHAnsi" w:hAnsiTheme="minorHAnsi"/>
        </w:rPr>
        <w:t>Executive</w:t>
      </w:r>
      <w:r w:rsidRPr="00160233">
        <w:rPr>
          <w:rFonts w:asciiTheme="minorHAnsi" w:eastAsia="Aptos" w:hAnsiTheme="minorHAnsi"/>
        </w:rPr>
        <w:t xml:space="preserve"> Summary</w:t>
      </w:r>
    </w:p>
    <w:p w14:paraId="1F917EE6" w14:textId="2BBDF8F9" w:rsidR="00C323D3" w:rsidRPr="00160233" w:rsidRDefault="00C323D3" w:rsidP="7E84C037">
      <w:pPr>
        <w:spacing w:before="240" w:after="240"/>
      </w:pPr>
      <w:r w:rsidRPr="00160233">
        <w:t>Contemporary research increasingly depends on computational methods, large-scale data and reproducible analytical workflows. However, structured training in these skills remains unevenly distributed across disciplines at the University of Nottingham. While support exists through the Researcher Academy, Libraries and the Digital Research Service (DRS), these capabilities currently operate largely independently and do not provide a coordinated programme of computational research skills development.</w:t>
      </w:r>
    </w:p>
    <w:p w14:paraId="1BED1CF2" w14:textId="78F6651A" w:rsidR="5B89CF29" w:rsidRPr="00160233" w:rsidRDefault="325977F3" w:rsidP="7E84C037">
      <w:pPr>
        <w:spacing w:before="240" w:after="240"/>
      </w:pPr>
      <w:r w:rsidRPr="00160233">
        <w:rPr>
          <w:rFonts w:eastAsia="Aptos" w:cs="Aptos"/>
        </w:rPr>
        <w:t>This proposal establishes a collaborative model that integrates the institutional reach of the Researcher Academy with the technical expertise of the Digital Research Service to deliver scalable training in coding, computational analysis and reproducible research.</w:t>
      </w:r>
      <w:r w:rsidR="727B5FA6" w:rsidRPr="00160233">
        <w:t xml:space="preserve"> The programme will be coordinated by a new </w:t>
      </w:r>
      <w:r w:rsidR="00BF7311" w:rsidRPr="00160233">
        <w:t>CARDS</w:t>
      </w:r>
      <w:r w:rsidR="007C4FE8" w:rsidRPr="00160233">
        <w:t xml:space="preserve"> Programme</w:t>
      </w:r>
      <w:r w:rsidR="24293CB9" w:rsidRPr="00160233">
        <w:t xml:space="preserve"> Lead</w:t>
      </w:r>
      <w:r w:rsidR="727B5FA6" w:rsidRPr="00160233">
        <w:t xml:space="preserve"> role within the Digital Research Service and delivered through rotating specialist contributions from the wider DRS team.</w:t>
      </w:r>
    </w:p>
    <w:p w14:paraId="425011E1" w14:textId="6E1202D1" w:rsidR="06B85E4B" w:rsidRPr="00160233" w:rsidRDefault="06B85E4B" w:rsidP="7E84C037">
      <w:pPr>
        <w:spacing w:before="240" w:after="240"/>
      </w:pPr>
      <w:r w:rsidRPr="00160233">
        <w:rPr>
          <w:rFonts w:eastAsia="Aptos" w:cs="Aptos"/>
        </w:rPr>
        <w:t>This approach creates a resilient, cost-effective model for developing digital research capability across disciplines while strengthening the University’s capacity to support modern research practice.</w:t>
      </w:r>
    </w:p>
    <w:p w14:paraId="644F7493" w14:textId="5E3CCED7" w:rsidR="7E84C037" w:rsidRPr="00160233" w:rsidRDefault="7E84C037" w:rsidP="7E84C037">
      <w:pPr>
        <w:spacing w:before="240" w:after="240"/>
        <w:rPr>
          <w:rFonts w:eastAsia="Aptos" w:cs="Aptos"/>
        </w:rPr>
      </w:pPr>
    </w:p>
    <w:p w14:paraId="0E052A70" w14:textId="6351A439" w:rsidR="7E84C037" w:rsidRPr="00160233" w:rsidRDefault="7E84C037" w:rsidP="7E84C037">
      <w:pPr>
        <w:spacing w:before="240" w:after="240"/>
        <w:rPr>
          <w:rFonts w:eastAsia="Aptos" w:cs="Aptos"/>
        </w:rPr>
      </w:pPr>
    </w:p>
    <w:p w14:paraId="7745C0D0" w14:textId="5D79BECB" w:rsidR="7E84C037" w:rsidRPr="00160233" w:rsidRDefault="7E84C037" w:rsidP="7E84C037"/>
    <w:p w14:paraId="2E20EC15" w14:textId="74CE8CE8" w:rsidR="7E84C037" w:rsidRPr="00160233" w:rsidRDefault="7E84C037">
      <w:r w:rsidRPr="00160233">
        <w:br w:type="page"/>
      </w:r>
    </w:p>
    <w:p w14:paraId="19D538BA" w14:textId="475F861D" w:rsidR="01003A0E" w:rsidRPr="00160233" w:rsidRDefault="01003A0E" w:rsidP="007417E1">
      <w:pPr>
        <w:pStyle w:val="Heading1"/>
        <w:rPr>
          <w:rFonts w:asciiTheme="minorHAnsi" w:hAnsiTheme="minorHAnsi"/>
        </w:rPr>
      </w:pPr>
      <w:r w:rsidRPr="00160233">
        <w:rPr>
          <w:rFonts w:asciiTheme="minorHAnsi" w:eastAsia="Aptos" w:hAnsiTheme="minorHAnsi"/>
        </w:rPr>
        <w:lastRenderedPageBreak/>
        <w:t xml:space="preserve">Problem </w:t>
      </w:r>
      <w:r w:rsidRPr="00160233">
        <w:rPr>
          <w:rFonts w:asciiTheme="minorHAnsi" w:hAnsiTheme="minorHAnsi"/>
        </w:rPr>
        <w:t>Statement</w:t>
      </w:r>
    </w:p>
    <w:p w14:paraId="54CAAA6B" w14:textId="42EEC1F0" w:rsidR="00C323D3" w:rsidRPr="00160233" w:rsidRDefault="00C323D3" w:rsidP="00C323D3">
      <w:pPr>
        <w:spacing w:before="240" w:after="240"/>
        <w:rPr>
          <w:rFonts w:eastAsia="Aptos" w:cs="Aptos"/>
        </w:rPr>
      </w:pPr>
      <w:r w:rsidRPr="00160233">
        <w:rPr>
          <w:rFonts w:eastAsia="Aptos" w:cs="Aptos"/>
        </w:rPr>
        <w:t>Modern research increasingly relies on large, complex and computationally intensive data. Researchers across disciplines are expected to analyse, manage and share data in ways that support transparency, reproducibility and collaboration. While this shift is particularly visible in the natural sciences, similar trends are emerging across the humanities and social sciences, where digital methods such as large-scale text analysis, computational modelling and digital archiving are becoming increasingly common. As a result, methodological fluency in computational tools, data workflows and digital research practices is becoming a core component of contemporary research capability.</w:t>
      </w:r>
    </w:p>
    <w:p w14:paraId="2BCBC26E" w14:textId="2722B965" w:rsidR="00C323D3" w:rsidRPr="00160233" w:rsidRDefault="00C323D3" w:rsidP="00C323D3">
      <w:pPr>
        <w:spacing w:before="240" w:after="240"/>
        <w:rPr>
          <w:rFonts w:eastAsia="Aptos" w:cs="Aptos"/>
        </w:rPr>
      </w:pPr>
      <w:r w:rsidRPr="00160233">
        <w:rPr>
          <w:rFonts w:eastAsia="Aptos" w:cs="Aptos"/>
        </w:rPr>
        <w:t>Despite this shift, many researchers struggle to access structured training that enables them to engage confidently with these approaches. The pace at which computational and data-driven methods are evolving has outstripped the development of institutional training provision, meaning that critical skills are often acquired informally or on a project-by-project basis. This leads to inconsistent practices, duplicated effort and avoidable barriers to effective research</w:t>
      </w:r>
      <w:r w:rsidRPr="00160233">
        <w:rPr>
          <w:rFonts w:eastAsia="Aptos" w:cs="Aptos"/>
        </w:rPr>
        <w:t>.</w:t>
      </w:r>
    </w:p>
    <w:p w14:paraId="0B780766" w14:textId="09809D39" w:rsidR="00C323D3" w:rsidRPr="00160233" w:rsidRDefault="00C323D3" w:rsidP="00C323D3">
      <w:pPr>
        <w:pStyle w:val="Heading1"/>
        <w:rPr>
          <w:rFonts w:asciiTheme="minorHAnsi" w:eastAsia="Aptos" w:hAnsiTheme="minorHAnsi" w:cs="Aptos"/>
          <w:color w:val="auto"/>
          <w:sz w:val="24"/>
          <w:szCs w:val="24"/>
        </w:rPr>
      </w:pPr>
      <w:r w:rsidRPr="00160233">
        <w:rPr>
          <w:rFonts w:asciiTheme="minorHAnsi" w:eastAsia="Aptos" w:hAnsiTheme="minorHAnsi" w:cs="Aptos"/>
          <w:color w:val="auto"/>
          <w:sz w:val="24"/>
          <w:szCs w:val="24"/>
        </w:rPr>
        <w:t>This challenge is recognised at the national level. Across the UKRI strategic delivery plans for 2022–2025, the development of “world-class people and careers” is identified as a central priority, with funders increasingly emphasising the need for researchers who are proficient in computational and data-driven methods. For example, the Medical Research Council highlights the integration of data science across biomedical research, while the Economic and Social Research Council emphasises the need for a data-literate social science workforce capable of working with complex datasets and computational tools. The Arts and Humanities Research Council similarly recognises the growing importance of digital research methods.</w:t>
      </w:r>
    </w:p>
    <w:p w14:paraId="07C0C635" w14:textId="77777777" w:rsidR="00C323D3" w:rsidRPr="00160233" w:rsidRDefault="00C323D3" w:rsidP="00C323D3">
      <w:pPr>
        <w:pStyle w:val="Heading1"/>
        <w:rPr>
          <w:rFonts w:asciiTheme="minorHAnsi" w:eastAsia="Aptos" w:hAnsiTheme="minorHAnsi" w:cs="Aptos"/>
          <w:color w:val="auto"/>
          <w:sz w:val="24"/>
          <w:szCs w:val="24"/>
        </w:rPr>
      </w:pPr>
      <w:r w:rsidRPr="00160233">
        <w:rPr>
          <w:rFonts w:asciiTheme="minorHAnsi" w:eastAsia="Aptos" w:hAnsiTheme="minorHAnsi" w:cs="Aptos"/>
          <w:color w:val="auto"/>
          <w:sz w:val="24"/>
          <w:szCs w:val="24"/>
        </w:rPr>
        <w:t>At the same time, expectations around research quality and integrity increasingly emphasise transparent workflows, reproducible analysis and responsible data stewardship. Strengthening institutional capability in computational and data skills therefore supports not only methodological innovation but also the wider research culture priorities around rigour, openness and reproducibility.</w:t>
      </w:r>
    </w:p>
    <w:p w14:paraId="33F535B4" w14:textId="77777777" w:rsidR="00160233" w:rsidRPr="00160233" w:rsidRDefault="00160233">
      <w:pPr>
        <w:rPr>
          <w:rFonts w:eastAsiaTheme="majorEastAsia" w:cstheme="majorBidi"/>
          <w:color w:val="0F4761" w:themeColor="accent1" w:themeShade="BF"/>
          <w:sz w:val="40"/>
          <w:szCs w:val="40"/>
        </w:rPr>
      </w:pPr>
      <w:r w:rsidRPr="00160233">
        <w:br w:type="page"/>
      </w:r>
    </w:p>
    <w:p w14:paraId="5D54109C" w14:textId="67293C25" w:rsidR="01003A0E" w:rsidRPr="00160233" w:rsidRDefault="01003A0E" w:rsidP="00C323D3">
      <w:pPr>
        <w:pStyle w:val="Heading1"/>
        <w:rPr>
          <w:rFonts w:asciiTheme="minorHAnsi" w:hAnsiTheme="minorHAnsi"/>
        </w:rPr>
      </w:pPr>
      <w:r w:rsidRPr="00160233">
        <w:rPr>
          <w:rFonts w:asciiTheme="minorHAnsi" w:hAnsiTheme="minorHAnsi"/>
        </w:rPr>
        <w:lastRenderedPageBreak/>
        <w:t>Landscape</w:t>
      </w:r>
      <w:r w:rsidR="007417E1" w:rsidRPr="00160233">
        <w:rPr>
          <w:rFonts w:asciiTheme="minorHAnsi" w:hAnsiTheme="minorHAnsi"/>
        </w:rPr>
        <w:t xml:space="preserve"> Analysis</w:t>
      </w:r>
    </w:p>
    <w:p w14:paraId="0D304AA5" w14:textId="1B0904AF" w:rsidR="00C323D3" w:rsidRPr="00160233" w:rsidRDefault="00C323D3" w:rsidP="00C323D3">
      <w:pPr>
        <w:spacing w:before="240" w:after="240"/>
        <w:rPr>
          <w:rFonts w:eastAsia="Aptos" w:cs="Aptos"/>
        </w:rPr>
      </w:pPr>
      <w:r w:rsidRPr="00160233">
        <w:rPr>
          <w:rFonts w:eastAsia="Aptos" w:cs="Aptos"/>
        </w:rPr>
        <w:t>The University of Nottingham already benefits from a strong foundation of researcher development and support services. The Researcher Academy (RA) delivers a broad programme supporting researchers across career stages, including training in research communication, leadership, research culture and professional development. This work is closely aligned with the University’s wider research culture agenda, with Concordat reporting identifying the RA as a key mechanism for cultivating researcher excellence and connecting researchers with development opportunities across the institution.</w:t>
      </w:r>
    </w:p>
    <w:p w14:paraId="4FEB98E0" w14:textId="6D7E3D34" w:rsidR="00C323D3" w:rsidRPr="00160233" w:rsidRDefault="00C323D3" w:rsidP="00C323D3">
      <w:pPr>
        <w:spacing w:before="240" w:after="240"/>
        <w:rPr>
          <w:rFonts w:eastAsia="Aptos" w:cs="Aptos"/>
        </w:rPr>
      </w:pPr>
      <w:r w:rsidRPr="00160233">
        <w:rPr>
          <w:rFonts w:eastAsia="Aptos" w:cs="Aptos"/>
        </w:rPr>
        <w:t xml:space="preserve">However, while extensive in scope, the RA’s training offer remains largely non-technical. Previous attempts to introduce digital research training through short-term secondments demonstrated the value of this provision but also highlighted a structural limitation: once the secondment ended, the specialist expertise left with the individual. </w:t>
      </w:r>
      <w:r w:rsidR="00AB1A8F" w:rsidRPr="00AB1A8F">
        <w:rPr>
          <w:rFonts w:eastAsia="Aptos" w:cs="Aptos"/>
        </w:rPr>
        <w:t xml:space="preserve">The RA provides extensive researcher development infrastructure and </w:t>
      </w:r>
      <w:proofErr w:type="gramStart"/>
      <w:r w:rsidR="00AB1A8F" w:rsidRPr="00AB1A8F">
        <w:rPr>
          <w:rFonts w:eastAsia="Aptos" w:cs="Aptos"/>
        </w:rPr>
        <w:t>reach</w:t>
      </w:r>
      <w:proofErr w:type="gramEnd"/>
      <w:r w:rsidR="00AB1A8F" w:rsidRPr="00AB1A8F">
        <w:rPr>
          <w:rFonts w:eastAsia="Aptos" w:cs="Aptos"/>
        </w:rPr>
        <w:t xml:space="preserve"> across the institution, creating a strong platform for integrating specialist technical training delivered through complementary services.</w:t>
      </w:r>
    </w:p>
    <w:p w14:paraId="2624AFD5" w14:textId="2BB8500B" w:rsidR="00C323D3" w:rsidRPr="00160233" w:rsidRDefault="00C323D3" w:rsidP="00C323D3">
      <w:pPr>
        <w:spacing w:before="240" w:after="240"/>
        <w:rPr>
          <w:rFonts w:eastAsia="Aptos" w:cs="Aptos"/>
        </w:rPr>
      </w:pPr>
      <w:r w:rsidRPr="00160233">
        <w:rPr>
          <w:rFonts w:eastAsia="Aptos" w:cs="Aptos"/>
        </w:rPr>
        <w:t>The University Libraries provide another essential component of the research support ecosystem. Their services include guidance and training that help researchers plan, publish, share and preserve research outputs, alongside support for literature searching, research profiles and responsible use of metrics. This work plays a vital role in supporting research integrity, discoverability and dissemination.</w:t>
      </w:r>
    </w:p>
    <w:p w14:paraId="5AEC063E" w14:textId="77777777" w:rsidR="00C323D3" w:rsidRPr="00160233" w:rsidRDefault="00C323D3" w:rsidP="00C323D3">
      <w:pPr>
        <w:spacing w:before="240" w:after="240"/>
        <w:rPr>
          <w:rFonts w:eastAsia="Aptos" w:cs="Aptos"/>
        </w:rPr>
      </w:pPr>
      <w:r w:rsidRPr="00160233">
        <w:rPr>
          <w:rFonts w:eastAsia="Aptos" w:cs="Aptos"/>
        </w:rPr>
        <w:t xml:space="preserve">However, the Libraries’ remit focuses on research stewardship and governance rather than programming, research software development or advanced computational analysis. While this support remains essential, the </w:t>
      </w:r>
      <w:proofErr w:type="gramStart"/>
      <w:r w:rsidRPr="00160233">
        <w:rPr>
          <w:rFonts w:eastAsia="Aptos" w:cs="Aptos"/>
        </w:rPr>
        <w:t>Libraries</w:t>
      </w:r>
      <w:proofErr w:type="gramEnd"/>
      <w:r w:rsidRPr="00160233">
        <w:rPr>
          <w:rFonts w:eastAsia="Aptos" w:cs="Aptos"/>
        </w:rPr>
        <w:t xml:space="preserve"> are not structured to meet the growing demand for hands-on training in coding, automation, machine learning and computational workflows.</w:t>
      </w:r>
    </w:p>
    <w:p w14:paraId="5E07938A" w14:textId="77777777" w:rsidR="00C323D3" w:rsidRPr="00160233" w:rsidRDefault="007C4FE8" w:rsidP="00C323D3">
      <w:pPr>
        <w:spacing w:before="240" w:after="240"/>
      </w:pPr>
      <w:r w:rsidRPr="00160233">
        <w:t xml:space="preserve">Complementing these services, the Digital Research Service (DRS) provides deep technical expertise in areas including data analytics, machine learning, research software engineering and large-scale data processing. The DRS supports over £300 </w:t>
      </w:r>
      <w:proofErr w:type="spellStart"/>
      <w:r w:rsidRPr="00160233">
        <w:t>million</w:t>
      </w:r>
      <w:proofErr w:type="spellEnd"/>
      <w:r w:rsidRPr="00160233">
        <w:t xml:space="preserve"> of funded research projects across the University, offering consultancy and collaboration on complex analytical and computational challenges. In recent years the service has also delivered targeted training for specific research communities, including coding workshops for the BBSRC Doctoral Training Partnership and the Nottingham Biomedical Research Centre as part of the Data Science and Digital Skills programme. These activities demonstrate strong demand for technical training.</w:t>
      </w:r>
    </w:p>
    <w:p w14:paraId="55065273" w14:textId="77777777" w:rsidR="00C323D3" w:rsidRPr="00160233" w:rsidRDefault="00C323D3" w:rsidP="00C323D3">
      <w:pPr>
        <w:spacing w:before="240" w:after="240"/>
        <w:rPr>
          <w:rFonts w:eastAsia="Aptos" w:cs="Aptos"/>
        </w:rPr>
      </w:pPr>
      <w:r w:rsidRPr="00160233">
        <w:rPr>
          <w:rFonts w:eastAsia="Aptos" w:cs="Aptos"/>
        </w:rPr>
        <w:t>I</w:t>
      </w:r>
      <w:r w:rsidRPr="00160233">
        <w:rPr>
          <w:rFonts w:eastAsia="Aptos" w:cs="Aptos"/>
        </w:rPr>
        <w:t>nfrastructure to deliver this training is already emerging through the digitalskills.nottingham.ac.uk platform, which provides a growing collection of workshops and learning resources for researchers. One of the most developed components is the Essential Digital Skills curriculum. This introduces researchers to the core competencies required for modern, data-intensive research practice, including digital research tools and collaborative platforms, research data management and governance, exploratory data analysis, reproducible computational workflows and responsible use of emerging technologies such as artificial intelligence.</w:t>
      </w:r>
    </w:p>
    <w:p w14:paraId="48D2B1B6" w14:textId="67CB52F7" w:rsidR="007C4FE8" w:rsidRPr="00160233" w:rsidRDefault="00160233" w:rsidP="00C323D3">
      <w:pPr>
        <w:spacing w:before="240" w:after="240"/>
        <w:rPr>
          <w:rFonts w:eastAsia="Aptos" w:cs="Aptos"/>
        </w:rPr>
      </w:pPr>
      <w:r w:rsidRPr="00160233">
        <w:lastRenderedPageBreak/>
        <w:t xml:space="preserve">Initial delivery to </w:t>
      </w:r>
      <w:r w:rsidRPr="00160233">
        <w:rPr>
          <w:rStyle w:val="Strong"/>
          <w:b w:val="0"/>
          <w:bCs w:val="0"/>
        </w:rPr>
        <w:t>25 students within the BBSRC Doctoral Training Partnership (DTP)</w:t>
      </w:r>
      <w:r w:rsidRPr="00160233">
        <w:t xml:space="preserve"> has demonstrated both strong demand and broad disciplinary relevance. Participant feedback consistently indicates that structured training in computational tools and research data workflows addresses a significant gap in traditional researcher development provision, particularly for early-career researchers working with increasingly complex datasets. Plans are already in place to expand delivery to additional cohorts, including PhD students within the </w:t>
      </w:r>
      <w:r w:rsidRPr="00160233">
        <w:rPr>
          <w:rStyle w:val="Strong"/>
          <w:b w:val="0"/>
          <w:bCs w:val="0"/>
        </w:rPr>
        <w:t>Nottingham Biomedical Research Centre (BRC)</w:t>
      </w:r>
      <w:r w:rsidRPr="00160233">
        <w:t xml:space="preserve"> during the </w:t>
      </w:r>
      <w:r w:rsidRPr="00160233">
        <w:rPr>
          <w:rStyle w:val="Strong"/>
          <w:b w:val="0"/>
          <w:bCs w:val="0"/>
        </w:rPr>
        <w:t>2026–2027 academic year</w:t>
      </w:r>
      <w:r w:rsidRPr="00160233">
        <w:rPr>
          <w:b/>
          <w:bCs/>
        </w:rPr>
        <w:t>.</w:t>
      </w:r>
      <w:r w:rsidRPr="00160233">
        <w:rPr>
          <w:b/>
          <w:bCs/>
        </w:rPr>
        <w:br/>
      </w:r>
      <w:r w:rsidRPr="00160233">
        <w:br/>
      </w:r>
      <w:r w:rsidR="007C4FE8" w:rsidRPr="00160233">
        <w:rPr>
          <w:rFonts w:eastAsia="Aptos" w:cs="Aptos"/>
        </w:rPr>
        <w:t>Despite these promising developments, the current provision remains limited in scale and is not yet embedded within the University’s broader researcher development framework. Delivery currently relies on ad hoc engagements with individual doctoral training programmes and research centres, and capacity for expansion is constrained by the absence of a dedicated coordination function. As a result, access to structured training in computational and digital research methods remains uneven across disciplines and research communities within the University</w:t>
      </w:r>
      <w:r w:rsidR="007C4FE8" w:rsidRPr="00160233">
        <w:rPr>
          <w:rFonts w:eastAsia="Aptos" w:cs="Aptos"/>
        </w:rPr>
        <w:t>.</w:t>
      </w:r>
      <w:r w:rsidR="00C323D3" w:rsidRPr="00160233">
        <w:rPr>
          <w:rFonts w:eastAsia="Aptos" w:cs="Aptos"/>
        </w:rPr>
        <w:br/>
      </w:r>
      <w:r w:rsidR="00C323D3" w:rsidRPr="00160233">
        <w:rPr>
          <w:rFonts w:eastAsia="Aptos" w:cs="Aptos"/>
        </w:rPr>
        <w:br/>
      </w:r>
      <w:r w:rsidR="00C323D3" w:rsidRPr="00160233">
        <w:rPr>
          <w:rFonts w:eastAsia="Aptos" w:cs="Aptos"/>
        </w:rPr>
        <w:t>Together, these services provide strong but largely separate capabilities in researcher development, research governance and computational expertise. However, the absence of a coordinated programme means that access to structured computational and research data skills training remains uneven across disciplines.</w:t>
      </w:r>
    </w:p>
    <w:p w14:paraId="2FE506BD" w14:textId="52F62ABF" w:rsidR="01003A0E" w:rsidRPr="00160233" w:rsidRDefault="01003A0E" w:rsidP="007C4FE8">
      <w:pPr>
        <w:pStyle w:val="Heading1"/>
        <w:rPr>
          <w:rFonts w:asciiTheme="minorHAnsi" w:hAnsiTheme="minorHAnsi"/>
        </w:rPr>
      </w:pPr>
      <w:r w:rsidRPr="00160233">
        <w:rPr>
          <w:rFonts w:asciiTheme="minorHAnsi" w:eastAsia="Aptos" w:hAnsiTheme="minorHAnsi"/>
        </w:rPr>
        <w:t xml:space="preserve">Strategic </w:t>
      </w:r>
      <w:r w:rsidRPr="00160233">
        <w:rPr>
          <w:rFonts w:asciiTheme="minorHAnsi" w:hAnsiTheme="minorHAnsi"/>
        </w:rPr>
        <w:t>Opportunity</w:t>
      </w:r>
    </w:p>
    <w:p w14:paraId="5F160251" w14:textId="77777777" w:rsidR="00AB1A8F" w:rsidRPr="00AB1A8F" w:rsidRDefault="00AB1A8F" w:rsidP="00AB1A8F">
      <w:pPr>
        <w:rPr>
          <w:rFonts w:eastAsia="Aptos"/>
        </w:rPr>
      </w:pPr>
      <w:r w:rsidRPr="00AB1A8F">
        <w:rPr>
          <w:rFonts w:eastAsia="Aptos"/>
        </w:rPr>
        <w:t>Taken together, the current research support landscape at the University of Nottingham reveals a clear institutional opportunity. The University already possesses strong but largely separate capabilities in researcher development, research governance and computational research expertise. Integrating these strengths would enable the establishment of a coordinated programme that equips researchers with the methodological and technical skills increasingly required across disciplines.</w:t>
      </w:r>
    </w:p>
    <w:p w14:paraId="6A63BD8E" w14:textId="77777777" w:rsidR="00AB1A8F" w:rsidRPr="00AB1A8F" w:rsidRDefault="00AB1A8F" w:rsidP="00AB1A8F">
      <w:pPr>
        <w:rPr>
          <w:rFonts w:eastAsia="Aptos"/>
        </w:rPr>
      </w:pPr>
    </w:p>
    <w:p w14:paraId="0F6BF284" w14:textId="4A8D00EC" w:rsidR="00AB1A8F" w:rsidRPr="00AB1A8F" w:rsidRDefault="00AB1A8F" w:rsidP="00AB1A8F">
      <w:pPr>
        <w:rPr>
          <w:rFonts w:eastAsia="Aptos"/>
        </w:rPr>
      </w:pPr>
      <w:r w:rsidRPr="00AB1A8F">
        <w:rPr>
          <w:rFonts w:eastAsia="Aptos"/>
        </w:rPr>
        <w:t xml:space="preserve">Evidence from across the University suggests that demand for computational and data-intensive research support continues to grow. Since its establishment in 2018, the Digital Research Service has responded to more than 1,000 requests from academic researchers seeking support with data analysis, computational workflows and advanced research software. While </w:t>
      </w:r>
      <w:r>
        <w:rPr>
          <w:rFonts w:eastAsia="Aptos"/>
        </w:rPr>
        <w:t>many of</w:t>
      </w:r>
      <w:r w:rsidRPr="00AB1A8F">
        <w:rPr>
          <w:rFonts w:eastAsia="Aptos"/>
        </w:rPr>
        <w:t xml:space="preserve"> these engagements relate to project-specific analytical support, requests for structured training are also beginning to emerge. During the 2025–2026 academic year alone, the Digital Research Service received six separate requests from research groups and training programmes seeking training provision in areas including coding, machine learning and research data workflows. These requests highlight a growing institutional need for scalable training that complements existing project-based support.</w:t>
      </w:r>
    </w:p>
    <w:p w14:paraId="3B436415" w14:textId="77777777" w:rsidR="00AB1A8F" w:rsidRPr="00AB1A8F" w:rsidRDefault="00AB1A8F" w:rsidP="00AB1A8F">
      <w:pPr>
        <w:rPr>
          <w:rFonts w:eastAsia="Aptos"/>
        </w:rPr>
      </w:pPr>
    </w:p>
    <w:p w14:paraId="236340F6" w14:textId="77777777" w:rsidR="00AB1A8F" w:rsidRPr="00AB1A8F" w:rsidRDefault="00AB1A8F" w:rsidP="00AB1A8F">
      <w:pPr>
        <w:rPr>
          <w:rFonts w:eastAsia="Aptos"/>
        </w:rPr>
      </w:pPr>
      <w:r w:rsidRPr="00AB1A8F">
        <w:rPr>
          <w:rFonts w:eastAsia="Aptos"/>
        </w:rPr>
        <w:t xml:space="preserve">The CARDS programme addresses this opportunity by combining the institutional reach of the Researcher Academy with the technical expertise of the Digital Research Service. Through this partnership, the programme will provide structured training that enables researchers to develop practical competencies in computational analysis, research </w:t>
      </w:r>
      <w:r w:rsidRPr="00AB1A8F">
        <w:rPr>
          <w:rFonts w:eastAsia="Aptos"/>
        </w:rPr>
        <w:lastRenderedPageBreak/>
        <w:t>data workflows and reproducible research practices. This approach ensures that training remains both technically rigorous and accessible to researchers from a wide range of disciplinary backgrounds.</w:t>
      </w:r>
    </w:p>
    <w:p w14:paraId="31BFF436" w14:textId="77777777" w:rsidR="00AB1A8F" w:rsidRPr="00AB1A8F" w:rsidRDefault="00AB1A8F" w:rsidP="00AB1A8F">
      <w:pPr>
        <w:rPr>
          <w:rFonts w:eastAsia="Aptos"/>
        </w:rPr>
      </w:pPr>
    </w:p>
    <w:p w14:paraId="2C08831A" w14:textId="77777777" w:rsidR="00AB1A8F" w:rsidRPr="00AB1A8F" w:rsidRDefault="00AB1A8F" w:rsidP="00AB1A8F">
      <w:pPr>
        <w:rPr>
          <w:rFonts w:eastAsia="Aptos"/>
        </w:rPr>
      </w:pPr>
      <w:r w:rsidRPr="00AB1A8F">
        <w:rPr>
          <w:rFonts w:eastAsia="Aptos"/>
        </w:rPr>
        <w:t>Developing these capabilities is increasingly important as research across disciplines becomes more data-intensive and computationally enabled. Researchers are expected not only to generate and analyse complex datasets, but also to manage data responsibly, develop transparent analytical workflows and collaborate effectively using digital tools. Strengthening institutional provision in these areas therefore supports both methodological innovation and the broader research culture priorities around rigour, openness and reproducibility.</w:t>
      </w:r>
    </w:p>
    <w:p w14:paraId="5D9A3ADC" w14:textId="77777777" w:rsidR="00AB1A8F" w:rsidRPr="00AB1A8F" w:rsidRDefault="00AB1A8F" w:rsidP="00AB1A8F">
      <w:pPr>
        <w:rPr>
          <w:rFonts w:eastAsia="Aptos"/>
        </w:rPr>
      </w:pPr>
    </w:p>
    <w:p w14:paraId="00D0EF87" w14:textId="77777777" w:rsidR="00AB1A8F" w:rsidRPr="00AB1A8F" w:rsidRDefault="00AB1A8F" w:rsidP="00AB1A8F">
      <w:pPr>
        <w:rPr>
          <w:rFonts w:eastAsia="Aptos"/>
        </w:rPr>
      </w:pPr>
      <w:r w:rsidRPr="00AB1A8F">
        <w:rPr>
          <w:rFonts w:eastAsia="Aptos"/>
        </w:rPr>
        <w:t>This initiative also supports the University of Nottingham’s strategic ambition to remain among the UK’s leading research-intensive institutions. Sustaining this position requires continued investment not only in research infrastructure but also in the skills and support systems that enable researchers to use those resources effectively.</w:t>
      </w:r>
    </w:p>
    <w:p w14:paraId="6A81CD35" w14:textId="77777777" w:rsidR="00AB1A8F" w:rsidRPr="00AB1A8F" w:rsidRDefault="00AB1A8F" w:rsidP="00AB1A8F">
      <w:pPr>
        <w:rPr>
          <w:rFonts w:eastAsia="Aptos"/>
        </w:rPr>
      </w:pPr>
    </w:p>
    <w:p w14:paraId="3700B5A4" w14:textId="10AA48D1" w:rsidR="00160233" w:rsidRDefault="00AB1A8F" w:rsidP="00AB1A8F">
      <w:pPr>
        <w:rPr>
          <w:rFonts w:eastAsia="Aptos"/>
        </w:rPr>
      </w:pPr>
      <w:r w:rsidRPr="00AB1A8F">
        <w:rPr>
          <w:rFonts w:eastAsia="Aptos"/>
        </w:rPr>
        <w:t>By establishing a coordinated institutional model for computational and research data skills development, the University can strengthen its research capability while improving the accessibility and consistency of training across disciplines. In doing so, the CARDS programme provides a scalable framework for developing digital research capability and supporting researchers working with increasingly complex and data-intensive research methods.</w:t>
      </w:r>
      <w:r w:rsidR="00160233" w:rsidRPr="00160233">
        <w:rPr>
          <w:rFonts w:eastAsia="Aptos"/>
        </w:rPr>
        <w:br w:type="page"/>
      </w:r>
    </w:p>
    <w:p w14:paraId="1B2A7CE8" w14:textId="3075EC8D" w:rsidR="01003A0E" w:rsidRDefault="01003A0E" w:rsidP="00160233">
      <w:pPr>
        <w:pStyle w:val="Heading1"/>
        <w:rPr>
          <w:rFonts w:asciiTheme="minorHAnsi" w:hAnsiTheme="minorHAnsi"/>
        </w:rPr>
      </w:pPr>
      <w:r w:rsidRPr="00160233">
        <w:rPr>
          <w:rFonts w:asciiTheme="minorHAnsi" w:eastAsia="Aptos" w:hAnsiTheme="minorHAnsi"/>
        </w:rPr>
        <w:lastRenderedPageBreak/>
        <w:t xml:space="preserve">Proposed </w:t>
      </w:r>
      <w:r w:rsidRPr="00160233">
        <w:rPr>
          <w:rFonts w:asciiTheme="minorHAnsi" w:hAnsiTheme="minorHAnsi"/>
        </w:rPr>
        <w:t>Model</w:t>
      </w:r>
    </w:p>
    <w:p w14:paraId="3F5ED715" w14:textId="77777777" w:rsidR="0087763F" w:rsidRPr="0087763F" w:rsidRDefault="0087763F" w:rsidP="0087763F">
      <w:pPr>
        <w:rPr>
          <w:rFonts w:eastAsia="Aptos"/>
        </w:rPr>
      </w:pPr>
      <w:r w:rsidRPr="0087763F">
        <w:rPr>
          <w:rFonts w:eastAsia="Aptos"/>
        </w:rPr>
        <w:t>This proposal establishes a collaborative delivery model that integrates the institutional reach of the Researcher Academy with the technical expertise of the Digital Research Service to provide structured training in computational and research data skills.</w:t>
      </w:r>
    </w:p>
    <w:p w14:paraId="346E147A" w14:textId="77777777" w:rsidR="0087763F" w:rsidRPr="0087763F" w:rsidRDefault="0087763F" w:rsidP="0087763F">
      <w:pPr>
        <w:rPr>
          <w:rFonts w:eastAsia="Aptos"/>
        </w:rPr>
      </w:pPr>
    </w:p>
    <w:p w14:paraId="7E14499C" w14:textId="77777777" w:rsidR="0087763F" w:rsidRPr="0087763F" w:rsidRDefault="0087763F" w:rsidP="0087763F">
      <w:pPr>
        <w:rPr>
          <w:rFonts w:eastAsia="Aptos"/>
        </w:rPr>
      </w:pPr>
      <w:r w:rsidRPr="0087763F">
        <w:rPr>
          <w:rFonts w:eastAsia="Aptos"/>
        </w:rPr>
        <w:t>The programme will be coordinated through a dedicated function embedded within the Digital Research Service and delivered in close partnership with the Researcher Academy and other institutional training providers. This coordination role will oversee the design, development and delivery of training that addresses core competencies in modern research workflows, including coding, computational data analysis, reproducible research practices and collaborative digital research tools.</w:t>
      </w:r>
    </w:p>
    <w:p w14:paraId="6B58D5D6" w14:textId="77777777" w:rsidR="0087763F" w:rsidRPr="0087763F" w:rsidRDefault="0087763F" w:rsidP="0087763F">
      <w:pPr>
        <w:rPr>
          <w:rFonts w:eastAsia="Aptos"/>
        </w:rPr>
      </w:pPr>
    </w:p>
    <w:p w14:paraId="4A106FCC" w14:textId="77777777" w:rsidR="0087763F" w:rsidRPr="0087763F" w:rsidRDefault="0087763F" w:rsidP="0087763F">
      <w:pPr>
        <w:rPr>
          <w:rFonts w:eastAsia="Aptos"/>
        </w:rPr>
      </w:pPr>
      <w:r w:rsidRPr="0087763F">
        <w:rPr>
          <w:rFonts w:eastAsia="Aptos"/>
        </w:rPr>
        <w:t>Training will be delivered through a structured portfolio of short courses designed to support researchers at different stages of their development. Delivery will take place primarily through in-person workshops, supported by digital learning resources to ensure both interactive teaching and scalable access to training materials.</w:t>
      </w:r>
    </w:p>
    <w:p w14:paraId="739DC517" w14:textId="77777777" w:rsidR="0087763F" w:rsidRPr="0087763F" w:rsidRDefault="0087763F" w:rsidP="0087763F">
      <w:pPr>
        <w:rPr>
          <w:rFonts w:eastAsia="Aptos"/>
        </w:rPr>
      </w:pPr>
    </w:p>
    <w:p w14:paraId="069EF759" w14:textId="77777777" w:rsidR="0087763F" w:rsidRPr="0087763F" w:rsidRDefault="0087763F" w:rsidP="0087763F">
      <w:pPr>
        <w:rPr>
          <w:rFonts w:eastAsia="Aptos"/>
        </w:rPr>
      </w:pPr>
      <w:r w:rsidRPr="0087763F">
        <w:rPr>
          <w:rFonts w:eastAsia="Aptos"/>
        </w:rPr>
        <w:t>A central component of the programme will be the continued development of the Essential Digital Skills curriculum, which will serve as a foundational entry point for researchers developing computational and data literacy. This curriculum introduces researchers to the core competencies required for modern data-intensive research practice, including digital research tools and collaborative platforms, research data management and governance, exploratory data analysis, reproducible computational workflows and responsible use of emerging technologies such as artificial intelligence.</w:t>
      </w:r>
    </w:p>
    <w:p w14:paraId="1B83CBB4" w14:textId="77777777" w:rsidR="0087763F" w:rsidRPr="0087763F" w:rsidRDefault="0087763F" w:rsidP="0087763F">
      <w:pPr>
        <w:rPr>
          <w:rFonts w:eastAsia="Aptos"/>
        </w:rPr>
      </w:pPr>
    </w:p>
    <w:p w14:paraId="2A2A7EFA" w14:textId="40E6A652" w:rsidR="0087763F" w:rsidRPr="0087763F" w:rsidRDefault="0087763F" w:rsidP="0087763F">
      <w:pPr>
        <w:rPr>
          <w:rFonts w:eastAsia="Aptos"/>
        </w:rPr>
      </w:pPr>
      <w:r w:rsidRPr="0087763F">
        <w:rPr>
          <w:rFonts w:eastAsia="Aptos"/>
        </w:rPr>
        <w:t xml:space="preserve">Once established, the programme is expected to develop and deliver approximately 10 short courses annually, alongside the continued expansion of online learning resources hosted through the Digital Skills platform. This provision would support </w:t>
      </w:r>
      <w:commentRangeStart w:id="0"/>
      <w:r w:rsidR="0007028D">
        <w:rPr>
          <w:rFonts w:eastAsia="Aptos"/>
        </w:rPr>
        <w:t>numerous</w:t>
      </w:r>
      <w:r w:rsidRPr="0087763F">
        <w:rPr>
          <w:rFonts w:eastAsia="Aptos"/>
        </w:rPr>
        <w:t xml:space="preserve"> </w:t>
      </w:r>
      <w:commentRangeEnd w:id="0"/>
      <w:r w:rsidR="0007028D">
        <w:rPr>
          <w:rStyle w:val="CommentReference"/>
        </w:rPr>
        <w:commentReference w:id="0"/>
      </w:r>
      <w:r w:rsidRPr="0087763F">
        <w:rPr>
          <w:rFonts w:eastAsia="Aptos"/>
        </w:rPr>
        <w:t>researchers each year through doctoral training programmes, faculty-based training initiatives and open institutional workshops.</w:t>
      </w:r>
    </w:p>
    <w:p w14:paraId="3B55F458" w14:textId="77777777" w:rsidR="0087763F" w:rsidRPr="0087763F" w:rsidRDefault="0087763F" w:rsidP="0087763F">
      <w:pPr>
        <w:rPr>
          <w:rFonts w:eastAsia="Aptos"/>
        </w:rPr>
      </w:pPr>
    </w:p>
    <w:p w14:paraId="6B8B9E4C" w14:textId="0F60AA11" w:rsidR="0087763F" w:rsidRPr="0087763F" w:rsidRDefault="0087763F" w:rsidP="0087763F">
      <w:pPr>
        <w:rPr>
          <w:rFonts w:eastAsia="Aptos"/>
        </w:rPr>
      </w:pPr>
      <w:r w:rsidRPr="0087763F">
        <w:rPr>
          <w:rFonts w:eastAsia="Aptos"/>
        </w:rPr>
        <w:t>A key design principle of the model is that training delivery draws on expertise from across the wider Digital Research Service rather than relying on a small</w:t>
      </w:r>
      <w:r w:rsidR="0007028D">
        <w:rPr>
          <w:rFonts w:eastAsia="Aptos"/>
        </w:rPr>
        <w:t>,</w:t>
      </w:r>
      <w:r w:rsidRPr="0087763F">
        <w:rPr>
          <w:rFonts w:eastAsia="Aptos"/>
        </w:rPr>
        <w:t xml:space="preserve"> dedicated training team. Rotating specialist contributions from the broader DRS staff pool allow the programme to access a wide range of expertise, including data science, research software engineering and advanced analytics. This approach ensures that training remains closely connected to current research practice and emerging computational methods.</w:t>
      </w:r>
    </w:p>
    <w:p w14:paraId="6644AAA4" w14:textId="77777777" w:rsidR="0087763F" w:rsidRPr="0087763F" w:rsidRDefault="0087763F" w:rsidP="0087763F">
      <w:pPr>
        <w:rPr>
          <w:rFonts w:eastAsia="Aptos"/>
        </w:rPr>
      </w:pPr>
    </w:p>
    <w:p w14:paraId="7353381B" w14:textId="77777777" w:rsidR="0087763F" w:rsidRPr="0087763F" w:rsidRDefault="0087763F" w:rsidP="0087763F">
      <w:pPr>
        <w:rPr>
          <w:rFonts w:eastAsia="Aptos"/>
        </w:rPr>
      </w:pPr>
      <w:r w:rsidRPr="0087763F">
        <w:rPr>
          <w:rFonts w:eastAsia="Aptos"/>
        </w:rPr>
        <w:t>The distributed delivery model also strengthens organisational resilience. Training provision does not depend on a single individual or short-term appointment, reducing the risk that staff turnover disrupts programme continuity. Instead, expertise is distributed across a wider technical community, ensuring that training remains sustainable as the programme expands.</w:t>
      </w:r>
    </w:p>
    <w:p w14:paraId="5A9C5E8A" w14:textId="77777777" w:rsidR="0087763F" w:rsidRPr="0087763F" w:rsidRDefault="0087763F" w:rsidP="0087763F">
      <w:pPr>
        <w:rPr>
          <w:rFonts w:eastAsia="Aptos"/>
        </w:rPr>
      </w:pPr>
    </w:p>
    <w:p w14:paraId="7E0CE023" w14:textId="3BE3C234" w:rsidR="00160233" w:rsidRPr="00160233" w:rsidRDefault="0087763F" w:rsidP="0087763F">
      <w:pPr>
        <w:rPr>
          <w:rFonts w:eastAsia="Aptos" w:cstheme="majorBidi"/>
          <w:color w:val="0F4761" w:themeColor="accent1" w:themeShade="BF"/>
          <w:sz w:val="40"/>
          <w:szCs w:val="40"/>
        </w:rPr>
      </w:pPr>
      <w:r w:rsidRPr="0087763F">
        <w:rPr>
          <w:rFonts w:eastAsia="Aptos"/>
        </w:rPr>
        <w:lastRenderedPageBreak/>
        <w:t>Together, these complementary contributions create a model that connects existing institutional strengths rather than duplicating them. The Researcher Academy provides established training infrastructure and institutional reach across the researcher community, while the Digital Research Service provides deep technical expertise and direct engagement with computational research practice. By combining these capabilities, the CARDS programme establishes a scalable and sustainable framework for delivering computational and research data skills training across disciplines.</w:t>
      </w:r>
      <w:r w:rsidR="00160233" w:rsidRPr="00160233">
        <w:rPr>
          <w:rFonts w:eastAsia="Aptos"/>
        </w:rPr>
        <w:br w:type="page"/>
      </w:r>
    </w:p>
    <w:p w14:paraId="06169C8D" w14:textId="46672540" w:rsidR="01003A0E" w:rsidRPr="00160233" w:rsidRDefault="01003A0E" w:rsidP="00160233">
      <w:pPr>
        <w:pStyle w:val="Heading1"/>
        <w:rPr>
          <w:rFonts w:asciiTheme="minorHAnsi" w:hAnsiTheme="minorHAnsi"/>
        </w:rPr>
      </w:pPr>
      <w:r w:rsidRPr="00160233">
        <w:rPr>
          <w:rFonts w:asciiTheme="minorHAnsi" w:eastAsia="Aptos" w:hAnsiTheme="minorHAnsi"/>
        </w:rPr>
        <w:lastRenderedPageBreak/>
        <w:t xml:space="preserve">Staffing and </w:t>
      </w:r>
      <w:r w:rsidRPr="00160233">
        <w:rPr>
          <w:rFonts w:asciiTheme="minorHAnsi" w:hAnsiTheme="minorHAnsi"/>
        </w:rPr>
        <w:t>Resources</w:t>
      </w:r>
    </w:p>
    <w:p w14:paraId="216ADFB1" w14:textId="76AD282E" w:rsidR="00160233" w:rsidRPr="00160233" w:rsidRDefault="00160233" w:rsidP="00160233">
      <w:pPr>
        <w:spacing w:before="240" w:after="240"/>
        <w:rPr>
          <w:rFonts w:eastAsia="Aptos" w:cs="Aptos"/>
        </w:rPr>
      </w:pPr>
      <w:r w:rsidRPr="00160233">
        <w:rPr>
          <w:rFonts w:eastAsia="Aptos" w:cs="Aptos"/>
        </w:rPr>
        <w:t>To deliver the CARDS programme effectively, the proposal requests the creation of one new strategic role supported by dedicated development capacity drawn from the existing Digital Research Service team.</w:t>
      </w:r>
    </w:p>
    <w:p w14:paraId="2CFAE592" w14:textId="016E11CA" w:rsidR="00160233" w:rsidRPr="00160233" w:rsidRDefault="00160233" w:rsidP="00160233">
      <w:pPr>
        <w:spacing w:before="240" w:after="240"/>
        <w:rPr>
          <w:rFonts w:eastAsia="Aptos" w:cs="Aptos"/>
        </w:rPr>
      </w:pPr>
      <w:r w:rsidRPr="00160233">
        <w:rPr>
          <w:rFonts w:eastAsia="Aptos" w:cs="Aptos"/>
        </w:rPr>
        <w:t>A CARDS Programme Lead within the Digital Research Service (Level 6) will provide strategic leadership for the initiative. The role will coordinate collaboration between the Digital Research Service, the Researcher Academy, Libraries and relevant faculty partners. The post holder will oversee programme development, ensure alignment with institutional and national priorities, and establish partnerships with doctoral training programmes and research centres. The role will also provide oversight of curriculum development, ensuring that training provision remains responsive to evolving research practices and technologies.</w:t>
      </w:r>
    </w:p>
    <w:p w14:paraId="0437D6C5" w14:textId="79156608" w:rsidR="00160233" w:rsidRPr="00160233" w:rsidRDefault="00160233" w:rsidP="00160233">
      <w:pPr>
        <w:spacing w:before="240" w:after="240"/>
        <w:rPr>
          <w:rFonts w:eastAsia="Aptos" w:cs="Aptos"/>
        </w:rPr>
      </w:pPr>
      <w:r w:rsidRPr="00160233">
        <w:rPr>
          <w:rFonts w:eastAsia="Aptos" w:cs="Aptos"/>
        </w:rPr>
        <w:t>During the initial establishment period the programme will also require the equivalent of two Level 5 (APM45) FTE allocations drawn from the wider DRS staff pool to support curriculum development and early delivery. These roles will operate as rotating secondments of specialist staff rather than permanently appointed posts, allowing the programme to draw on a broad range of expertise across the Digital Research Service, including data science, research software engineering and advanced analytics.</w:t>
      </w:r>
    </w:p>
    <w:p w14:paraId="702ED87C" w14:textId="478CA150" w:rsidR="00160233" w:rsidRPr="00160233" w:rsidRDefault="00160233" w:rsidP="00160233">
      <w:pPr>
        <w:spacing w:before="240" w:after="240"/>
        <w:rPr>
          <w:rFonts w:eastAsia="Aptos" w:cs="Aptos"/>
        </w:rPr>
      </w:pPr>
      <w:r w:rsidRPr="00160233">
        <w:rPr>
          <w:rFonts w:eastAsia="Aptos" w:cs="Aptos"/>
        </w:rPr>
        <w:t>This flexible model enables the programme to deploy the most appropriate expertise depending on the training being developed while maintaining strong connections to active research projects. It also provides organisational resilience by distributing training capacity across a wider technical team rather than concentrating responsibility within a small number of dedicated roles.</w:t>
      </w:r>
    </w:p>
    <w:p w14:paraId="76EA6DA2" w14:textId="6BEB5695" w:rsidR="00160233" w:rsidRPr="00160233" w:rsidRDefault="00160233" w:rsidP="00160233">
      <w:pPr>
        <w:spacing w:before="240" w:after="240"/>
        <w:rPr>
          <w:rFonts w:eastAsia="Aptos" w:cs="Aptos"/>
        </w:rPr>
      </w:pPr>
      <w:r w:rsidRPr="00160233">
        <w:rPr>
          <w:rFonts w:eastAsia="Aptos" w:cs="Aptos"/>
        </w:rPr>
        <w:t>These developer allocations will focus on the design, development and delivery of training materials and workshops. Working closely with researchers and research support teams, they will translate practical computational methods into accessible training formats suitable for researchers across different disciplinary backgrounds. They will also contribute to maintaining and expanding the Digital Skills training platform, ensuring that learning materials remain current and accessible.</w:t>
      </w:r>
    </w:p>
    <w:p w14:paraId="394AEBD8" w14:textId="1DDB7158" w:rsidR="00160233" w:rsidRPr="00160233" w:rsidRDefault="00160233" w:rsidP="00160233">
      <w:pPr>
        <w:spacing w:before="240" w:after="240"/>
        <w:rPr>
          <w:rFonts w:eastAsia="Aptos" w:cs="Aptos"/>
        </w:rPr>
      </w:pPr>
      <w:r w:rsidRPr="00160233">
        <w:rPr>
          <w:rFonts w:eastAsia="Aptos" w:cs="Aptos"/>
        </w:rPr>
        <w:t>Together, this structure creates a focused coordination function supported by a wider network of technical specialists, enabling the CARDS programme to scale while maintaining strong links with real research practice across the University.</w:t>
      </w:r>
    </w:p>
    <w:p w14:paraId="0DE7777A" w14:textId="77777777" w:rsidR="00160233" w:rsidRPr="00160233" w:rsidRDefault="00160233">
      <w:pPr>
        <w:rPr>
          <w:rFonts w:eastAsiaTheme="majorEastAsia" w:cstheme="majorBidi"/>
          <w:color w:val="0F4761" w:themeColor="accent1" w:themeShade="BF"/>
          <w:sz w:val="40"/>
          <w:szCs w:val="40"/>
        </w:rPr>
      </w:pPr>
      <w:r w:rsidRPr="00160233">
        <w:br w:type="page"/>
      </w:r>
    </w:p>
    <w:p w14:paraId="70394B36" w14:textId="0697F039" w:rsidR="00160233" w:rsidRPr="00160233" w:rsidRDefault="00160233" w:rsidP="00160233">
      <w:pPr>
        <w:pStyle w:val="Heading1"/>
        <w:rPr>
          <w:rFonts w:asciiTheme="minorHAnsi" w:hAnsiTheme="minorHAnsi"/>
        </w:rPr>
      </w:pPr>
      <w:r w:rsidRPr="00160233">
        <w:rPr>
          <w:rFonts w:asciiTheme="minorHAnsi" w:hAnsiTheme="minorHAnsi"/>
        </w:rPr>
        <w:lastRenderedPageBreak/>
        <w:t>Expected Benefits</w:t>
      </w:r>
    </w:p>
    <w:p w14:paraId="6E8F8B01" w14:textId="60484286" w:rsidR="00160233" w:rsidRPr="00160233" w:rsidRDefault="00160233" w:rsidP="00160233">
      <w:pPr>
        <w:spacing w:before="240" w:after="240"/>
      </w:pPr>
      <w:r w:rsidRPr="00160233">
        <w:t xml:space="preserve">At the researcher level, the CARDS programme will equip doctoral researchers, postdoctoral staff and early career academics with the technical competencies required to work effectively with complex data and computational research methods. Through structured training in coding, data analysis and reproducible research workflows, the programme will reduce barriers to adopting modern analytical approaches and support researchers in developing more efficient and transparent research practices. Once fully established, the programme has the potential to support </w:t>
      </w:r>
      <w:r w:rsidR="0007028D">
        <w:t>200-300 ECRs</w:t>
      </w:r>
      <w:r w:rsidRPr="00160233">
        <w:t xml:space="preserve"> annually through doctoral training programmes, workshops and faculty training initiatives.</w:t>
      </w:r>
    </w:p>
    <w:p w14:paraId="607316C0" w14:textId="32CFC748" w:rsidR="00160233" w:rsidRPr="00160233" w:rsidRDefault="00160233" w:rsidP="00160233">
      <w:pPr>
        <w:spacing w:before="240" w:after="240"/>
      </w:pPr>
      <w:r w:rsidRPr="00160233">
        <w:t>At the project level, improved computational and research data literacy will enable research teams to design more robust analytical workflows, reduce avoidable technical errors and improve the reproducibility of their results. This strengthens the credibility and long-term value of research outputs while improving the efficiency of research delivery.</w:t>
      </w:r>
    </w:p>
    <w:p w14:paraId="4564B9C6" w14:textId="171F9CD1" w:rsidR="00160233" w:rsidRPr="00160233" w:rsidRDefault="00160233" w:rsidP="00160233">
      <w:pPr>
        <w:spacing w:before="240" w:after="240"/>
      </w:pPr>
      <w:r w:rsidRPr="00160233">
        <w:t>At the institutional level, embedding structured training in computational and research data skills supports broader objectives around research quality, openness and methodological rigour. It also strengthens the University’s ability to participate in increasingly data-intensive and interdisciplinary research programmes.</w:t>
      </w:r>
    </w:p>
    <w:p w14:paraId="28BD0C79" w14:textId="0F18F462" w:rsidR="00160233" w:rsidRPr="00160233" w:rsidRDefault="00160233" w:rsidP="00160233">
      <w:pPr>
        <w:spacing w:before="240" w:after="240"/>
      </w:pPr>
      <w:r w:rsidRPr="00160233">
        <w:t>A further institutional benefit arises through the way the programme supports the long-term capability of the Digital Research Service itself. The DRS currently operates on a predominantly cost-recovery model tied to funded research projects, meaning that team size can fluctuate with project demand. Establishing a coordinated training programme creates a complementary activity that helps maintain a stable pool of technical expertise between project cycles. This strengthens the University’s ability to respond rapidly to new research opportunities, support large collaborative grants and provide specialist analytical expertise when new projects begin.</w:t>
      </w:r>
    </w:p>
    <w:p w14:paraId="4EA048BA" w14:textId="65DAF348" w:rsidR="00160233" w:rsidRPr="00160233" w:rsidRDefault="00160233" w:rsidP="00160233">
      <w:pPr>
        <w:spacing w:before="240" w:after="240"/>
      </w:pPr>
      <w:r w:rsidRPr="00160233">
        <w:t>Finally, by integrating this programme with doctoral training partnerships, research centres and researcher development pathways, the University can establish a consistent baseline of computational and research data capability across its research community. This contributes to a research environment in which modern computational and reproducible practices are embedded as standard expectations.</w:t>
      </w:r>
    </w:p>
    <w:p w14:paraId="71C62EC4" w14:textId="77777777" w:rsidR="00160233" w:rsidRDefault="00160233">
      <w:pPr>
        <w:rPr>
          <w:rFonts w:eastAsiaTheme="majorEastAsia" w:cstheme="majorBidi"/>
          <w:color w:val="0F4761" w:themeColor="accent1" w:themeShade="BF"/>
          <w:sz w:val="40"/>
          <w:szCs w:val="40"/>
        </w:rPr>
      </w:pPr>
      <w:r>
        <w:br w:type="page"/>
      </w:r>
    </w:p>
    <w:p w14:paraId="5C4A15EF" w14:textId="2F372654" w:rsidR="00160233" w:rsidRPr="00160233" w:rsidRDefault="00160233" w:rsidP="00160233">
      <w:pPr>
        <w:pStyle w:val="Heading1"/>
        <w:rPr>
          <w:rFonts w:asciiTheme="minorHAnsi" w:hAnsiTheme="minorHAnsi"/>
        </w:rPr>
      </w:pPr>
      <w:r w:rsidRPr="00160233">
        <w:rPr>
          <w:rFonts w:asciiTheme="minorHAnsi" w:hAnsiTheme="minorHAnsi"/>
        </w:rPr>
        <w:lastRenderedPageBreak/>
        <w:t>Alignment with Institutional Strategy</w:t>
      </w:r>
    </w:p>
    <w:p w14:paraId="0842A45B" w14:textId="259FA6A3" w:rsidR="00160233" w:rsidRPr="00160233" w:rsidRDefault="00160233" w:rsidP="00160233">
      <w:pPr>
        <w:spacing w:before="240" w:after="240"/>
      </w:pPr>
      <w:r w:rsidRPr="00160233">
        <w:t>The CARDS programme aligns closely with several institutional priorities.</w:t>
      </w:r>
    </w:p>
    <w:p w14:paraId="67843F73" w14:textId="25721BC2" w:rsidR="00160233" w:rsidRPr="00160233" w:rsidRDefault="00160233" w:rsidP="00160233">
      <w:pPr>
        <w:spacing w:before="240" w:after="240"/>
      </w:pPr>
      <w:r w:rsidRPr="00160233">
        <w:t>First, it supports the University’s commitment to research excellence and research culture by strengthening the methodological capabilities that underpin high-quality research. By enabling researchers to adopt transparent, reproducible and computationally robust workflows, the programme reinforces institutional commitments to responsible research practice and strengthens the credibility and impact of research outputs.</w:t>
      </w:r>
    </w:p>
    <w:p w14:paraId="586001DC" w14:textId="0CFEC902" w:rsidR="00160233" w:rsidRPr="00160233" w:rsidRDefault="00160233" w:rsidP="00160233">
      <w:pPr>
        <w:spacing w:before="240" w:after="240"/>
      </w:pPr>
      <w:r w:rsidRPr="00160233">
        <w:t>Second, the proposal complements the objectives of the Future Nottingham programme, which emphasises the need for sustainable and strategically focused services that maximise institutional impact. By establishing a small coordinating function that draws on expertise from across the Digital Research Service rather than creating a large standalone unit, the CARDS programme represents an efficient and resilient model for delivering specialist training capacity.</w:t>
      </w:r>
    </w:p>
    <w:p w14:paraId="4D14E7F0" w14:textId="0B1703F0" w:rsidR="00160233" w:rsidRPr="00160233" w:rsidRDefault="00160233" w:rsidP="00160233">
      <w:pPr>
        <w:spacing w:before="240" w:after="240"/>
      </w:pPr>
      <w:r w:rsidRPr="00160233">
        <w:t>Third, the initiative builds on the University’s existing investment in digital research infrastructure and support services. By equipping researchers with the computational and research data skills required to make effective use of these resources, the programme ensures that institutional investments in research infrastructure translate into improved research capability and productivity.</w:t>
      </w:r>
    </w:p>
    <w:p w14:paraId="5B9BA727" w14:textId="671962AF" w:rsidR="007417E1" w:rsidRPr="00160233" w:rsidRDefault="00160233" w:rsidP="00160233">
      <w:pPr>
        <w:spacing w:before="240" w:after="240"/>
      </w:pPr>
      <w:r w:rsidRPr="00160233">
        <w:t>Together, these contributions position the CARDS programme as a practical and strategically aligned initiative that strengthens the University’s research environment while supporting the development of modern, computationally informed research practices across disciplines.</w:t>
      </w:r>
    </w:p>
    <w:p w14:paraId="20A72EE8" w14:textId="77777777" w:rsidR="00160233" w:rsidRDefault="00160233">
      <w:pPr>
        <w:rPr>
          <w:rFonts w:eastAsiaTheme="majorEastAsia" w:cstheme="majorBidi"/>
          <w:color w:val="0F4761" w:themeColor="accent1" w:themeShade="BF"/>
          <w:sz w:val="32"/>
          <w:szCs w:val="32"/>
        </w:rPr>
      </w:pPr>
      <w:r>
        <w:br w:type="page"/>
      </w:r>
    </w:p>
    <w:p w14:paraId="191B87EC" w14:textId="23F59D7B" w:rsidR="00160233" w:rsidRPr="00160233" w:rsidRDefault="00160233" w:rsidP="00160233">
      <w:pPr>
        <w:pStyle w:val="Heading1"/>
      </w:pPr>
      <w:r w:rsidRPr="00160233">
        <w:lastRenderedPageBreak/>
        <w:t>Implementation Plan</w:t>
      </w:r>
    </w:p>
    <w:p w14:paraId="503A36A9" w14:textId="77777777" w:rsidR="00160233" w:rsidRPr="00160233" w:rsidRDefault="00160233" w:rsidP="00160233">
      <w:pPr>
        <w:pStyle w:val="NormalWeb"/>
        <w:rPr>
          <w:rFonts w:asciiTheme="minorHAnsi" w:hAnsiTheme="minorHAnsi"/>
        </w:rPr>
      </w:pPr>
      <w:r w:rsidRPr="00160233">
        <w:rPr>
          <w:rFonts w:asciiTheme="minorHAnsi" w:hAnsiTheme="minorHAnsi"/>
        </w:rPr>
        <w:t>The CARDS programme will be implemented in three phases, enabling the initiative to establish a coordination function, expand training provision and integrate the programme within existing researcher development pathways.</w:t>
      </w:r>
    </w:p>
    <w:p w14:paraId="644FC7A3" w14:textId="77777777" w:rsidR="00160233" w:rsidRPr="00160233" w:rsidRDefault="00160233" w:rsidP="00160233">
      <w:pPr>
        <w:pStyle w:val="Heading2"/>
      </w:pPr>
      <w:r w:rsidRPr="00160233">
        <w:t>Phase 1 – Establishment (Year 1)</w:t>
      </w:r>
    </w:p>
    <w:p w14:paraId="63AA94AD" w14:textId="77777777" w:rsidR="00160233" w:rsidRPr="00160233" w:rsidRDefault="00160233" w:rsidP="00160233">
      <w:pPr>
        <w:pStyle w:val="NormalWeb"/>
        <w:rPr>
          <w:rFonts w:asciiTheme="minorHAnsi" w:hAnsiTheme="minorHAnsi"/>
        </w:rPr>
      </w:pPr>
      <w:r w:rsidRPr="00160233">
        <w:rPr>
          <w:rFonts w:asciiTheme="minorHAnsi" w:hAnsiTheme="minorHAnsi"/>
        </w:rPr>
        <w:t>The first phase will focus on establishing the coordination function within the Digital Research Service and consolidating existing training provision.</w:t>
      </w:r>
    </w:p>
    <w:p w14:paraId="2216903C" w14:textId="77777777" w:rsidR="00160233" w:rsidRPr="00160233" w:rsidRDefault="00160233" w:rsidP="00160233">
      <w:pPr>
        <w:pStyle w:val="NormalWeb"/>
        <w:rPr>
          <w:rFonts w:asciiTheme="minorHAnsi" w:hAnsiTheme="minorHAnsi"/>
        </w:rPr>
      </w:pPr>
      <w:r w:rsidRPr="00160233">
        <w:rPr>
          <w:rFonts w:asciiTheme="minorHAnsi" w:hAnsiTheme="minorHAnsi"/>
        </w:rPr>
        <w:t>Key activities will include:</w:t>
      </w:r>
    </w:p>
    <w:p w14:paraId="56A80A0A" w14:textId="77777777" w:rsidR="00160233" w:rsidRPr="00160233" w:rsidRDefault="00160233" w:rsidP="00160233">
      <w:pPr>
        <w:pStyle w:val="NormalWeb"/>
        <w:numPr>
          <w:ilvl w:val="0"/>
          <w:numId w:val="25"/>
        </w:numPr>
        <w:rPr>
          <w:rFonts w:asciiTheme="minorHAnsi" w:hAnsiTheme="minorHAnsi"/>
          <w:b/>
          <w:bCs/>
        </w:rPr>
      </w:pPr>
      <w:r w:rsidRPr="00160233">
        <w:rPr>
          <w:rFonts w:asciiTheme="minorHAnsi" w:hAnsiTheme="minorHAnsi"/>
        </w:rPr>
        <w:t xml:space="preserve">Recruitment of the </w:t>
      </w:r>
      <w:r w:rsidRPr="00160233">
        <w:rPr>
          <w:rStyle w:val="Strong"/>
          <w:rFonts w:asciiTheme="minorHAnsi" w:eastAsiaTheme="majorEastAsia" w:hAnsiTheme="minorHAnsi"/>
          <w:b w:val="0"/>
          <w:bCs w:val="0"/>
        </w:rPr>
        <w:t>CARDS Programme Lead</w:t>
      </w:r>
      <w:r w:rsidRPr="00160233">
        <w:rPr>
          <w:rFonts w:asciiTheme="minorHAnsi" w:hAnsiTheme="minorHAnsi"/>
          <w:b/>
          <w:bCs/>
        </w:rPr>
        <w:t>.</w:t>
      </w:r>
    </w:p>
    <w:p w14:paraId="0795FCF9" w14:textId="77777777" w:rsidR="00160233" w:rsidRPr="00160233" w:rsidRDefault="00160233" w:rsidP="00160233">
      <w:pPr>
        <w:pStyle w:val="NormalWeb"/>
        <w:numPr>
          <w:ilvl w:val="0"/>
          <w:numId w:val="25"/>
        </w:numPr>
        <w:rPr>
          <w:rFonts w:asciiTheme="minorHAnsi" w:hAnsiTheme="minorHAnsi"/>
        </w:rPr>
      </w:pPr>
      <w:r w:rsidRPr="00160233">
        <w:rPr>
          <w:rFonts w:asciiTheme="minorHAnsi" w:hAnsiTheme="minorHAnsi"/>
        </w:rPr>
        <w:t>Consolidation and refinement of existing training materials within the Digital Skills platform.</w:t>
      </w:r>
    </w:p>
    <w:p w14:paraId="2016A00B" w14:textId="77777777" w:rsidR="00160233" w:rsidRPr="00160233" w:rsidRDefault="00160233" w:rsidP="00160233">
      <w:pPr>
        <w:pStyle w:val="NormalWeb"/>
        <w:numPr>
          <w:ilvl w:val="0"/>
          <w:numId w:val="25"/>
        </w:numPr>
        <w:rPr>
          <w:rFonts w:asciiTheme="minorHAnsi" w:hAnsiTheme="minorHAnsi"/>
        </w:rPr>
      </w:pPr>
      <w:r w:rsidRPr="00160233">
        <w:rPr>
          <w:rFonts w:asciiTheme="minorHAnsi" w:hAnsiTheme="minorHAnsi"/>
        </w:rPr>
        <w:t xml:space="preserve">Expansion of the </w:t>
      </w:r>
      <w:r w:rsidRPr="00160233">
        <w:rPr>
          <w:rStyle w:val="Strong"/>
          <w:rFonts w:asciiTheme="minorHAnsi" w:eastAsiaTheme="majorEastAsia" w:hAnsiTheme="minorHAnsi"/>
          <w:b w:val="0"/>
          <w:bCs w:val="0"/>
        </w:rPr>
        <w:t>Essential Digital Skills curriculum</w:t>
      </w:r>
      <w:r w:rsidRPr="00160233">
        <w:rPr>
          <w:rFonts w:asciiTheme="minorHAnsi" w:hAnsiTheme="minorHAnsi"/>
        </w:rPr>
        <w:t xml:space="preserve"> as the foundational component of the CARDS programme.</w:t>
      </w:r>
    </w:p>
    <w:p w14:paraId="1F0699B1" w14:textId="77777777" w:rsidR="00160233" w:rsidRPr="00160233" w:rsidRDefault="00160233" w:rsidP="00160233">
      <w:pPr>
        <w:pStyle w:val="NormalWeb"/>
        <w:numPr>
          <w:ilvl w:val="0"/>
          <w:numId w:val="25"/>
        </w:numPr>
        <w:rPr>
          <w:rFonts w:asciiTheme="minorHAnsi" w:hAnsiTheme="minorHAnsi"/>
        </w:rPr>
      </w:pPr>
      <w:r w:rsidRPr="00160233">
        <w:rPr>
          <w:rFonts w:asciiTheme="minorHAnsi" w:hAnsiTheme="minorHAnsi"/>
        </w:rPr>
        <w:t xml:space="preserve">Delivery of an initial series of </w:t>
      </w:r>
      <w:r w:rsidRPr="00160233">
        <w:rPr>
          <w:rStyle w:val="Strong"/>
          <w:rFonts w:asciiTheme="minorHAnsi" w:eastAsiaTheme="majorEastAsia" w:hAnsiTheme="minorHAnsi"/>
          <w:b w:val="0"/>
          <w:bCs w:val="0"/>
        </w:rPr>
        <w:t>pilot workshops and training sessions</w:t>
      </w:r>
      <w:r w:rsidRPr="00160233">
        <w:rPr>
          <w:rFonts w:asciiTheme="minorHAnsi" w:hAnsiTheme="minorHAnsi"/>
        </w:rPr>
        <w:t xml:space="preserve"> to refine programme structure and delivery methods.</w:t>
      </w:r>
    </w:p>
    <w:p w14:paraId="5B42F104" w14:textId="77777777" w:rsidR="00160233" w:rsidRPr="00160233" w:rsidRDefault="00160233" w:rsidP="00160233">
      <w:pPr>
        <w:pStyle w:val="NormalWeb"/>
        <w:numPr>
          <w:ilvl w:val="0"/>
          <w:numId w:val="25"/>
        </w:numPr>
        <w:rPr>
          <w:rFonts w:asciiTheme="minorHAnsi" w:hAnsiTheme="minorHAnsi"/>
        </w:rPr>
      </w:pPr>
      <w:r w:rsidRPr="00160233">
        <w:rPr>
          <w:rFonts w:asciiTheme="minorHAnsi" w:hAnsiTheme="minorHAnsi"/>
        </w:rPr>
        <w:t>Establishment of partnerships with the Researcher Academy, Libraries and key doctoral training programmes.</w:t>
      </w:r>
    </w:p>
    <w:p w14:paraId="551DDA27" w14:textId="4F13F6B5" w:rsidR="00160233" w:rsidRPr="00160233" w:rsidRDefault="00160233" w:rsidP="00160233">
      <w:pPr>
        <w:pStyle w:val="NormalWeb"/>
        <w:rPr>
          <w:rFonts w:asciiTheme="minorHAnsi" w:hAnsiTheme="minorHAnsi"/>
        </w:rPr>
      </w:pPr>
      <w:r w:rsidRPr="00160233">
        <w:rPr>
          <w:rFonts w:asciiTheme="minorHAnsi" w:hAnsiTheme="minorHAnsi"/>
        </w:rPr>
        <w:t>This phase will establish the governance structure, curriculum framework and initial delivery model for the programme.</w:t>
      </w:r>
    </w:p>
    <w:p w14:paraId="7546EA26" w14:textId="77777777" w:rsidR="00160233" w:rsidRPr="00160233" w:rsidRDefault="00160233" w:rsidP="00160233">
      <w:pPr>
        <w:pStyle w:val="Heading2"/>
      </w:pPr>
      <w:r w:rsidRPr="00160233">
        <w:t>Phase 2 – Programme Expansion (Years 1–2)</w:t>
      </w:r>
    </w:p>
    <w:p w14:paraId="3C91A7CB" w14:textId="77777777" w:rsidR="00160233" w:rsidRPr="00160233" w:rsidRDefault="00160233" w:rsidP="00160233">
      <w:pPr>
        <w:pStyle w:val="NormalWeb"/>
        <w:rPr>
          <w:rFonts w:asciiTheme="minorHAnsi" w:hAnsiTheme="minorHAnsi"/>
        </w:rPr>
      </w:pPr>
      <w:r w:rsidRPr="00160233">
        <w:rPr>
          <w:rFonts w:asciiTheme="minorHAnsi" w:hAnsiTheme="minorHAnsi"/>
        </w:rPr>
        <w:t>The second phase will focus on expanding training provision and embedding the programme within existing research training structures.</w:t>
      </w:r>
    </w:p>
    <w:p w14:paraId="3ADEF77B" w14:textId="77777777" w:rsidR="00160233" w:rsidRPr="00160233" w:rsidRDefault="00160233" w:rsidP="00160233">
      <w:pPr>
        <w:pStyle w:val="NormalWeb"/>
        <w:rPr>
          <w:rFonts w:asciiTheme="minorHAnsi" w:hAnsiTheme="minorHAnsi"/>
        </w:rPr>
      </w:pPr>
      <w:r w:rsidRPr="00160233">
        <w:rPr>
          <w:rFonts w:asciiTheme="minorHAnsi" w:hAnsiTheme="minorHAnsi"/>
        </w:rPr>
        <w:t>Key activities will include:</w:t>
      </w:r>
    </w:p>
    <w:p w14:paraId="16C8F045" w14:textId="77777777" w:rsidR="00160233" w:rsidRPr="00160233" w:rsidRDefault="00160233" w:rsidP="00160233">
      <w:pPr>
        <w:pStyle w:val="NormalWeb"/>
        <w:numPr>
          <w:ilvl w:val="0"/>
          <w:numId w:val="26"/>
        </w:numPr>
        <w:rPr>
          <w:rFonts w:asciiTheme="minorHAnsi" w:hAnsiTheme="minorHAnsi"/>
        </w:rPr>
      </w:pPr>
      <w:r w:rsidRPr="00160233">
        <w:rPr>
          <w:rFonts w:asciiTheme="minorHAnsi" w:hAnsiTheme="minorHAnsi"/>
        </w:rPr>
        <w:t>Development of a structured portfolio of workshops and short courses covering core competencies in computational research practice.</w:t>
      </w:r>
    </w:p>
    <w:p w14:paraId="35B63E97" w14:textId="77777777" w:rsidR="00160233" w:rsidRPr="00160233" w:rsidRDefault="00160233" w:rsidP="00160233">
      <w:pPr>
        <w:pStyle w:val="NormalWeb"/>
        <w:numPr>
          <w:ilvl w:val="0"/>
          <w:numId w:val="26"/>
        </w:numPr>
        <w:rPr>
          <w:rFonts w:asciiTheme="minorHAnsi" w:hAnsiTheme="minorHAnsi"/>
        </w:rPr>
      </w:pPr>
      <w:r w:rsidRPr="00160233">
        <w:rPr>
          <w:rFonts w:asciiTheme="minorHAnsi" w:hAnsiTheme="minorHAnsi"/>
        </w:rPr>
        <w:t>Expansion of delivery across doctoral training partnerships, research centres and faculty-based training initiatives.</w:t>
      </w:r>
    </w:p>
    <w:p w14:paraId="2B8BF130" w14:textId="77777777" w:rsidR="00160233" w:rsidRPr="00160233" w:rsidRDefault="00160233" w:rsidP="00160233">
      <w:pPr>
        <w:pStyle w:val="NormalWeb"/>
        <w:numPr>
          <w:ilvl w:val="0"/>
          <w:numId w:val="26"/>
        </w:numPr>
        <w:rPr>
          <w:rFonts w:asciiTheme="minorHAnsi" w:hAnsiTheme="minorHAnsi"/>
        </w:rPr>
      </w:pPr>
      <w:r w:rsidRPr="00160233">
        <w:rPr>
          <w:rFonts w:asciiTheme="minorHAnsi" w:hAnsiTheme="minorHAnsi"/>
        </w:rPr>
        <w:t xml:space="preserve">Integration of CARDS training within the </w:t>
      </w:r>
      <w:r w:rsidRPr="00160233">
        <w:rPr>
          <w:rStyle w:val="Strong"/>
          <w:rFonts w:asciiTheme="minorHAnsi" w:eastAsiaTheme="majorEastAsia" w:hAnsiTheme="minorHAnsi"/>
          <w:b w:val="0"/>
          <w:bCs w:val="0"/>
        </w:rPr>
        <w:t>Researcher Academy training catalogue</w:t>
      </w:r>
      <w:r w:rsidRPr="00160233">
        <w:rPr>
          <w:rFonts w:asciiTheme="minorHAnsi" w:hAnsiTheme="minorHAnsi"/>
          <w:b/>
          <w:bCs/>
        </w:rPr>
        <w:t>.</w:t>
      </w:r>
    </w:p>
    <w:p w14:paraId="32B0791C" w14:textId="77777777" w:rsidR="00160233" w:rsidRPr="00160233" w:rsidRDefault="00160233" w:rsidP="00160233">
      <w:pPr>
        <w:pStyle w:val="NormalWeb"/>
        <w:numPr>
          <w:ilvl w:val="0"/>
          <w:numId w:val="26"/>
        </w:numPr>
        <w:rPr>
          <w:rFonts w:asciiTheme="minorHAnsi" w:hAnsiTheme="minorHAnsi"/>
        </w:rPr>
      </w:pPr>
      <w:r w:rsidRPr="00160233">
        <w:rPr>
          <w:rFonts w:asciiTheme="minorHAnsi" w:hAnsiTheme="minorHAnsi"/>
        </w:rPr>
        <w:t>Development of online learning materials to support scalable delivery and wider participation.</w:t>
      </w:r>
    </w:p>
    <w:p w14:paraId="5075751A" w14:textId="4C0CCD3D" w:rsidR="00160233" w:rsidRPr="00160233" w:rsidRDefault="00160233" w:rsidP="00160233">
      <w:pPr>
        <w:pStyle w:val="NormalWeb"/>
        <w:rPr>
          <w:rFonts w:asciiTheme="minorHAnsi" w:hAnsiTheme="minorHAnsi"/>
        </w:rPr>
      </w:pPr>
      <w:r w:rsidRPr="00160233">
        <w:rPr>
          <w:rFonts w:asciiTheme="minorHAnsi" w:hAnsiTheme="minorHAnsi"/>
        </w:rPr>
        <w:t>This phase will broaden the reach of the programme and establish regular delivery across multiple research communities.</w:t>
      </w:r>
    </w:p>
    <w:p w14:paraId="451A58A3" w14:textId="77777777" w:rsidR="00160233" w:rsidRPr="00160233" w:rsidRDefault="00160233" w:rsidP="00160233">
      <w:pPr>
        <w:pStyle w:val="Heading2"/>
      </w:pPr>
      <w:r w:rsidRPr="00160233">
        <w:lastRenderedPageBreak/>
        <w:t>Phase 3 – Institutional Integration (Years 2–3)</w:t>
      </w:r>
    </w:p>
    <w:p w14:paraId="1EC7382A" w14:textId="77777777" w:rsidR="00160233" w:rsidRPr="00160233" w:rsidRDefault="00160233" w:rsidP="00160233">
      <w:pPr>
        <w:pStyle w:val="NormalWeb"/>
        <w:rPr>
          <w:rFonts w:asciiTheme="minorHAnsi" w:hAnsiTheme="minorHAnsi"/>
        </w:rPr>
      </w:pPr>
      <w:r w:rsidRPr="00160233">
        <w:rPr>
          <w:rFonts w:asciiTheme="minorHAnsi" w:hAnsiTheme="minorHAnsi"/>
        </w:rPr>
        <w:t>The final phase will focus on embedding the programme more formally within institutional researcher development pathways.</w:t>
      </w:r>
    </w:p>
    <w:p w14:paraId="5BC259A8" w14:textId="77777777" w:rsidR="00160233" w:rsidRPr="00160233" w:rsidRDefault="00160233" w:rsidP="00160233">
      <w:pPr>
        <w:pStyle w:val="NormalWeb"/>
        <w:rPr>
          <w:rFonts w:asciiTheme="minorHAnsi" w:hAnsiTheme="minorHAnsi"/>
        </w:rPr>
      </w:pPr>
      <w:r w:rsidRPr="00160233">
        <w:rPr>
          <w:rFonts w:asciiTheme="minorHAnsi" w:hAnsiTheme="minorHAnsi"/>
        </w:rPr>
        <w:t>Key activities will include:</w:t>
      </w:r>
    </w:p>
    <w:p w14:paraId="49F656ED" w14:textId="77777777" w:rsidR="00160233" w:rsidRPr="00160233" w:rsidRDefault="00160233" w:rsidP="00160233">
      <w:pPr>
        <w:pStyle w:val="NormalWeb"/>
        <w:numPr>
          <w:ilvl w:val="0"/>
          <w:numId w:val="27"/>
        </w:numPr>
        <w:rPr>
          <w:rFonts w:asciiTheme="minorHAnsi" w:hAnsiTheme="minorHAnsi"/>
        </w:rPr>
      </w:pPr>
      <w:r w:rsidRPr="00160233">
        <w:rPr>
          <w:rFonts w:asciiTheme="minorHAnsi" w:hAnsiTheme="minorHAnsi"/>
        </w:rPr>
        <w:t>Integration of CARDS training within doctoral researcher development programmes.</w:t>
      </w:r>
    </w:p>
    <w:p w14:paraId="0A719439" w14:textId="77777777" w:rsidR="00160233" w:rsidRPr="00160233" w:rsidRDefault="00160233" w:rsidP="00160233">
      <w:pPr>
        <w:pStyle w:val="NormalWeb"/>
        <w:numPr>
          <w:ilvl w:val="0"/>
          <w:numId w:val="27"/>
        </w:numPr>
        <w:rPr>
          <w:rFonts w:asciiTheme="minorHAnsi" w:hAnsiTheme="minorHAnsi"/>
        </w:rPr>
      </w:pPr>
      <w:r w:rsidRPr="00160233">
        <w:rPr>
          <w:rFonts w:asciiTheme="minorHAnsi" w:hAnsiTheme="minorHAnsi"/>
        </w:rPr>
        <w:t>Development of training pathways for early career researchers and research staff.</w:t>
      </w:r>
    </w:p>
    <w:p w14:paraId="4250052E" w14:textId="77777777" w:rsidR="00160233" w:rsidRPr="00160233" w:rsidRDefault="00160233" w:rsidP="00160233">
      <w:pPr>
        <w:pStyle w:val="NormalWeb"/>
        <w:numPr>
          <w:ilvl w:val="0"/>
          <w:numId w:val="27"/>
        </w:numPr>
        <w:rPr>
          <w:rFonts w:asciiTheme="minorHAnsi" w:hAnsiTheme="minorHAnsi"/>
        </w:rPr>
      </w:pPr>
      <w:r w:rsidRPr="00160233">
        <w:rPr>
          <w:rFonts w:asciiTheme="minorHAnsi" w:hAnsiTheme="minorHAnsi"/>
        </w:rPr>
        <w:t>Exploration of opportunities to include elements of the programme within institutional researcher induction processes.</w:t>
      </w:r>
    </w:p>
    <w:p w14:paraId="12E39193" w14:textId="77777777" w:rsidR="00160233" w:rsidRPr="00160233" w:rsidRDefault="00160233" w:rsidP="00160233">
      <w:pPr>
        <w:pStyle w:val="NormalWeb"/>
        <w:numPr>
          <w:ilvl w:val="0"/>
          <w:numId w:val="27"/>
        </w:numPr>
        <w:rPr>
          <w:rFonts w:asciiTheme="minorHAnsi" w:hAnsiTheme="minorHAnsi"/>
        </w:rPr>
      </w:pPr>
      <w:r w:rsidRPr="00160233">
        <w:rPr>
          <w:rFonts w:asciiTheme="minorHAnsi" w:hAnsiTheme="minorHAnsi"/>
        </w:rPr>
        <w:t>Expansion of online learning resources to support sustained and scalable programme delivery.</w:t>
      </w:r>
    </w:p>
    <w:p w14:paraId="489D219C" w14:textId="1AF8EA90" w:rsidR="00160233" w:rsidRPr="00160233" w:rsidRDefault="00160233" w:rsidP="00160233">
      <w:pPr>
        <w:pStyle w:val="NormalWeb"/>
        <w:rPr>
          <w:rFonts w:asciiTheme="minorHAnsi" w:hAnsiTheme="minorHAnsi"/>
        </w:rPr>
      </w:pPr>
      <w:r w:rsidRPr="00160233">
        <w:rPr>
          <w:rFonts w:asciiTheme="minorHAnsi" w:hAnsiTheme="minorHAnsi"/>
        </w:rPr>
        <w:t>By the end of this phase, CARDS will operate as an established component of the University’s researcher development ecosystem, supporting researchers across disciplines in developing computational and research data skills.</w:t>
      </w:r>
    </w:p>
    <w:p w14:paraId="48EA1854" w14:textId="77777777" w:rsidR="00160233" w:rsidRDefault="00160233">
      <w:pPr>
        <w:rPr>
          <w:rFonts w:asciiTheme="majorHAnsi" w:eastAsiaTheme="majorEastAsia" w:hAnsiTheme="majorHAnsi" w:cstheme="majorBidi"/>
          <w:color w:val="0F4761" w:themeColor="accent1" w:themeShade="BF"/>
          <w:sz w:val="40"/>
          <w:szCs w:val="40"/>
        </w:rPr>
      </w:pPr>
      <w:r>
        <w:br w:type="page"/>
      </w:r>
    </w:p>
    <w:p w14:paraId="53567BE0" w14:textId="71363DB4" w:rsidR="00160233" w:rsidRDefault="00160233" w:rsidP="00160233">
      <w:pPr>
        <w:pStyle w:val="Heading1"/>
      </w:pPr>
      <w:r>
        <w:lastRenderedPageBreak/>
        <w:t>Financial Case</w:t>
      </w:r>
    </w:p>
    <w:p w14:paraId="526FDCE2" w14:textId="6F6E07C7" w:rsidR="0087763F" w:rsidRDefault="0087763F" w:rsidP="0087763F">
      <w:pPr>
        <w:spacing w:before="240" w:after="240"/>
      </w:pPr>
      <w:r>
        <w:t xml:space="preserve">The primary financial requirement for the proposal is the creation of one Level 6 CARDS Programme </w:t>
      </w:r>
      <w:proofErr w:type="gramStart"/>
      <w:r>
        <w:t>Lead</w:t>
      </w:r>
      <w:proofErr w:type="gramEnd"/>
      <w:r>
        <w:t xml:space="preserve"> role to provide strategic leadership, institutional coordination and programme oversight.</w:t>
      </w:r>
    </w:p>
    <w:p w14:paraId="3C286A19" w14:textId="2481E492" w:rsidR="0087763F" w:rsidRDefault="0087763F" w:rsidP="0087763F">
      <w:pPr>
        <w:spacing w:before="240" w:after="240"/>
      </w:pPr>
      <w:r>
        <w:t>Training development and delivery will primarily draw on existing Digital Research Service expertise through rotating Level 5 developer allocations from the wider DRS staff pool. During the initial establishment phase the programme will require the equivalent of two Level 5 (APM45) FTE allocations to support curriculum development, early delivery and the expansion of training materials within the Digital Skills platform. These allocations will operate as rotating secondments rather than permanently appointed posts, allowing the programme to draw on a broad range of expertise across the Digital Research Service, including data science, research software engineering and advanced analytics</w:t>
      </w:r>
      <w:r>
        <w:t>.</w:t>
      </w:r>
    </w:p>
    <w:p w14:paraId="1D2A542F" w14:textId="0B5AC8BA" w:rsidR="0087763F" w:rsidRDefault="0087763F" w:rsidP="0087763F">
      <w:pPr>
        <w:spacing w:before="240" w:after="240"/>
      </w:pPr>
      <w:r>
        <w:t>This flexible model enables the programme to deploy the most appropriate expertise depending on the training being developed while maintaining strong connections to active research projects. It also provides organisational resilience by distributing training capacity across a wider technical team rather than concentrating responsibility within a small number of dedicated roles.</w:t>
      </w:r>
      <w:r>
        <w:t xml:space="preserve"> </w:t>
      </w:r>
      <w:r>
        <w:t>By drawing on existing institutional expertise, the proposal minimises the need for the creation of multiple new posts while enabling the University to expand its capacity to deliver computational and research data skills training. Rather than establishing a standalone training unit, the programme coordinates and scales expertise that already exists within the Digital Research Service.</w:t>
      </w:r>
    </w:p>
    <w:p w14:paraId="359EC068" w14:textId="0F1B4D27" w:rsidR="0087763F" w:rsidRDefault="0087763F" w:rsidP="0087763F">
      <w:pPr>
        <w:spacing w:before="240" w:after="240"/>
      </w:pPr>
      <w:r>
        <w:t>As a result, the CARDS programme represents a comparatively cost-effective approach to strengthening computational and research data capability across the University’s research community. The creation of a single coordination role enables the institution to expand training provision while maintaining strong connections to live research projects and emerging analytical methods.</w:t>
      </w:r>
    </w:p>
    <w:p w14:paraId="3A8B761B" w14:textId="6A35055A" w:rsidR="0087763F" w:rsidRDefault="0087763F" w:rsidP="0087763F">
      <w:pPr>
        <w:spacing w:before="240" w:after="240"/>
      </w:pPr>
      <w:r>
        <w:t>Over time, the programme will move towards a mixed funding model in which core coordination is institutionally supported while elements of delivery are partially cost-recovered through collaborations with doctoral training partnerships, research centres and externally funded research programmes. This approach allows the programme to grow sustainably while remaining aligned with the evolving needs of the University’s research community.</w:t>
      </w:r>
    </w:p>
    <w:p w14:paraId="494ADE8F" w14:textId="133EC5C0" w:rsidR="00160233" w:rsidRDefault="0087763F" w:rsidP="0087763F">
      <w:pPr>
        <w:spacing w:before="240" w:after="240"/>
      </w:pPr>
      <w:r>
        <w:t>In addition to strengthening researcher capability, the programme will also support the long-term sustainability of institutional technical expertise. The Digital Research Service currently operates largely on a cost-recovery model linked to funded research projects, meaning that team size can fluctuate with project demand. Establishing a coordinated training programme helps maintain a stable pool of technical expertise between project cycles, strengthening the University’s ability to respond rapidly to new research opportunities, support large collaborative grants and provide specialist analytical expertise when new projects begin.</w:t>
      </w:r>
      <w:r w:rsidR="00160233">
        <w:t xml:space="preserve"> </w:t>
      </w:r>
      <w:r w:rsidR="00160233">
        <w:tab/>
      </w:r>
    </w:p>
    <w:p w14:paraId="550DEE23" w14:textId="7D37032B" w:rsidR="00160233" w:rsidRDefault="00160233" w:rsidP="0087763F">
      <w:pPr>
        <w:pStyle w:val="Heading1"/>
      </w:pPr>
      <w:r>
        <w:br w:type="page"/>
      </w:r>
      <w:r>
        <w:lastRenderedPageBreak/>
        <w:t xml:space="preserve">Risks </w:t>
      </w:r>
      <w:r w:rsidRPr="00160233">
        <w:t>and</w:t>
      </w:r>
      <w:r>
        <w:t xml:space="preserve"> Mitigation</w:t>
      </w:r>
    </w:p>
    <w:p w14:paraId="5468F4E3" w14:textId="77777777" w:rsidR="00160233" w:rsidRPr="00160233" w:rsidRDefault="00160233" w:rsidP="0016023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5"/>
        <w:gridCol w:w="2782"/>
        <w:gridCol w:w="4029"/>
      </w:tblGrid>
      <w:tr w:rsidR="00160233" w:rsidRPr="00160233" w14:paraId="716C8FF2" w14:textId="77777777" w:rsidTr="00160233">
        <w:trPr>
          <w:tblHeader/>
          <w:tblCellSpacing w:w="15" w:type="dxa"/>
        </w:trPr>
        <w:tc>
          <w:tcPr>
            <w:tcW w:w="0" w:type="auto"/>
            <w:vAlign w:val="center"/>
            <w:hideMark/>
          </w:tcPr>
          <w:p w14:paraId="127598BF" w14:textId="77777777" w:rsidR="00160233" w:rsidRPr="00160233" w:rsidRDefault="00160233">
            <w:pPr>
              <w:jc w:val="center"/>
              <w:rPr>
                <w:b/>
                <w:bCs/>
                <w:sz w:val="22"/>
                <w:szCs w:val="22"/>
              </w:rPr>
            </w:pPr>
            <w:r w:rsidRPr="00160233">
              <w:rPr>
                <w:b/>
                <w:bCs/>
                <w:sz w:val="22"/>
                <w:szCs w:val="22"/>
              </w:rPr>
              <w:t>Risk</w:t>
            </w:r>
          </w:p>
        </w:tc>
        <w:tc>
          <w:tcPr>
            <w:tcW w:w="0" w:type="auto"/>
            <w:vAlign w:val="center"/>
            <w:hideMark/>
          </w:tcPr>
          <w:p w14:paraId="44719DAB" w14:textId="77777777" w:rsidR="00160233" w:rsidRPr="00160233" w:rsidRDefault="00160233">
            <w:pPr>
              <w:jc w:val="center"/>
              <w:rPr>
                <w:b/>
                <w:bCs/>
                <w:sz w:val="22"/>
                <w:szCs w:val="22"/>
              </w:rPr>
            </w:pPr>
            <w:r w:rsidRPr="00160233">
              <w:rPr>
                <w:b/>
                <w:bCs/>
                <w:sz w:val="22"/>
                <w:szCs w:val="22"/>
              </w:rPr>
              <w:t>Potential Impact</w:t>
            </w:r>
          </w:p>
        </w:tc>
        <w:tc>
          <w:tcPr>
            <w:tcW w:w="0" w:type="auto"/>
            <w:vAlign w:val="center"/>
            <w:hideMark/>
          </w:tcPr>
          <w:p w14:paraId="55BA917F" w14:textId="77777777" w:rsidR="00160233" w:rsidRPr="00160233" w:rsidRDefault="00160233">
            <w:pPr>
              <w:jc w:val="center"/>
              <w:rPr>
                <w:b/>
                <w:bCs/>
                <w:sz w:val="22"/>
                <w:szCs w:val="22"/>
              </w:rPr>
            </w:pPr>
            <w:r w:rsidRPr="00160233">
              <w:rPr>
                <w:b/>
                <w:bCs/>
                <w:sz w:val="22"/>
                <w:szCs w:val="22"/>
              </w:rPr>
              <w:t>Mitigation</w:t>
            </w:r>
          </w:p>
        </w:tc>
      </w:tr>
      <w:tr w:rsidR="00160233" w:rsidRPr="00160233" w14:paraId="782FD85B" w14:textId="77777777" w:rsidTr="00160233">
        <w:trPr>
          <w:tblCellSpacing w:w="15" w:type="dxa"/>
        </w:trPr>
        <w:tc>
          <w:tcPr>
            <w:tcW w:w="0" w:type="auto"/>
            <w:vAlign w:val="center"/>
            <w:hideMark/>
          </w:tcPr>
          <w:p w14:paraId="6CDB3CCF" w14:textId="77777777" w:rsidR="00160233" w:rsidRPr="00160233" w:rsidRDefault="00160233">
            <w:pPr>
              <w:rPr>
                <w:sz w:val="22"/>
                <w:szCs w:val="22"/>
              </w:rPr>
            </w:pPr>
            <w:r w:rsidRPr="00160233">
              <w:rPr>
                <w:sz w:val="22"/>
                <w:szCs w:val="22"/>
              </w:rPr>
              <w:t>Training delivery becomes dependent on a small number of specialists</w:t>
            </w:r>
          </w:p>
        </w:tc>
        <w:tc>
          <w:tcPr>
            <w:tcW w:w="0" w:type="auto"/>
            <w:vAlign w:val="center"/>
            <w:hideMark/>
          </w:tcPr>
          <w:p w14:paraId="31B8C1D1" w14:textId="77777777" w:rsidR="00160233" w:rsidRPr="00160233" w:rsidRDefault="00160233">
            <w:pPr>
              <w:rPr>
                <w:sz w:val="22"/>
                <w:szCs w:val="22"/>
              </w:rPr>
            </w:pPr>
            <w:r w:rsidRPr="00160233">
              <w:rPr>
                <w:sz w:val="22"/>
                <w:szCs w:val="22"/>
              </w:rPr>
              <w:t>Loss of staff could disrupt delivery and reduce continuity</w:t>
            </w:r>
          </w:p>
        </w:tc>
        <w:tc>
          <w:tcPr>
            <w:tcW w:w="0" w:type="auto"/>
            <w:vAlign w:val="center"/>
            <w:hideMark/>
          </w:tcPr>
          <w:p w14:paraId="17F04911" w14:textId="77777777" w:rsidR="00160233" w:rsidRPr="00160233" w:rsidRDefault="00160233">
            <w:pPr>
              <w:rPr>
                <w:sz w:val="22"/>
                <w:szCs w:val="22"/>
              </w:rPr>
            </w:pPr>
            <w:r w:rsidRPr="00160233">
              <w:rPr>
                <w:sz w:val="22"/>
                <w:szCs w:val="22"/>
              </w:rPr>
              <w:t>Rotating developer allocations distribute expertise across the wider DRS team, reducing dependency on any single individual and maintaining distributed capability across the service</w:t>
            </w:r>
          </w:p>
        </w:tc>
      </w:tr>
      <w:tr w:rsidR="00160233" w:rsidRPr="00160233" w14:paraId="4556B7F9" w14:textId="77777777" w:rsidTr="00160233">
        <w:trPr>
          <w:tblCellSpacing w:w="15" w:type="dxa"/>
        </w:trPr>
        <w:tc>
          <w:tcPr>
            <w:tcW w:w="0" w:type="auto"/>
            <w:vAlign w:val="center"/>
            <w:hideMark/>
          </w:tcPr>
          <w:p w14:paraId="5E8C0A53" w14:textId="77777777" w:rsidR="00160233" w:rsidRPr="00160233" w:rsidRDefault="00160233">
            <w:pPr>
              <w:rPr>
                <w:sz w:val="22"/>
                <w:szCs w:val="22"/>
              </w:rPr>
            </w:pPr>
            <w:r w:rsidRPr="00160233">
              <w:rPr>
                <w:sz w:val="22"/>
                <w:szCs w:val="22"/>
              </w:rPr>
              <w:t>Uptake is uneven across disciplines</w:t>
            </w:r>
          </w:p>
        </w:tc>
        <w:tc>
          <w:tcPr>
            <w:tcW w:w="0" w:type="auto"/>
            <w:vAlign w:val="center"/>
            <w:hideMark/>
          </w:tcPr>
          <w:p w14:paraId="3D750851" w14:textId="77777777" w:rsidR="00160233" w:rsidRPr="00160233" w:rsidRDefault="00160233">
            <w:pPr>
              <w:rPr>
                <w:sz w:val="22"/>
                <w:szCs w:val="22"/>
              </w:rPr>
            </w:pPr>
            <w:r w:rsidRPr="00160233">
              <w:rPr>
                <w:sz w:val="22"/>
                <w:szCs w:val="22"/>
              </w:rPr>
              <w:t>Programme impact may be limited to already engaged communities or technically focused faculties</w:t>
            </w:r>
          </w:p>
        </w:tc>
        <w:tc>
          <w:tcPr>
            <w:tcW w:w="0" w:type="auto"/>
            <w:vAlign w:val="center"/>
            <w:hideMark/>
          </w:tcPr>
          <w:p w14:paraId="4DCCD00F" w14:textId="77777777" w:rsidR="00160233" w:rsidRPr="00160233" w:rsidRDefault="00160233">
            <w:pPr>
              <w:rPr>
                <w:sz w:val="22"/>
                <w:szCs w:val="22"/>
              </w:rPr>
            </w:pPr>
            <w:r w:rsidRPr="00160233">
              <w:rPr>
                <w:sz w:val="22"/>
                <w:szCs w:val="22"/>
              </w:rPr>
              <w:t>Partnership with the Researcher Academy, doctoral training programmes and research centres will broaden visibility and embed training within existing researcher development pathways</w:t>
            </w:r>
          </w:p>
        </w:tc>
      </w:tr>
      <w:tr w:rsidR="00160233" w:rsidRPr="00160233" w14:paraId="6B962E6F" w14:textId="77777777" w:rsidTr="00160233">
        <w:trPr>
          <w:tblCellSpacing w:w="15" w:type="dxa"/>
        </w:trPr>
        <w:tc>
          <w:tcPr>
            <w:tcW w:w="0" w:type="auto"/>
            <w:vAlign w:val="center"/>
            <w:hideMark/>
          </w:tcPr>
          <w:p w14:paraId="2ADCB435" w14:textId="77777777" w:rsidR="00160233" w:rsidRPr="00160233" w:rsidRDefault="00160233">
            <w:pPr>
              <w:rPr>
                <w:sz w:val="22"/>
                <w:szCs w:val="22"/>
              </w:rPr>
            </w:pPr>
            <w:r w:rsidRPr="00160233">
              <w:rPr>
                <w:sz w:val="22"/>
                <w:szCs w:val="22"/>
              </w:rPr>
              <w:t>Limited engagement from some faculties or research groups</w:t>
            </w:r>
          </w:p>
        </w:tc>
        <w:tc>
          <w:tcPr>
            <w:tcW w:w="0" w:type="auto"/>
            <w:vAlign w:val="center"/>
            <w:hideMark/>
          </w:tcPr>
          <w:p w14:paraId="6FFA2C8B" w14:textId="77777777" w:rsidR="00160233" w:rsidRPr="00160233" w:rsidRDefault="00160233">
            <w:pPr>
              <w:rPr>
                <w:sz w:val="22"/>
                <w:szCs w:val="22"/>
              </w:rPr>
            </w:pPr>
            <w:r w:rsidRPr="00160233">
              <w:rPr>
                <w:sz w:val="22"/>
                <w:szCs w:val="22"/>
              </w:rPr>
              <w:t>Training may not reach researchers across all disciplines</w:t>
            </w:r>
          </w:p>
        </w:tc>
        <w:tc>
          <w:tcPr>
            <w:tcW w:w="0" w:type="auto"/>
            <w:vAlign w:val="center"/>
            <w:hideMark/>
          </w:tcPr>
          <w:p w14:paraId="6B8BC1C9" w14:textId="77777777" w:rsidR="00160233" w:rsidRPr="00160233" w:rsidRDefault="00160233">
            <w:pPr>
              <w:rPr>
                <w:sz w:val="22"/>
                <w:szCs w:val="22"/>
              </w:rPr>
            </w:pPr>
            <w:r w:rsidRPr="00160233">
              <w:rPr>
                <w:sz w:val="22"/>
                <w:szCs w:val="22"/>
              </w:rPr>
              <w:t>Work with faculty research leads, doctoral training programmes and research centres to integrate CARDS training into existing development pathways</w:t>
            </w:r>
          </w:p>
        </w:tc>
      </w:tr>
      <w:tr w:rsidR="00160233" w:rsidRPr="00160233" w14:paraId="11D1364F" w14:textId="77777777" w:rsidTr="00160233">
        <w:trPr>
          <w:tblCellSpacing w:w="15" w:type="dxa"/>
        </w:trPr>
        <w:tc>
          <w:tcPr>
            <w:tcW w:w="0" w:type="auto"/>
            <w:vAlign w:val="center"/>
            <w:hideMark/>
          </w:tcPr>
          <w:p w14:paraId="7B80403F" w14:textId="77777777" w:rsidR="00160233" w:rsidRPr="00160233" w:rsidRDefault="00160233">
            <w:pPr>
              <w:rPr>
                <w:sz w:val="22"/>
                <w:szCs w:val="22"/>
              </w:rPr>
            </w:pPr>
            <w:r w:rsidRPr="00160233">
              <w:rPr>
                <w:sz w:val="22"/>
                <w:szCs w:val="22"/>
              </w:rPr>
              <w:t>Training content becomes outdated as methods and technologies evolve</w:t>
            </w:r>
          </w:p>
        </w:tc>
        <w:tc>
          <w:tcPr>
            <w:tcW w:w="0" w:type="auto"/>
            <w:vAlign w:val="center"/>
            <w:hideMark/>
          </w:tcPr>
          <w:p w14:paraId="022DAEB2" w14:textId="77777777" w:rsidR="00160233" w:rsidRPr="00160233" w:rsidRDefault="00160233">
            <w:pPr>
              <w:rPr>
                <w:sz w:val="22"/>
                <w:szCs w:val="22"/>
              </w:rPr>
            </w:pPr>
            <w:r w:rsidRPr="00160233">
              <w:rPr>
                <w:sz w:val="22"/>
                <w:szCs w:val="22"/>
              </w:rPr>
              <w:t>Provision may lose relevance or fail to reflect current research practice</w:t>
            </w:r>
          </w:p>
        </w:tc>
        <w:tc>
          <w:tcPr>
            <w:tcW w:w="0" w:type="auto"/>
            <w:vAlign w:val="center"/>
            <w:hideMark/>
          </w:tcPr>
          <w:p w14:paraId="2D93953E" w14:textId="77777777" w:rsidR="00160233" w:rsidRPr="00160233" w:rsidRDefault="00160233">
            <w:pPr>
              <w:rPr>
                <w:sz w:val="22"/>
                <w:szCs w:val="22"/>
              </w:rPr>
            </w:pPr>
            <w:r w:rsidRPr="00160233">
              <w:rPr>
                <w:sz w:val="22"/>
                <w:szCs w:val="22"/>
              </w:rPr>
              <w:t>Continuous curriculum review, active involvement of current DRS specialists and close links to live research projects will keep content current</w:t>
            </w:r>
          </w:p>
        </w:tc>
      </w:tr>
      <w:tr w:rsidR="00160233" w:rsidRPr="00160233" w14:paraId="31716FB5" w14:textId="77777777" w:rsidTr="00160233">
        <w:trPr>
          <w:tblCellSpacing w:w="15" w:type="dxa"/>
        </w:trPr>
        <w:tc>
          <w:tcPr>
            <w:tcW w:w="0" w:type="auto"/>
            <w:vAlign w:val="center"/>
            <w:hideMark/>
          </w:tcPr>
          <w:p w14:paraId="221D2375" w14:textId="77777777" w:rsidR="00160233" w:rsidRPr="00160233" w:rsidRDefault="00160233">
            <w:pPr>
              <w:rPr>
                <w:sz w:val="22"/>
                <w:szCs w:val="22"/>
              </w:rPr>
            </w:pPr>
            <w:r w:rsidRPr="00160233">
              <w:rPr>
                <w:sz w:val="22"/>
                <w:szCs w:val="22"/>
              </w:rPr>
              <w:t>Pressure on pooled DRS capacity constrains delivery</w:t>
            </w:r>
          </w:p>
        </w:tc>
        <w:tc>
          <w:tcPr>
            <w:tcW w:w="0" w:type="auto"/>
            <w:vAlign w:val="center"/>
            <w:hideMark/>
          </w:tcPr>
          <w:p w14:paraId="52E6002B" w14:textId="77777777" w:rsidR="00160233" w:rsidRPr="00160233" w:rsidRDefault="00160233">
            <w:pPr>
              <w:rPr>
                <w:sz w:val="22"/>
                <w:szCs w:val="22"/>
              </w:rPr>
            </w:pPr>
            <w:r w:rsidRPr="00160233">
              <w:rPr>
                <w:sz w:val="22"/>
                <w:szCs w:val="22"/>
              </w:rPr>
              <w:t>Competing service demands could limit training development and delivery</w:t>
            </w:r>
          </w:p>
        </w:tc>
        <w:tc>
          <w:tcPr>
            <w:tcW w:w="0" w:type="auto"/>
            <w:vAlign w:val="center"/>
            <w:hideMark/>
          </w:tcPr>
          <w:p w14:paraId="5CA14218" w14:textId="77777777" w:rsidR="00160233" w:rsidRPr="00160233" w:rsidRDefault="00160233">
            <w:pPr>
              <w:rPr>
                <w:sz w:val="22"/>
                <w:szCs w:val="22"/>
              </w:rPr>
            </w:pPr>
            <w:r w:rsidRPr="00160233">
              <w:rPr>
                <w:sz w:val="22"/>
                <w:szCs w:val="22"/>
              </w:rPr>
              <w:t>Strategic coordination through the CARDS Programme Lead role will enable prioritisation, planning and phased expansion of the programme</w:t>
            </w:r>
          </w:p>
        </w:tc>
      </w:tr>
      <w:tr w:rsidR="00160233" w:rsidRPr="00160233" w14:paraId="785ECDF0" w14:textId="77777777" w:rsidTr="00160233">
        <w:trPr>
          <w:tblCellSpacing w:w="15" w:type="dxa"/>
        </w:trPr>
        <w:tc>
          <w:tcPr>
            <w:tcW w:w="0" w:type="auto"/>
            <w:vAlign w:val="center"/>
            <w:hideMark/>
          </w:tcPr>
          <w:p w14:paraId="67D73630" w14:textId="77777777" w:rsidR="00160233" w:rsidRPr="00160233" w:rsidRDefault="00160233">
            <w:pPr>
              <w:rPr>
                <w:sz w:val="22"/>
                <w:szCs w:val="22"/>
              </w:rPr>
            </w:pPr>
            <w:r w:rsidRPr="00160233">
              <w:rPr>
                <w:sz w:val="22"/>
                <w:szCs w:val="22"/>
              </w:rPr>
              <w:t>Insufficient time allocated from the wider DRS pool</w:t>
            </w:r>
          </w:p>
        </w:tc>
        <w:tc>
          <w:tcPr>
            <w:tcW w:w="0" w:type="auto"/>
            <w:vAlign w:val="center"/>
            <w:hideMark/>
          </w:tcPr>
          <w:p w14:paraId="4646BB8F" w14:textId="77777777" w:rsidR="00160233" w:rsidRPr="00160233" w:rsidRDefault="00160233">
            <w:pPr>
              <w:rPr>
                <w:sz w:val="22"/>
                <w:szCs w:val="22"/>
              </w:rPr>
            </w:pPr>
            <w:r w:rsidRPr="00160233">
              <w:rPr>
                <w:sz w:val="22"/>
                <w:szCs w:val="22"/>
              </w:rPr>
              <w:t>Curriculum development or delivery could slow during periods of high demand</w:t>
            </w:r>
          </w:p>
        </w:tc>
        <w:tc>
          <w:tcPr>
            <w:tcW w:w="0" w:type="auto"/>
            <w:vAlign w:val="center"/>
            <w:hideMark/>
          </w:tcPr>
          <w:p w14:paraId="22963AE9" w14:textId="77777777" w:rsidR="00160233" w:rsidRPr="00160233" w:rsidRDefault="00160233">
            <w:pPr>
              <w:rPr>
                <w:sz w:val="22"/>
                <w:szCs w:val="22"/>
              </w:rPr>
            </w:pPr>
            <w:r w:rsidRPr="00160233">
              <w:rPr>
                <w:sz w:val="22"/>
                <w:szCs w:val="22"/>
              </w:rPr>
              <w:t>Formal allocation of developer FTE during the establishment phase and advance scheduling of training activities</w:t>
            </w:r>
          </w:p>
        </w:tc>
      </w:tr>
      <w:tr w:rsidR="00160233" w:rsidRPr="00160233" w14:paraId="47ED65DE" w14:textId="77777777" w:rsidTr="00160233">
        <w:trPr>
          <w:tblCellSpacing w:w="15" w:type="dxa"/>
        </w:trPr>
        <w:tc>
          <w:tcPr>
            <w:tcW w:w="0" w:type="auto"/>
            <w:vAlign w:val="center"/>
            <w:hideMark/>
          </w:tcPr>
          <w:p w14:paraId="680F7376" w14:textId="77777777" w:rsidR="00160233" w:rsidRPr="00160233" w:rsidRDefault="00160233">
            <w:pPr>
              <w:rPr>
                <w:sz w:val="22"/>
                <w:szCs w:val="22"/>
              </w:rPr>
            </w:pPr>
            <w:r w:rsidRPr="00160233">
              <w:rPr>
                <w:sz w:val="22"/>
                <w:szCs w:val="22"/>
              </w:rPr>
              <w:t>Duplication with existing training provision</w:t>
            </w:r>
          </w:p>
        </w:tc>
        <w:tc>
          <w:tcPr>
            <w:tcW w:w="0" w:type="auto"/>
            <w:vAlign w:val="center"/>
            <w:hideMark/>
          </w:tcPr>
          <w:p w14:paraId="33CD58B3" w14:textId="77777777" w:rsidR="00160233" w:rsidRPr="00160233" w:rsidRDefault="00160233">
            <w:pPr>
              <w:rPr>
                <w:sz w:val="22"/>
                <w:szCs w:val="22"/>
              </w:rPr>
            </w:pPr>
            <w:r w:rsidRPr="00160233">
              <w:rPr>
                <w:sz w:val="22"/>
                <w:szCs w:val="22"/>
              </w:rPr>
              <w:t>Confusion about responsibilities between RA, Libraries and DRS</w:t>
            </w:r>
          </w:p>
        </w:tc>
        <w:tc>
          <w:tcPr>
            <w:tcW w:w="0" w:type="auto"/>
            <w:vAlign w:val="center"/>
            <w:hideMark/>
          </w:tcPr>
          <w:p w14:paraId="67D094E8" w14:textId="77777777" w:rsidR="00160233" w:rsidRPr="00160233" w:rsidRDefault="00160233">
            <w:pPr>
              <w:rPr>
                <w:sz w:val="22"/>
                <w:szCs w:val="22"/>
              </w:rPr>
            </w:pPr>
            <w:r w:rsidRPr="00160233">
              <w:rPr>
                <w:sz w:val="22"/>
                <w:szCs w:val="22"/>
              </w:rPr>
              <w:t>Clear delineation of roles: RA for researcher development delivery, Libraries for governance and stewardship, DRS for computational and research data skills training</w:t>
            </w:r>
          </w:p>
        </w:tc>
      </w:tr>
      <w:tr w:rsidR="00160233" w:rsidRPr="00160233" w14:paraId="6268D353" w14:textId="77777777" w:rsidTr="00160233">
        <w:trPr>
          <w:tblCellSpacing w:w="15" w:type="dxa"/>
        </w:trPr>
        <w:tc>
          <w:tcPr>
            <w:tcW w:w="0" w:type="auto"/>
            <w:vAlign w:val="center"/>
            <w:hideMark/>
          </w:tcPr>
          <w:p w14:paraId="7969CA77" w14:textId="77777777" w:rsidR="00160233" w:rsidRPr="00160233" w:rsidRDefault="00160233">
            <w:pPr>
              <w:rPr>
                <w:sz w:val="22"/>
                <w:szCs w:val="22"/>
              </w:rPr>
            </w:pPr>
            <w:r w:rsidRPr="00160233">
              <w:rPr>
                <w:sz w:val="22"/>
                <w:szCs w:val="22"/>
              </w:rPr>
              <w:t>Limited long-term funding</w:t>
            </w:r>
          </w:p>
        </w:tc>
        <w:tc>
          <w:tcPr>
            <w:tcW w:w="0" w:type="auto"/>
            <w:vAlign w:val="center"/>
            <w:hideMark/>
          </w:tcPr>
          <w:p w14:paraId="6A8928BF" w14:textId="77777777" w:rsidR="00160233" w:rsidRPr="00160233" w:rsidRDefault="00160233">
            <w:pPr>
              <w:rPr>
                <w:sz w:val="22"/>
                <w:szCs w:val="22"/>
              </w:rPr>
            </w:pPr>
            <w:r w:rsidRPr="00160233">
              <w:rPr>
                <w:sz w:val="22"/>
                <w:szCs w:val="22"/>
              </w:rPr>
              <w:t>Programme sustainability may be uncertain beyond initial establishment</w:t>
            </w:r>
          </w:p>
        </w:tc>
        <w:tc>
          <w:tcPr>
            <w:tcW w:w="0" w:type="auto"/>
            <w:vAlign w:val="center"/>
            <w:hideMark/>
          </w:tcPr>
          <w:p w14:paraId="2AED086C" w14:textId="77777777" w:rsidR="00160233" w:rsidRPr="00160233" w:rsidRDefault="00160233">
            <w:pPr>
              <w:rPr>
                <w:sz w:val="22"/>
                <w:szCs w:val="22"/>
              </w:rPr>
            </w:pPr>
            <w:r w:rsidRPr="00160233">
              <w:rPr>
                <w:sz w:val="22"/>
                <w:szCs w:val="22"/>
              </w:rPr>
              <w:t>Gradual transition toward a mixed funding model including partial cost recovery through doctoral training programmes, research centres and funded projects</w:t>
            </w:r>
          </w:p>
        </w:tc>
      </w:tr>
      <w:tr w:rsidR="00160233" w:rsidRPr="00160233" w14:paraId="5D71C6B7" w14:textId="77777777" w:rsidTr="00160233">
        <w:trPr>
          <w:tblCellSpacing w:w="15" w:type="dxa"/>
        </w:trPr>
        <w:tc>
          <w:tcPr>
            <w:tcW w:w="0" w:type="auto"/>
            <w:vAlign w:val="center"/>
            <w:hideMark/>
          </w:tcPr>
          <w:p w14:paraId="6A800AEA" w14:textId="77777777" w:rsidR="00160233" w:rsidRPr="00160233" w:rsidRDefault="00160233">
            <w:pPr>
              <w:rPr>
                <w:sz w:val="22"/>
                <w:szCs w:val="22"/>
              </w:rPr>
            </w:pPr>
            <w:r w:rsidRPr="00160233">
              <w:rPr>
                <w:sz w:val="22"/>
                <w:szCs w:val="22"/>
              </w:rPr>
              <w:t>Rapid growth in demand</w:t>
            </w:r>
          </w:p>
        </w:tc>
        <w:tc>
          <w:tcPr>
            <w:tcW w:w="0" w:type="auto"/>
            <w:vAlign w:val="center"/>
            <w:hideMark/>
          </w:tcPr>
          <w:p w14:paraId="4D2FA533" w14:textId="77777777" w:rsidR="00160233" w:rsidRPr="00160233" w:rsidRDefault="00160233">
            <w:pPr>
              <w:rPr>
                <w:sz w:val="22"/>
                <w:szCs w:val="22"/>
              </w:rPr>
            </w:pPr>
            <w:r w:rsidRPr="00160233">
              <w:rPr>
                <w:sz w:val="22"/>
                <w:szCs w:val="22"/>
              </w:rPr>
              <w:t>Demand for training may exceed available delivery capacity</w:t>
            </w:r>
          </w:p>
        </w:tc>
        <w:tc>
          <w:tcPr>
            <w:tcW w:w="0" w:type="auto"/>
            <w:vAlign w:val="center"/>
            <w:hideMark/>
          </w:tcPr>
          <w:p w14:paraId="37E16879" w14:textId="77777777" w:rsidR="00160233" w:rsidRPr="00160233" w:rsidRDefault="00160233">
            <w:pPr>
              <w:rPr>
                <w:sz w:val="22"/>
                <w:szCs w:val="22"/>
              </w:rPr>
            </w:pPr>
            <w:r w:rsidRPr="00160233">
              <w:rPr>
                <w:sz w:val="22"/>
                <w:szCs w:val="22"/>
              </w:rPr>
              <w:t>Phased expansion of the programme, prioritisation of scalable workshops and development of reusable online materials</w:t>
            </w:r>
          </w:p>
        </w:tc>
      </w:tr>
    </w:tbl>
    <w:p w14:paraId="6B3F0811" w14:textId="42A36431" w:rsidR="00160233" w:rsidRDefault="00160233" w:rsidP="00160233">
      <w:pPr>
        <w:spacing w:before="240" w:after="240"/>
      </w:pPr>
    </w:p>
    <w:p w14:paraId="092B8107" w14:textId="03B82BE1" w:rsidR="00160233" w:rsidRDefault="00160233" w:rsidP="0087763F">
      <w:pPr>
        <w:pStyle w:val="Heading1"/>
      </w:pPr>
      <w:r>
        <w:br w:type="page"/>
      </w:r>
      <w:r w:rsidRPr="00160233">
        <w:lastRenderedPageBreak/>
        <w:t>Evaluation</w:t>
      </w:r>
      <w:r>
        <w:t xml:space="preserve"> and Success Measures</w:t>
      </w:r>
    </w:p>
    <w:p w14:paraId="6501B13F" w14:textId="77777777" w:rsidR="00160233" w:rsidRPr="00160233" w:rsidRDefault="00160233" w:rsidP="00160233">
      <w:pPr>
        <w:pStyle w:val="NormalWeb"/>
        <w:rPr>
          <w:rFonts w:asciiTheme="minorHAnsi" w:hAnsiTheme="minorHAnsi"/>
        </w:rPr>
      </w:pPr>
      <w:r w:rsidRPr="00160233">
        <w:rPr>
          <w:rFonts w:asciiTheme="minorHAnsi" w:hAnsiTheme="minorHAnsi"/>
        </w:rPr>
        <w:t>The success of the CARDS programme will be assessed through a combination of quantitative and qualitative indicators that capture both participation and impact.</w:t>
      </w:r>
    </w:p>
    <w:p w14:paraId="0CF9B793" w14:textId="77777777" w:rsidR="00160233" w:rsidRPr="00160233" w:rsidRDefault="00160233" w:rsidP="00160233">
      <w:pPr>
        <w:pStyle w:val="NormalWeb"/>
        <w:rPr>
          <w:rFonts w:asciiTheme="minorHAnsi" w:hAnsiTheme="minorHAnsi"/>
        </w:rPr>
      </w:pPr>
      <w:r w:rsidRPr="00160233">
        <w:rPr>
          <w:rFonts w:asciiTheme="minorHAnsi" w:hAnsiTheme="minorHAnsi"/>
        </w:rPr>
        <w:t>Key measures will include:</w:t>
      </w:r>
    </w:p>
    <w:p w14:paraId="63043547" w14:textId="77777777" w:rsidR="00160233" w:rsidRPr="00160233" w:rsidRDefault="00160233" w:rsidP="00160233">
      <w:pPr>
        <w:pStyle w:val="NormalWeb"/>
        <w:numPr>
          <w:ilvl w:val="0"/>
          <w:numId w:val="28"/>
        </w:numPr>
        <w:rPr>
          <w:rFonts w:asciiTheme="minorHAnsi" w:hAnsiTheme="minorHAnsi"/>
        </w:rPr>
      </w:pPr>
      <w:r w:rsidRPr="00160233">
        <w:rPr>
          <w:rStyle w:val="Strong"/>
          <w:rFonts w:asciiTheme="minorHAnsi" w:eastAsiaTheme="majorEastAsia" w:hAnsiTheme="minorHAnsi"/>
          <w:b w:val="0"/>
          <w:bCs w:val="0"/>
        </w:rPr>
        <w:t>Participation levels</w:t>
      </w:r>
      <w:r w:rsidRPr="00160233">
        <w:rPr>
          <w:rFonts w:asciiTheme="minorHAnsi" w:hAnsiTheme="minorHAnsi"/>
          <w:b/>
          <w:bCs/>
        </w:rPr>
        <w:t xml:space="preserve"> across</w:t>
      </w:r>
      <w:r w:rsidRPr="00160233">
        <w:rPr>
          <w:rFonts w:asciiTheme="minorHAnsi" w:hAnsiTheme="minorHAnsi"/>
        </w:rPr>
        <w:t xml:space="preserve"> training programmes, including the number of researchers attending workshops and courses delivered through CARDS.</w:t>
      </w:r>
    </w:p>
    <w:p w14:paraId="337CCB72" w14:textId="77777777" w:rsidR="00160233" w:rsidRPr="00160233" w:rsidRDefault="00160233" w:rsidP="00160233">
      <w:pPr>
        <w:pStyle w:val="NormalWeb"/>
        <w:numPr>
          <w:ilvl w:val="0"/>
          <w:numId w:val="28"/>
        </w:numPr>
        <w:rPr>
          <w:rFonts w:asciiTheme="minorHAnsi" w:hAnsiTheme="minorHAnsi"/>
        </w:rPr>
      </w:pPr>
      <w:r w:rsidRPr="00160233">
        <w:rPr>
          <w:rStyle w:val="Strong"/>
          <w:rFonts w:asciiTheme="minorHAnsi" w:eastAsiaTheme="majorEastAsia" w:hAnsiTheme="minorHAnsi"/>
          <w:b w:val="0"/>
          <w:bCs w:val="0"/>
        </w:rPr>
        <w:t>Engagement across the institution</w:t>
      </w:r>
      <w:r w:rsidRPr="00160233">
        <w:rPr>
          <w:rFonts w:asciiTheme="minorHAnsi" w:hAnsiTheme="minorHAnsi"/>
          <w:b/>
          <w:bCs/>
        </w:rPr>
        <w:t>,</w:t>
      </w:r>
      <w:r w:rsidRPr="00160233">
        <w:rPr>
          <w:rFonts w:asciiTheme="minorHAnsi" w:hAnsiTheme="minorHAnsi"/>
        </w:rPr>
        <w:t xml:space="preserve"> measured through the number of faculties, schools or research centres incorporating CARDS training within their researcher development activities.</w:t>
      </w:r>
    </w:p>
    <w:p w14:paraId="5595A868" w14:textId="77777777" w:rsidR="00160233" w:rsidRPr="00160233" w:rsidRDefault="00160233" w:rsidP="00160233">
      <w:pPr>
        <w:pStyle w:val="NormalWeb"/>
        <w:numPr>
          <w:ilvl w:val="0"/>
          <w:numId w:val="28"/>
        </w:numPr>
        <w:rPr>
          <w:rFonts w:asciiTheme="minorHAnsi" w:hAnsiTheme="minorHAnsi"/>
        </w:rPr>
      </w:pPr>
      <w:r w:rsidRPr="00160233">
        <w:rPr>
          <w:rStyle w:val="Strong"/>
          <w:rFonts w:asciiTheme="minorHAnsi" w:eastAsiaTheme="majorEastAsia" w:hAnsiTheme="minorHAnsi"/>
          <w:b w:val="0"/>
          <w:bCs w:val="0"/>
        </w:rPr>
        <w:t>Adoption within doctoral training programmes</w:t>
      </w:r>
      <w:r w:rsidRPr="00160233">
        <w:rPr>
          <w:rFonts w:asciiTheme="minorHAnsi" w:hAnsiTheme="minorHAnsi"/>
          <w:b/>
          <w:bCs/>
        </w:rPr>
        <w:t>,</w:t>
      </w:r>
      <w:r w:rsidRPr="00160233">
        <w:rPr>
          <w:rFonts w:asciiTheme="minorHAnsi" w:hAnsiTheme="minorHAnsi"/>
        </w:rPr>
        <w:t xml:space="preserve"> including integration of training within doctoral training partnerships and structured doctoral development pathways.</w:t>
      </w:r>
    </w:p>
    <w:p w14:paraId="696A8F5F" w14:textId="77777777" w:rsidR="00160233" w:rsidRPr="00160233" w:rsidRDefault="00160233" w:rsidP="00160233">
      <w:pPr>
        <w:pStyle w:val="NormalWeb"/>
        <w:numPr>
          <w:ilvl w:val="0"/>
          <w:numId w:val="28"/>
        </w:numPr>
        <w:rPr>
          <w:rFonts w:asciiTheme="minorHAnsi" w:hAnsiTheme="minorHAnsi"/>
        </w:rPr>
      </w:pPr>
      <w:r w:rsidRPr="00160233">
        <w:rPr>
          <w:rStyle w:val="Strong"/>
          <w:rFonts w:asciiTheme="minorHAnsi" w:eastAsiaTheme="majorEastAsia" w:hAnsiTheme="minorHAnsi"/>
          <w:b w:val="0"/>
          <w:bCs w:val="0"/>
        </w:rPr>
        <w:t>Participant feedback and learning outcomes</w:t>
      </w:r>
      <w:r w:rsidRPr="00160233">
        <w:rPr>
          <w:rFonts w:asciiTheme="minorHAnsi" w:hAnsiTheme="minorHAnsi"/>
          <w:b/>
          <w:bCs/>
        </w:rPr>
        <w:t>,</w:t>
      </w:r>
      <w:r w:rsidRPr="00160233">
        <w:rPr>
          <w:rFonts w:asciiTheme="minorHAnsi" w:hAnsiTheme="minorHAnsi"/>
        </w:rPr>
        <w:t xml:space="preserve"> collected through post-course evaluations and follow-up surveys assessing confidence in computational and research data skills.</w:t>
      </w:r>
    </w:p>
    <w:p w14:paraId="380B1770" w14:textId="77777777" w:rsidR="00160233" w:rsidRPr="00160233" w:rsidRDefault="00160233" w:rsidP="00160233">
      <w:pPr>
        <w:pStyle w:val="NormalWeb"/>
        <w:numPr>
          <w:ilvl w:val="0"/>
          <w:numId w:val="28"/>
        </w:numPr>
        <w:rPr>
          <w:rFonts w:asciiTheme="minorHAnsi" w:hAnsiTheme="minorHAnsi"/>
        </w:rPr>
      </w:pPr>
      <w:r w:rsidRPr="00160233">
        <w:rPr>
          <w:rStyle w:val="Strong"/>
          <w:rFonts w:asciiTheme="minorHAnsi" w:eastAsiaTheme="majorEastAsia" w:hAnsiTheme="minorHAnsi"/>
          <w:b w:val="0"/>
          <w:bCs w:val="0"/>
        </w:rPr>
        <w:t>Evidence of improved research practices</w:t>
      </w:r>
      <w:r w:rsidRPr="00160233">
        <w:rPr>
          <w:rFonts w:asciiTheme="minorHAnsi" w:hAnsiTheme="minorHAnsi"/>
          <w:b/>
          <w:bCs/>
        </w:rPr>
        <w:t>,</w:t>
      </w:r>
      <w:r w:rsidRPr="00160233">
        <w:rPr>
          <w:rFonts w:asciiTheme="minorHAnsi" w:hAnsiTheme="minorHAnsi"/>
        </w:rPr>
        <w:t xml:space="preserve"> such as increased adoption of reproducible workflows, computational analysis methods and structured research data management approaches within research projects.</w:t>
      </w:r>
    </w:p>
    <w:p w14:paraId="1C8EFB0E" w14:textId="77777777" w:rsidR="00160233" w:rsidRPr="00160233" w:rsidRDefault="00160233" w:rsidP="00160233">
      <w:pPr>
        <w:pStyle w:val="NormalWeb"/>
        <w:numPr>
          <w:ilvl w:val="0"/>
          <w:numId w:val="28"/>
        </w:numPr>
        <w:rPr>
          <w:rFonts w:asciiTheme="minorHAnsi" w:hAnsiTheme="minorHAnsi"/>
        </w:rPr>
      </w:pPr>
      <w:r w:rsidRPr="00160233">
        <w:rPr>
          <w:rStyle w:val="Strong"/>
          <w:rFonts w:asciiTheme="minorHAnsi" w:eastAsiaTheme="majorEastAsia" w:hAnsiTheme="minorHAnsi"/>
          <w:b w:val="0"/>
          <w:bCs w:val="0"/>
        </w:rPr>
        <w:t>Growth and engagement metrics for the Digital Skills training platform</w:t>
      </w:r>
      <w:r w:rsidRPr="00160233">
        <w:rPr>
          <w:rFonts w:asciiTheme="minorHAnsi" w:hAnsiTheme="minorHAnsi"/>
          <w:b/>
          <w:bCs/>
        </w:rPr>
        <w:t xml:space="preserve">, </w:t>
      </w:r>
      <w:r w:rsidRPr="00160233">
        <w:rPr>
          <w:rFonts w:asciiTheme="minorHAnsi" w:hAnsiTheme="minorHAnsi"/>
        </w:rPr>
        <w:t>including access to online training materials and learning resources.</w:t>
      </w:r>
    </w:p>
    <w:p w14:paraId="66EBA07A" w14:textId="5B50D9DA" w:rsidR="00160233" w:rsidRDefault="00160233" w:rsidP="00160233">
      <w:pPr>
        <w:pStyle w:val="NormalWeb"/>
        <w:rPr>
          <w:rFonts w:asciiTheme="minorHAnsi" w:hAnsiTheme="minorHAnsi"/>
        </w:rPr>
      </w:pPr>
      <w:r w:rsidRPr="00160233">
        <w:rPr>
          <w:rFonts w:asciiTheme="minorHAnsi" w:hAnsiTheme="minorHAnsi"/>
        </w:rPr>
        <w:t xml:space="preserve">The programme will be subject to </w:t>
      </w:r>
      <w:r w:rsidRPr="00160233">
        <w:rPr>
          <w:rStyle w:val="Strong"/>
          <w:rFonts w:asciiTheme="minorHAnsi" w:eastAsiaTheme="majorEastAsia" w:hAnsiTheme="minorHAnsi"/>
          <w:b w:val="0"/>
          <w:bCs w:val="0"/>
        </w:rPr>
        <w:t>periodic review</w:t>
      </w:r>
      <w:r w:rsidRPr="00160233">
        <w:rPr>
          <w:rFonts w:asciiTheme="minorHAnsi" w:hAnsiTheme="minorHAnsi"/>
        </w:rPr>
        <w:t>, ensuring that training provision continues to reflect evolving research practices, technological developments and the needs of the University’s research community.</w:t>
      </w:r>
    </w:p>
    <w:p w14:paraId="47C265B9" w14:textId="77777777" w:rsidR="00160233" w:rsidRDefault="00160233">
      <w:pPr>
        <w:rPr>
          <w:rFonts w:eastAsia="Times New Roman" w:cs="Times New Roman"/>
          <w:lang w:eastAsia="en-GB"/>
        </w:rPr>
      </w:pPr>
      <w:r>
        <w:br w:type="page"/>
      </w:r>
    </w:p>
    <w:p w14:paraId="3727AF66" w14:textId="741D91FE" w:rsidR="00AB1A8F" w:rsidRPr="00AB1A8F" w:rsidRDefault="00AB1A8F" w:rsidP="00AB1A8F">
      <w:pPr>
        <w:pStyle w:val="Heading2"/>
      </w:pPr>
      <w:r w:rsidRPr="00AB1A8F">
        <w:lastRenderedPageBreak/>
        <w:t>Long-Term Sustainability</w:t>
      </w:r>
    </w:p>
    <w:p w14:paraId="491D8305" w14:textId="78001AB1" w:rsidR="0087763F" w:rsidRPr="0087763F" w:rsidRDefault="0087763F" w:rsidP="0087763F">
      <w:pPr>
        <w:pStyle w:val="NormalWeb"/>
        <w:rPr>
          <w:rFonts w:asciiTheme="minorHAnsi" w:hAnsiTheme="minorHAnsi"/>
          <w:bCs/>
        </w:rPr>
      </w:pPr>
      <w:r w:rsidRPr="0087763F">
        <w:rPr>
          <w:rFonts w:asciiTheme="minorHAnsi" w:hAnsiTheme="minorHAnsi"/>
          <w:bCs/>
        </w:rPr>
        <w:t>The CARDS programme is designed to establish a sustainable institutional capability for developing computational and research data skills across the University’s research community. By embedding the initiative within existing researcher development structures and drawing on the wider expertise of the Digital Research Service, the programme can expand training provision without requiring the creation of a large standalone training unit.</w:t>
      </w:r>
    </w:p>
    <w:p w14:paraId="60650915" w14:textId="370CDE47" w:rsidR="0087763F" w:rsidRPr="0087763F" w:rsidRDefault="0087763F" w:rsidP="0087763F">
      <w:pPr>
        <w:pStyle w:val="NormalWeb"/>
        <w:rPr>
          <w:rFonts w:asciiTheme="minorHAnsi" w:hAnsiTheme="minorHAnsi"/>
          <w:bCs/>
        </w:rPr>
      </w:pPr>
      <w:r w:rsidRPr="0087763F">
        <w:rPr>
          <w:rFonts w:asciiTheme="minorHAnsi" w:hAnsiTheme="minorHAnsi"/>
          <w:bCs/>
        </w:rPr>
        <w:t>A key element of this sustainability model is the distributed delivery approach. Rather than relying on a small</w:t>
      </w:r>
      <w:r>
        <w:rPr>
          <w:rFonts w:asciiTheme="minorHAnsi" w:hAnsiTheme="minorHAnsi"/>
          <w:bCs/>
        </w:rPr>
        <w:t>,</w:t>
      </w:r>
      <w:r w:rsidRPr="0087763F">
        <w:rPr>
          <w:rFonts w:asciiTheme="minorHAnsi" w:hAnsiTheme="minorHAnsi"/>
          <w:bCs/>
        </w:rPr>
        <w:t xml:space="preserve"> dedicated training team, the programme draws on specialist expertise from across the Digital Research Service. This rotating contribution model ensures that training remains closely aligned with current research practice and emerging computational methods while reducing reliance on individual staff members.</w:t>
      </w:r>
    </w:p>
    <w:p w14:paraId="52F18584" w14:textId="5ED2DF31" w:rsidR="0087763F" w:rsidRPr="0087763F" w:rsidRDefault="0087763F" w:rsidP="0087763F">
      <w:pPr>
        <w:pStyle w:val="NormalWeb"/>
        <w:rPr>
          <w:rFonts w:asciiTheme="minorHAnsi" w:hAnsiTheme="minorHAnsi"/>
          <w:bCs/>
        </w:rPr>
      </w:pPr>
      <w:r w:rsidRPr="0087763F">
        <w:rPr>
          <w:rFonts w:asciiTheme="minorHAnsi" w:hAnsiTheme="minorHAnsi"/>
          <w:bCs/>
        </w:rPr>
        <w:t>As the programme develops, opportunities will be pursued to integrate elements of the training provision within doctoral training partnerships, research centres and faculty-based researcher development programmes. In many cases, these partnerships already require or request digital and computational training for doctoral researchers, creating opportunities for CARDS training to be embedded within existing development pathways.</w:t>
      </w:r>
    </w:p>
    <w:p w14:paraId="79CF0F9E" w14:textId="1D1236F4" w:rsidR="0087763F" w:rsidRPr="0087763F" w:rsidRDefault="0087763F" w:rsidP="0087763F">
      <w:pPr>
        <w:pStyle w:val="NormalWeb"/>
        <w:rPr>
          <w:rFonts w:asciiTheme="minorHAnsi" w:hAnsiTheme="minorHAnsi"/>
          <w:bCs/>
        </w:rPr>
      </w:pPr>
      <w:r w:rsidRPr="0087763F">
        <w:rPr>
          <w:rFonts w:asciiTheme="minorHAnsi" w:hAnsiTheme="minorHAnsi"/>
          <w:bCs/>
        </w:rPr>
        <w:t>Over time, elements of programme delivery may also be supported through collaborations with externally funded research projects and training initiatives where specialist computational or data skills training is required. This approach enables elements of training delivery to be partially cost-recovered while maintaining core institutional coordination.</w:t>
      </w:r>
    </w:p>
    <w:p w14:paraId="73FA1051" w14:textId="17972925" w:rsidR="00160233" w:rsidRDefault="0087763F" w:rsidP="0087763F">
      <w:pPr>
        <w:pStyle w:val="NormalWeb"/>
        <w:rPr>
          <w:rFonts w:asciiTheme="minorHAnsi" w:hAnsiTheme="minorHAnsi"/>
          <w:bCs/>
        </w:rPr>
      </w:pPr>
      <w:r w:rsidRPr="0087763F">
        <w:rPr>
          <w:rFonts w:asciiTheme="minorHAnsi" w:hAnsiTheme="minorHAnsi"/>
          <w:bCs/>
        </w:rPr>
        <w:t>Through this mixed delivery model, CARDS can operate as a sustainable institutional capability that combines core coordination with collaborative delivery across research communities. By establishing a structured programme for developing computational and research data skills, the University strengthens its ability to support modern research practice while embedding reproducible and computational approaches as standard expectations across its research environment.</w:t>
      </w:r>
    </w:p>
    <w:p w14:paraId="7C0AD26E" w14:textId="77777777" w:rsidR="0007028D" w:rsidRPr="0087763F" w:rsidRDefault="0007028D" w:rsidP="0087763F">
      <w:pPr>
        <w:pStyle w:val="NormalWeb"/>
        <w:rPr>
          <w:rFonts w:asciiTheme="minorHAnsi" w:hAnsiTheme="minorHAnsi"/>
          <w:bCs/>
        </w:rPr>
      </w:pPr>
    </w:p>
    <w:sectPr w:rsidR="0007028D" w:rsidRPr="0087763F" w:rsidSect="00C4163B">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m Giles (staff)" w:date="2026-03-12T13:20:00Z" w:initials="TG(">
    <w:p w14:paraId="4EE7D074" w14:textId="721E4C43" w:rsidR="0007028D" w:rsidRDefault="0007028D">
      <w:pPr>
        <w:pStyle w:val="CommentText"/>
      </w:pPr>
      <w:r>
        <w:rPr>
          <w:rStyle w:val="CommentReference"/>
        </w:rPr>
        <w:annotationRef/>
      </w:r>
      <w:r>
        <w:t>This needs a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E7D0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340912" w16cex:dateUtc="2026-03-12T1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E7D074" w16cid:durableId="633409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51E"/>
    <w:multiLevelType w:val="multilevel"/>
    <w:tmpl w:val="68E0B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43EA9"/>
    <w:multiLevelType w:val="multilevel"/>
    <w:tmpl w:val="49BE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E0FA1"/>
    <w:multiLevelType w:val="multilevel"/>
    <w:tmpl w:val="A95A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54F77"/>
    <w:multiLevelType w:val="multilevel"/>
    <w:tmpl w:val="A434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070A5"/>
    <w:multiLevelType w:val="multilevel"/>
    <w:tmpl w:val="6398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780E4B"/>
    <w:multiLevelType w:val="multilevel"/>
    <w:tmpl w:val="EC60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20479B"/>
    <w:multiLevelType w:val="multilevel"/>
    <w:tmpl w:val="B1A2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3549A"/>
    <w:multiLevelType w:val="multilevel"/>
    <w:tmpl w:val="DEB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A0FDB"/>
    <w:multiLevelType w:val="multilevel"/>
    <w:tmpl w:val="ECE6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F510B"/>
    <w:multiLevelType w:val="multilevel"/>
    <w:tmpl w:val="97F0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65429"/>
    <w:multiLevelType w:val="multilevel"/>
    <w:tmpl w:val="F66C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32AE4"/>
    <w:multiLevelType w:val="hybridMultilevel"/>
    <w:tmpl w:val="9250B2F6"/>
    <w:lvl w:ilvl="0" w:tplc="0908C6E2">
      <w:start w:val="1"/>
      <w:numFmt w:val="bullet"/>
      <w:lvlText w:val=""/>
      <w:lvlJc w:val="left"/>
      <w:pPr>
        <w:ind w:left="720" w:hanging="360"/>
      </w:pPr>
      <w:rPr>
        <w:rFonts w:ascii="Symbol" w:hAnsi="Symbol" w:hint="default"/>
      </w:rPr>
    </w:lvl>
    <w:lvl w:ilvl="1" w:tplc="604CA40E">
      <w:start w:val="1"/>
      <w:numFmt w:val="bullet"/>
      <w:lvlText w:val="o"/>
      <w:lvlJc w:val="left"/>
      <w:pPr>
        <w:ind w:left="1440" w:hanging="360"/>
      </w:pPr>
      <w:rPr>
        <w:rFonts w:ascii="Courier New" w:hAnsi="Courier New" w:hint="default"/>
      </w:rPr>
    </w:lvl>
    <w:lvl w:ilvl="2" w:tplc="580051CE">
      <w:start w:val="1"/>
      <w:numFmt w:val="bullet"/>
      <w:lvlText w:val=""/>
      <w:lvlJc w:val="left"/>
      <w:pPr>
        <w:ind w:left="2160" w:hanging="360"/>
      </w:pPr>
      <w:rPr>
        <w:rFonts w:ascii="Wingdings" w:hAnsi="Wingdings" w:hint="default"/>
      </w:rPr>
    </w:lvl>
    <w:lvl w:ilvl="3" w:tplc="E01C53F4">
      <w:start w:val="1"/>
      <w:numFmt w:val="bullet"/>
      <w:lvlText w:val=""/>
      <w:lvlJc w:val="left"/>
      <w:pPr>
        <w:ind w:left="2880" w:hanging="360"/>
      </w:pPr>
      <w:rPr>
        <w:rFonts w:ascii="Symbol" w:hAnsi="Symbol" w:hint="default"/>
      </w:rPr>
    </w:lvl>
    <w:lvl w:ilvl="4" w:tplc="19B6B216">
      <w:start w:val="1"/>
      <w:numFmt w:val="bullet"/>
      <w:lvlText w:val="o"/>
      <w:lvlJc w:val="left"/>
      <w:pPr>
        <w:ind w:left="3600" w:hanging="360"/>
      </w:pPr>
      <w:rPr>
        <w:rFonts w:ascii="Courier New" w:hAnsi="Courier New" w:hint="default"/>
      </w:rPr>
    </w:lvl>
    <w:lvl w:ilvl="5" w:tplc="76A40B4C">
      <w:start w:val="1"/>
      <w:numFmt w:val="bullet"/>
      <w:lvlText w:val=""/>
      <w:lvlJc w:val="left"/>
      <w:pPr>
        <w:ind w:left="4320" w:hanging="360"/>
      </w:pPr>
      <w:rPr>
        <w:rFonts w:ascii="Wingdings" w:hAnsi="Wingdings" w:hint="default"/>
      </w:rPr>
    </w:lvl>
    <w:lvl w:ilvl="6" w:tplc="CC743366">
      <w:start w:val="1"/>
      <w:numFmt w:val="bullet"/>
      <w:lvlText w:val=""/>
      <w:lvlJc w:val="left"/>
      <w:pPr>
        <w:ind w:left="5040" w:hanging="360"/>
      </w:pPr>
      <w:rPr>
        <w:rFonts w:ascii="Symbol" w:hAnsi="Symbol" w:hint="default"/>
      </w:rPr>
    </w:lvl>
    <w:lvl w:ilvl="7" w:tplc="51C0A16E">
      <w:start w:val="1"/>
      <w:numFmt w:val="bullet"/>
      <w:lvlText w:val="o"/>
      <w:lvlJc w:val="left"/>
      <w:pPr>
        <w:ind w:left="5760" w:hanging="360"/>
      </w:pPr>
      <w:rPr>
        <w:rFonts w:ascii="Courier New" w:hAnsi="Courier New" w:hint="default"/>
      </w:rPr>
    </w:lvl>
    <w:lvl w:ilvl="8" w:tplc="70FC10F8">
      <w:start w:val="1"/>
      <w:numFmt w:val="bullet"/>
      <w:lvlText w:val=""/>
      <w:lvlJc w:val="left"/>
      <w:pPr>
        <w:ind w:left="6480" w:hanging="360"/>
      </w:pPr>
      <w:rPr>
        <w:rFonts w:ascii="Wingdings" w:hAnsi="Wingdings" w:hint="default"/>
      </w:rPr>
    </w:lvl>
  </w:abstractNum>
  <w:abstractNum w:abstractNumId="12" w15:restartNumberingAfterBreak="0">
    <w:nsid w:val="53DB2F23"/>
    <w:multiLevelType w:val="multilevel"/>
    <w:tmpl w:val="06CC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C62C4"/>
    <w:multiLevelType w:val="multilevel"/>
    <w:tmpl w:val="6A80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F3920"/>
    <w:multiLevelType w:val="multilevel"/>
    <w:tmpl w:val="80C8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2C4841"/>
    <w:multiLevelType w:val="hybridMultilevel"/>
    <w:tmpl w:val="C3E819AC"/>
    <w:lvl w:ilvl="0" w:tplc="39DC2218">
      <w:start w:val="1"/>
      <w:numFmt w:val="bullet"/>
      <w:lvlText w:val=""/>
      <w:lvlJc w:val="left"/>
      <w:pPr>
        <w:ind w:left="720" w:hanging="360"/>
      </w:pPr>
      <w:rPr>
        <w:rFonts w:ascii="Symbol" w:hAnsi="Symbol" w:hint="default"/>
      </w:rPr>
    </w:lvl>
    <w:lvl w:ilvl="1" w:tplc="7A605016">
      <w:start w:val="1"/>
      <w:numFmt w:val="bullet"/>
      <w:lvlText w:val="o"/>
      <w:lvlJc w:val="left"/>
      <w:pPr>
        <w:ind w:left="1440" w:hanging="360"/>
      </w:pPr>
      <w:rPr>
        <w:rFonts w:ascii="Courier New" w:hAnsi="Courier New" w:hint="default"/>
      </w:rPr>
    </w:lvl>
    <w:lvl w:ilvl="2" w:tplc="CF5231C8">
      <w:start w:val="1"/>
      <w:numFmt w:val="bullet"/>
      <w:lvlText w:val=""/>
      <w:lvlJc w:val="left"/>
      <w:pPr>
        <w:ind w:left="2160" w:hanging="360"/>
      </w:pPr>
      <w:rPr>
        <w:rFonts w:ascii="Wingdings" w:hAnsi="Wingdings" w:hint="default"/>
      </w:rPr>
    </w:lvl>
    <w:lvl w:ilvl="3" w:tplc="4916678C">
      <w:start w:val="1"/>
      <w:numFmt w:val="bullet"/>
      <w:lvlText w:val=""/>
      <w:lvlJc w:val="left"/>
      <w:pPr>
        <w:ind w:left="2880" w:hanging="360"/>
      </w:pPr>
      <w:rPr>
        <w:rFonts w:ascii="Symbol" w:hAnsi="Symbol" w:hint="default"/>
      </w:rPr>
    </w:lvl>
    <w:lvl w:ilvl="4" w:tplc="F5705CC0">
      <w:start w:val="1"/>
      <w:numFmt w:val="bullet"/>
      <w:lvlText w:val="o"/>
      <w:lvlJc w:val="left"/>
      <w:pPr>
        <w:ind w:left="3600" w:hanging="360"/>
      </w:pPr>
      <w:rPr>
        <w:rFonts w:ascii="Courier New" w:hAnsi="Courier New" w:hint="default"/>
      </w:rPr>
    </w:lvl>
    <w:lvl w:ilvl="5" w:tplc="BA1A2BB6">
      <w:start w:val="1"/>
      <w:numFmt w:val="bullet"/>
      <w:lvlText w:val=""/>
      <w:lvlJc w:val="left"/>
      <w:pPr>
        <w:ind w:left="4320" w:hanging="360"/>
      </w:pPr>
      <w:rPr>
        <w:rFonts w:ascii="Wingdings" w:hAnsi="Wingdings" w:hint="default"/>
      </w:rPr>
    </w:lvl>
    <w:lvl w:ilvl="6" w:tplc="41466646">
      <w:start w:val="1"/>
      <w:numFmt w:val="bullet"/>
      <w:lvlText w:val=""/>
      <w:lvlJc w:val="left"/>
      <w:pPr>
        <w:ind w:left="5040" w:hanging="360"/>
      </w:pPr>
      <w:rPr>
        <w:rFonts w:ascii="Symbol" w:hAnsi="Symbol" w:hint="default"/>
      </w:rPr>
    </w:lvl>
    <w:lvl w:ilvl="7" w:tplc="EBC221C8">
      <w:start w:val="1"/>
      <w:numFmt w:val="bullet"/>
      <w:lvlText w:val="o"/>
      <w:lvlJc w:val="left"/>
      <w:pPr>
        <w:ind w:left="5760" w:hanging="360"/>
      </w:pPr>
      <w:rPr>
        <w:rFonts w:ascii="Courier New" w:hAnsi="Courier New" w:hint="default"/>
      </w:rPr>
    </w:lvl>
    <w:lvl w:ilvl="8" w:tplc="474E05C8">
      <w:start w:val="1"/>
      <w:numFmt w:val="bullet"/>
      <w:lvlText w:val=""/>
      <w:lvlJc w:val="left"/>
      <w:pPr>
        <w:ind w:left="6480" w:hanging="360"/>
      </w:pPr>
      <w:rPr>
        <w:rFonts w:ascii="Wingdings" w:hAnsi="Wingdings" w:hint="default"/>
      </w:rPr>
    </w:lvl>
  </w:abstractNum>
  <w:abstractNum w:abstractNumId="16" w15:restartNumberingAfterBreak="0">
    <w:nsid w:val="666A47B9"/>
    <w:multiLevelType w:val="multilevel"/>
    <w:tmpl w:val="89F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C12B0"/>
    <w:multiLevelType w:val="multilevel"/>
    <w:tmpl w:val="29DC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8B2C04"/>
    <w:multiLevelType w:val="multilevel"/>
    <w:tmpl w:val="B62EB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B529FE"/>
    <w:multiLevelType w:val="multilevel"/>
    <w:tmpl w:val="825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B8F64"/>
    <w:multiLevelType w:val="hybridMultilevel"/>
    <w:tmpl w:val="2C6EE38A"/>
    <w:lvl w:ilvl="0" w:tplc="AF84CCCE">
      <w:start w:val="1"/>
      <w:numFmt w:val="bullet"/>
      <w:lvlText w:val=""/>
      <w:lvlJc w:val="left"/>
      <w:pPr>
        <w:ind w:left="720" w:hanging="360"/>
      </w:pPr>
      <w:rPr>
        <w:rFonts w:ascii="Symbol" w:hAnsi="Symbol" w:hint="default"/>
      </w:rPr>
    </w:lvl>
    <w:lvl w:ilvl="1" w:tplc="98FA3A18">
      <w:start w:val="1"/>
      <w:numFmt w:val="bullet"/>
      <w:lvlText w:val="o"/>
      <w:lvlJc w:val="left"/>
      <w:pPr>
        <w:ind w:left="1440" w:hanging="360"/>
      </w:pPr>
      <w:rPr>
        <w:rFonts w:ascii="Courier New" w:hAnsi="Courier New" w:hint="default"/>
      </w:rPr>
    </w:lvl>
    <w:lvl w:ilvl="2" w:tplc="0694DBB2">
      <w:start w:val="1"/>
      <w:numFmt w:val="bullet"/>
      <w:lvlText w:val=""/>
      <w:lvlJc w:val="left"/>
      <w:pPr>
        <w:ind w:left="2160" w:hanging="360"/>
      </w:pPr>
      <w:rPr>
        <w:rFonts w:ascii="Wingdings" w:hAnsi="Wingdings" w:hint="default"/>
      </w:rPr>
    </w:lvl>
    <w:lvl w:ilvl="3" w:tplc="FF0ACE08">
      <w:start w:val="1"/>
      <w:numFmt w:val="bullet"/>
      <w:lvlText w:val=""/>
      <w:lvlJc w:val="left"/>
      <w:pPr>
        <w:ind w:left="2880" w:hanging="360"/>
      </w:pPr>
      <w:rPr>
        <w:rFonts w:ascii="Symbol" w:hAnsi="Symbol" w:hint="default"/>
      </w:rPr>
    </w:lvl>
    <w:lvl w:ilvl="4" w:tplc="A014CF04">
      <w:start w:val="1"/>
      <w:numFmt w:val="bullet"/>
      <w:lvlText w:val="o"/>
      <w:lvlJc w:val="left"/>
      <w:pPr>
        <w:ind w:left="3600" w:hanging="360"/>
      </w:pPr>
      <w:rPr>
        <w:rFonts w:ascii="Courier New" w:hAnsi="Courier New" w:hint="default"/>
      </w:rPr>
    </w:lvl>
    <w:lvl w:ilvl="5" w:tplc="59963052">
      <w:start w:val="1"/>
      <w:numFmt w:val="bullet"/>
      <w:lvlText w:val=""/>
      <w:lvlJc w:val="left"/>
      <w:pPr>
        <w:ind w:left="4320" w:hanging="360"/>
      </w:pPr>
      <w:rPr>
        <w:rFonts w:ascii="Wingdings" w:hAnsi="Wingdings" w:hint="default"/>
      </w:rPr>
    </w:lvl>
    <w:lvl w:ilvl="6" w:tplc="1B26CDA2">
      <w:start w:val="1"/>
      <w:numFmt w:val="bullet"/>
      <w:lvlText w:val=""/>
      <w:lvlJc w:val="left"/>
      <w:pPr>
        <w:ind w:left="5040" w:hanging="360"/>
      </w:pPr>
      <w:rPr>
        <w:rFonts w:ascii="Symbol" w:hAnsi="Symbol" w:hint="default"/>
      </w:rPr>
    </w:lvl>
    <w:lvl w:ilvl="7" w:tplc="6A3618C4">
      <w:start w:val="1"/>
      <w:numFmt w:val="bullet"/>
      <w:lvlText w:val="o"/>
      <w:lvlJc w:val="left"/>
      <w:pPr>
        <w:ind w:left="5760" w:hanging="360"/>
      </w:pPr>
      <w:rPr>
        <w:rFonts w:ascii="Courier New" w:hAnsi="Courier New" w:hint="default"/>
      </w:rPr>
    </w:lvl>
    <w:lvl w:ilvl="8" w:tplc="6E8C483E">
      <w:start w:val="1"/>
      <w:numFmt w:val="bullet"/>
      <w:lvlText w:val=""/>
      <w:lvlJc w:val="left"/>
      <w:pPr>
        <w:ind w:left="6480" w:hanging="360"/>
      </w:pPr>
      <w:rPr>
        <w:rFonts w:ascii="Wingdings" w:hAnsi="Wingdings" w:hint="default"/>
      </w:rPr>
    </w:lvl>
  </w:abstractNum>
  <w:abstractNum w:abstractNumId="21" w15:restartNumberingAfterBreak="0">
    <w:nsid w:val="75E64DC1"/>
    <w:multiLevelType w:val="multilevel"/>
    <w:tmpl w:val="656C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3B0ED0"/>
    <w:multiLevelType w:val="multilevel"/>
    <w:tmpl w:val="E69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66D84"/>
    <w:multiLevelType w:val="multilevel"/>
    <w:tmpl w:val="849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F76EF"/>
    <w:multiLevelType w:val="multilevel"/>
    <w:tmpl w:val="0728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DD7145"/>
    <w:multiLevelType w:val="multilevel"/>
    <w:tmpl w:val="59F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1574C"/>
    <w:multiLevelType w:val="multilevel"/>
    <w:tmpl w:val="8E9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652404"/>
    <w:multiLevelType w:val="multilevel"/>
    <w:tmpl w:val="AC2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6299964">
    <w:abstractNumId w:val="20"/>
  </w:num>
  <w:num w:numId="2" w16cid:durableId="472869969">
    <w:abstractNumId w:val="15"/>
  </w:num>
  <w:num w:numId="3" w16cid:durableId="1566917550">
    <w:abstractNumId w:val="11"/>
  </w:num>
  <w:num w:numId="4" w16cid:durableId="1899976910">
    <w:abstractNumId w:val="18"/>
  </w:num>
  <w:num w:numId="5" w16cid:durableId="277108891">
    <w:abstractNumId w:val="3"/>
  </w:num>
  <w:num w:numId="6" w16cid:durableId="1762490242">
    <w:abstractNumId w:val="22"/>
  </w:num>
  <w:num w:numId="7" w16cid:durableId="670909073">
    <w:abstractNumId w:val="24"/>
  </w:num>
  <w:num w:numId="8" w16cid:durableId="152526754">
    <w:abstractNumId w:val="0"/>
  </w:num>
  <w:num w:numId="9" w16cid:durableId="501704034">
    <w:abstractNumId w:val="6"/>
  </w:num>
  <w:num w:numId="10" w16cid:durableId="911501850">
    <w:abstractNumId w:val="7"/>
  </w:num>
  <w:num w:numId="11" w16cid:durableId="1352758853">
    <w:abstractNumId w:val="8"/>
  </w:num>
  <w:num w:numId="12" w16cid:durableId="2116554861">
    <w:abstractNumId w:val="23"/>
  </w:num>
  <w:num w:numId="13" w16cid:durableId="1981297980">
    <w:abstractNumId w:val="16"/>
  </w:num>
  <w:num w:numId="14" w16cid:durableId="921454011">
    <w:abstractNumId w:val="2"/>
  </w:num>
  <w:num w:numId="15" w16cid:durableId="118962529">
    <w:abstractNumId w:val="1"/>
  </w:num>
  <w:num w:numId="16" w16cid:durableId="345206659">
    <w:abstractNumId w:val="19"/>
  </w:num>
  <w:num w:numId="17" w16cid:durableId="1482188741">
    <w:abstractNumId w:val="13"/>
  </w:num>
  <w:num w:numId="18" w16cid:durableId="465661994">
    <w:abstractNumId w:val="9"/>
  </w:num>
  <w:num w:numId="19" w16cid:durableId="1337810592">
    <w:abstractNumId w:val="14"/>
  </w:num>
  <w:num w:numId="20" w16cid:durableId="1188838491">
    <w:abstractNumId w:val="17"/>
  </w:num>
  <w:num w:numId="21" w16cid:durableId="234630413">
    <w:abstractNumId w:val="4"/>
  </w:num>
  <w:num w:numId="22" w16cid:durableId="38433569">
    <w:abstractNumId w:val="21"/>
  </w:num>
  <w:num w:numId="23" w16cid:durableId="204562929">
    <w:abstractNumId w:val="27"/>
  </w:num>
  <w:num w:numId="24" w16cid:durableId="1896353169">
    <w:abstractNumId w:val="5"/>
  </w:num>
  <w:num w:numId="25" w16cid:durableId="459106353">
    <w:abstractNumId w:val="12"/>
  </w:num>
  <w:num w:numId="26" w16cid:durableId="1768693232">
    <w:abstractNumId w:val="25"/>
  </w:num>
  <w:num w:numId="27" w16cid:durableId="2050915806">
    <w:abstractNumId w:val="10"/>
  </w:num>
  <w:num w:numId="28" w16cid:durableId="392239701">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 Giles (staff)">
    <w15:presenceInfo w15:providerId="AD" w15:userId="S::Tom.Giles@nottingham.ac.uk::8e8388c3-4c1c-4e30-a0e4-762040c51c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71"/>
    <w:rsid w:val="0007028D"/>
    <w:rsid w:val="00160233"/>
    <w:rsid w:val="001B4FC1"/>
    <w:rsid w:val="004A197B"/>
    <w:rsid w:val="00564538"/>
    <w:rsid w:val="00670F71"/>
    <w:rsid w:val="007417E1"/>
    <w:rsid w:val="007C4FE8"/>
    <w:rsid w:val="007D5B87"/>
    <w:rsid w:val="00834FD1"/>
    <w:rsid w:val="0087763F"/>
    <w:rsid w:val="008A278E"/>
    <w:rsid w:val="00AB1A8F"/>
    <w:rsid w:val="00AD4833"/>
    <w:rsid w:val="00BF7311"/>
    <w:rsid w:val="00C2401F"/>
    <w:rsid w:val="00C323D3"/>
    <w:rsid w:val="00C4163B"/>
    <w:rsid w:val="01003A0E"/>
    <w:rsid w:val="03A53A58"/>
    <w:rsid w:val="06B85E4B"/>
    <w:rsid w:val="0884D874"/>
    <w:rsid w:val="0A27CD5D"/>
    <w:rsid w:val="0CE2C574"/>
    <w:rsid w:val="0F775CAB"/>
    <w:rsid w:val="106510DC"/>
    <w:rsid w:val="10BA1E23"/>
    <w:rsid w:val="115EB6A3"/>
    <w:rsid w:val="12C7A320"/>
    <w:rsid w:val="1363FF1B"/>
    <w:rsid w:val="13AB2D38"/>
    <w:rsid w:val="14BBF264"/>
    <w:rsid w:val="1572794C"/>
    <w:rsid w:val="1A4CA00A"/>
    <w:rsid w:val="1EC56E5B"/>
    <w:rsid w:val="1F6A76B0"/>
    <w:rsid w:val="1FD969C0"/>
    <w:rsid w:val="200C4FE7"/>
    <w:rsid w:val="20534F64"/>
    <w:rsid w:val="217BC23B"/>
    <w:rsid w:val="22157503"/>
    <w:rsid w:val="234B8AF2"/>
    <w:rsid w:val="24293CB9"/>
    <w:rsid w:val="269C0885"/>
    <w:rsid w:val="2B8B8001"/>
    <w:rsid w:val="2FC13A00"/>
    <w:rsid w:val="2FE4B9C1"/>
    <w:rsid w:val="302F199B"/>
    <w:rsid w:val="30BA55CB"/>
    <w:rsid w:val="30F0F308"/>
    <w:rsid w:val="317B1071"/>
    <w:rsid w:val="325977F3"/>
    <w:rsid w:val="36474A70"/>
    <w:rsid w:val="372B60C8"/>
    <w:rsid w:val="377EF763"/>
    <w:rsid w:val="38095BA2"/>
    <w:rsid w:val="3B4BC782"/>
    <w:rsid w:val="3CCF6034"/>
    <w:rsid w:val="3D0D8ACD"/>
    <w:rsid w:val="3E8CF7A8"/>
    <w:rsid w:val="3EAF8C09"/>
    <w:rsid w:val="40FDAF68"/>
    <w:rsid w:val="42EBA703"/>
    <w:rsid w:val="4447D28B"/>
    <w:rsid w:val="479BA64B"/>
    <w:rsid w:val="48956C04"/>
    <w:rsid w:val="49F241A2"/>
    <w:rsid w:val="4A4DA1FC"/>
    <w:rsid w:val="4B1BEABE"/>
    <w:rsid w:val="4E8F4A17"/>
    <w:rsid w:val="4FEE6F92"/>
    <w:rsid w:val="535C55D2"/>
    <w:rsid w:val="570BEA9D"/>
    <w:rsid w:val="5B89CF29"/>
    <w:rsid w:val="5C1005B9"/>
    <w:rsid w:val="5D36814E"/>
    <w:rsid w:val="5DAB85DC"/>
    <w:rsid w:val="5DD8BAB2"/>
    <w:rsid w:val="5E2D7E9E"/>
    <w:rsid w:val="617521A7"/>
    <w:rsid w:val="61ECBF0B"/>
    <w:rsid w:val="6268F897"/>
    <w:rsid w:val="64AB78BD"/>
    <w:rsid w:val="6723EF09"/>
    <w:rsid w:val="6A482C12"/>
    <w:rsid w:val="6D51AE93"/>
    <w:rsid w:val="6D889C01"/>
    <w:rsid w:val="6ED5F9C9"/>
    <w:rsid w:val="70648748"/>
    <w:rsid w:val="71A0D39E"/>
    <w:rsid w:val="727B5FA6"/>
    <w:rsid w:val="7499B188"/>
    <w:rsid w:val="7C83A898"/>
    <w:rsid w:val="7CA5F914"/>
    <w:rsid w:val="7D61EC8C"/>
    <w:rsid w:val="7DB816BD"/>
    <w:rsid w:val="7E84C0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A40C2"/>
  <w15:chartTrackingRefBased/>
  <w15:docId w15:val="{23D3770A-D753-9F47-9F54-CDBAAB9E5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F71"/>
  </w:style>
  <w:style w:type="paragraph" w:styleId="Heading1">
    <w:name w:val="heading 1"/>
    <w:basedOn w:val="Normal"/>
    <w:next w:val="Normal"/>
    <w:link w:val="Heading1Char"/>
    <w:uiPriority w:val="9"/>
    <w:qFormat/>
    <w:rsid w:val="00670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0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0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0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70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F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F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F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F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0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0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70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70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F71"/>
    <w:rPr>
      <w:rFonts w:eastAsiaTheme="majorEastAsia" w:cstheme="majorBidi"/>
      <w:color w:val="272727" w:themeColor="text1" w:themeTint="D8"/>
    </w:rPr>
  </w:style>
  <w:style w:type="paragraph" w:styleId="Title">
    <w:name w:val="Title"/>
    <w:basedOn w:val="Normal"/>
    <w:next w:val="Normal"/>
    <w:link w:val="TitleChar"/>
    <w:uiPriority w:val="10"/>
    <w:qFormat/>
    <w:rsid w:val="00670F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F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F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0F71"/>
    <w:rPr>
      <w:i/>
      <w:iCs/>
      <w:color w:val="404040" w:themeColor="text1" w:themeTint="BF"/>
    </w:rPr>
  </w:style>
  <w:style w:type="paragraph" w:styleId="ListParagraph">
    <w:name w:val="List Paragraph"/>
    <w:basedOn w:val="Normal"/>
    <w:uiPriority w:val="34"/>
    <w:qFormat/>
    <w:rsid w:val="00670F71"/>
    <w:pPr>
      <w:ind w:left="720"/>
      <w:contextualSpacing/>
    </w:pPr>
  </w:style>
  <w:style w:type="character" w:styleId="IntenseEmphasis">
    <w:name w:val="Intense Emphasis"/>
    <w:basedOn w:val="DefaultParagraphFont"/>
    <w:uiPriority w:val="21"/>
    <w:qFormat/>
    <w:rsid w:val="00670F71"/>
    <w:rPr>
      <w:i/>
      <w:iCs/>
      <w:color w:val="0F4761" w:themeColor="accent1" w:themeShade="BF"/>
    </w:rPr>
  </w:style>
  <w:style w:type="paragraph" w:styleId="IntenseQuote">
    <w:name w:val="Intense Quote"/>
    <w:basedOn w:val="Normal"/>
    <w:next w:val="Normal"/>
    <w:link w:val="IntenseQuoteChar"/>
    <w:uiPriority w:val="30"/>
    <w:qFormat/>
    <w:rsid w:val="00670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F71"/>
    <w:rPr>
      <w:i/>
      <w:iCs/>
      <w:color w:val="0F4761" w:themeColor="accent1" w:themeShade="BF"/>
    </w:rPr>
  </w:style>
  <w:style w:type="character" w:styleId="IntenseReference">
    <w:name w:val="Intense Reference"/>
    <w:basedOn w:val="DefaultParagraphFont"/>
    <w:uiPriority w:val="32"/>
    <w:qFormat/>
    <w:rsid w:val="00670F71"/>
    <w:rPr>
      <w:b/>
      <w:bCs/>
      <w:smallCaps/>
      <w:color w:val="0F4761" w:themeColor="accent1" w:themeShade="BF"/>
      <w:spacing w:val="5"/>
    </w:rPr>
  </w:style>
  <w:style w:type="character" w:styleId="Strong">
    <w:name w:val="Strong"/>
    <w:basedOn w:val="DefaultParagraphFont"/>
    <w:uiPriority w:val="22"/>
    <w:qFormat/>
    <w:rsid w:val="00670F71"/>
    <w:rPr>
      <w:b/>
      <w:bCs/>
    </w:rPr>
  </w:style>
  <w:style w:type="paragraph" w:styleId="NoSpacing">
    <w:name w:val="No Spacing"/>
    <w:uiPriority w:val="1"/>
    <w:qFormat/>
    <w:rsid w:val="00670F71"/>
  </w:style>
  <w:style w:type="paragraph" w:styleId="NormalWeb">
    <w:name w:val="Normal (Web)"/>
    <w:basedOn w:val="Normal"/>
    <w:uiPriority w:val="99"/>
    <w:unhideWhenUsed/>
    <w:rsid w:val="00670F71"/>
    <w:pPr>
      <w:spacing w:before="100" w:beforeAutospacing="1" w:after="100" w:afterAutospacing="1"/>
    </w:pPr>
    <w:rPr>
      <w:rFonts w:ascii="Times New Roman" w:eastAsia="Times New Roman" w:hAnsi="Times New Roman" w:cs="Times New Roman"/>
      <w:lang w:eastAsia="en-GB"/>
    </w:rPr>
  </w:style>
  <w:style w:type="character" w:customStyle="1" w:styleId="relative">
    <w:name w:val="relative"/>
    <w:basedOn w:val="DefaultParagraphFont"/>
    <w:rsid w:val="00670F71"/>
  </w:style>
  <w:style w:type="character" w:styleId="Emphasis">
    <w:name w:val="Emphasis"/>
    <w:basedOn w:val="DefaultParagraphFont"/>
    <w:uiPriority w:val="20"/>
    <w:qFormat/>
    <w:rsid w:val="00670F71"/>
    <w:rPr>
      <w:i/>
      <w:iCs/>
    </w:rPr>
  </w:style>
  <w:style w:type="table" w:styleId="TableGrid">
    <w:name w:val="Table Grid"/>
    <w:basedOn w:val="TableNormal"/>
    <w:uiPriority w:val="39"/>
    <w:rsid w:val="00670F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70F71"/>
    <w:rPr>
      <w:sz w:val="16"/>
      <w:szCs w:val="16"/>
    </w:rPr>
  </w:style>
  <w:style w:type="paragraph" w:styleId="CommentText">
    <w:name w:val="annotation text"/>
    <w:basedOn w:val="Normal"/>
    <w:link w:val="CommentTextChar"/>
    <w:uiPriority w:val="99"/>
    <w:semiHidden/>
    <w:unhideWhenUsed/>
    <w:rsid w:val="00670F71"/>
    <w:rPr>
      <w:sz w:val="20"/>
      <w:szCs w:val="20"/>
    </w:rPr>
  </w:style>
  <w:style w:type="character" w:customStyle="1" w:styleId="CommentTextChar">
    <w:name w:val="Comment Text Char"/>
    <w:basedOn w:val="DefaultParagraphFont"/>
    <w:link w:val="CommentText"/>
    <w:uiPriority w:val="99"/>
    <w:semiHidden/>
    <w:rsid w:val="00670F71"/>
    <w:rPr>
      <w:sz w:val="20"/>
      <w:szCs w:val="20"/>
    </w:rPr>
  </w:style>
  <w:style w:type="paragraph" w:styleId="CommentSubject">
    <w:name w:val="annotation subject"/>
    <w:basedOn w:val="CommentText"/>
    <w:next w:val="CommentText"/>
    <w:link w:val="CommentSubjectChar"/>
    <w:uiPriority w:val="99"/>
    <w:semiHidden/>
    <w:unhideWhenUsed/>
    <w:rsid w:val="00670F71"/>
    <w:rPr>
      <w:b/>
      <w:bCs/>
    </w:rPr>
  </w:style>
  <w:style w:type="character" w:customStyle="1" w:styleId="CommentSubjectChar">
    <w:name w:val="Comment Subject Char"/>
    <w:basedOn w:val="CommentTextChar"/>
    <w:link w:val="CommentSubject"/>
    <w:uiPriority w:val="99"/>
    <w:semiHidden/>
    <w:rsid w:val="00670F71"/>
    <w:rPr>
      <w:b/>
      <w:bCs/>
      <w:sz w:val="20"/>
      <w:szCs w:val="20"/>
    </w:rPr>
  </w:style>
  <w:style w:type="character" w:customStyle="1" w:styleId="text-token-text-secondary">
    <w:name w:val="text-token-text-secondary"/>
    <w:basedOn w:val="DefaultParagraphFont"/>
    <w:rsid w:val="00670F71"/>
  </w:style>
  <w:style w:type="paragraph" w:customStyle="1" w:styleId="paragraph">
    <w:name w:val="paragraph"/>
    <w:basedOn w:val="Normal"/>
    <w:rsid w:val="007417E1"/>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7417E1"/>
  </w:style>
  <w:style w:type="character" w:customStyle="1" w:styleId="eop">
    <w:name w:val="eop"/>
    <w:basedOn w:val="DefaultParagraphFont"/>
    <w:rsid w:val="00741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16</Pages>
  <Words>4993</Words>
  <Characters>28464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Giles</dc:creator>
  <cp:keywords/>
  <dc:description/>
  <cp:lastModifiedBy>Tom Giles (staff)</cp:lastModifiedBy>
  <cp:revision>5</cp:revision>
  <dcterms:created xsi:type="dcterms:W3CDTF">2026-03-12T11:57:00Z</dcterms:created>
  <dcterms:modified xsi:type="dcterms:W3CDTF">2026-03-12T13:23:00Z</dcterms:modified>
</cp:coreProperties>
</file>